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88D0" w14:textId="77777777" w:rsidR="00C2739D" w:rsidRDefault="00000000">
      <w:pPr>
        <w:pStyle w:val="aff7"/>
        <w:rPr>
          <w:rFonts w:hint="eastAsia"/>
        </w:rPr>
      </w:pPr>
      <w:bookmarkStart w:id="0" w:name="OLE_LINK1"/>
      <w:r>
        <w:t>豳公盨“逑方设正”解</w:t>
      </w:r>
    </w:p>
    <w:p w14:paraId="5D739A35" w14:textId="77777777" w:rsidR="00C2739D" w:rsidRDefault="00000000">
      <w:pPr>
        <w:pStyle w:val="aff8"/>
        <w:rPr>
          <w:rFonts w:hint="eastAsia"/>
          <w:lang w:eastAsia="zh-CN"/>
        </w:rPr>
      </w:pPr>
      <w:r>
        <w:rPr>
          <w:lang w:eastAsia="zh-CN"/>
        </w:rPr>
        <w:t>（首</w:t>
      </w:r>
      <w:proofErr w:type="gramStart"/>
      <w:r>
        <w:rPr>
          <w:lang w:eastAsia="zh-CN"/>
        </w:rPr>
        <w:t>發</w:t>
      </w:r>
      <w:proofErr w:type="gramEnd"/>
      <w:r>
        <w:rPr>
          <w:lang w:eastAsia="zh-CN"/>
        </w:rPr>
        <w:t>）</w:t>
      </w:r>
    </w:p>
    <w:p w14:paraId="36EFCCD4" w14:textId="77777777" w:rsidR="00C2739D" w:rsidRDefault="00000000">
      <w:pPr>
        <w:pStyle w:val="aff8"/>
        <w:rPr>
          <w:rFonts w:hint="eastAsia"/>
          <w:lang w:eastAsia="zh-CN"/>
        </w:rPr>
      </w:pPr>
      <w:r>
        <w:rPr>
          <w:lang w:eastAsia="zh-CN"/>
        </w:rPr>
        <w:t>娄新志</w:t>
      </w:r>
    </w:p>
    <w:p w14:paraId="2891B83C" w14:textId="77777777" w:rsidR="00C2739D" w:rsidRDefault="00000000">
      <w:pPr>
        <w:pStyle w:val="aff8"/>
        <w:rPr>
          <w:rFonts w:hint="eastAsia"/>
          <w:lang w:eastAsia="zh-CN"/>
        </w:rPr>
      </w:pPr>
      <w:r>
        <w:rPr>
          <w:rFonts w:hint="eastAsia"/>
          <w:lang w:eastAsia="zh-CN"/>
        </w:rPr>
        <w:t>北京大学历史学系</w:t>
      </w:r>
    </w:p>
    <w:p w14:paraId="795599C1" w14:textId="77777777" w:rsidR="00C2739D" w:rsidRDefault="00000000">
      <w:pPr>
        <w:pStyle w:val="aff6"/>
        <w:ind w:firstLine="560"/>
        <w:rPr>
          <w:rFonts w:hint="eastAsia"/>
        </w:rPr>
      </w:pPr>
      <w:proofErr w:type="gramStart"/>
      <w:r>
        <w:t>摘  要</w:t>
      </w:r>
      <w:proofErr w:type="gramEnd"/>
      <w:r>
        <w:t>：豳公盨的“</w:t>
      </w:r>
      <w:r>
        <w:rPr>
          <w:noProof/>
        </w:rPr>
        <w:drawing>
          <wp:inline distT="0" distB="0" distL="0" distR="0" wp14:anchorId="4755B373" wp14:editId="3DD214D3">
            <wp:extent cx="138430" cy="152400"/>
            <wp:effectExtent l="0" t="0" r="0" b="0"/>
            <wp:docPr id="1103317253" name="图片 87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17253" name="图片 87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，可以读为“逑”，训为匹、配。结合西周时期人们思想观念中“方”（邦）及其君长由上帝设立，认为“逑方设正”指天（上帝）命禹治理好洪水后，在大地上建立方邦并设立诸方（邦）的君长作为自己（天、帝）的配。</w:t>
      </w:r>
    </w:p>
    <w:p w14:paraId="63F877A6" w14:textId="77777777" w:rsidR="00C2739D" w:rsidRDefault="00000000">
      <w:pPr>
        <w:pStyle w:val="aff6"/>
        <w:ind w:firstLine="560"/>
        <w:rPr>
          <w:rFonts w:hint="eastAsia"/>
        </w:rPr>
      </w:pPr>
      <w:r>
        <w:t>关键词：豳公盨；逑；西周；方（邦）</w:t>
      </w:r>
    </w:p>
    <w:p w14:paraId="4E1302EE" w14:textId="77777777" w:rsidR="00C2739D" w:rsidRDefault="00C2739D">
      <w:pPr>
        <w:pStyle w:val="aff6"/>
        <w:ind w:firstLine="560"/>
        <w:rPr>
          <w:rFonts w:hint="eastAsia"/>
        </w:rPr>
      </w:pPr>
    </w:p>
    <w:p w14:paraId="4A644651" w14:textId="77777777" w:rsidR="00C2739D" w:rsidRDefault="00000000">
      <w:pPr>
        <w:pStyle w:val="aff6"/>
        <w:ind w:firstLineChars="0" w:firstLine="0"/>
        <w:jc w:val="center"/>
        <w:rPr>
          <w:rFonts w:hint="eastAsia"/>
          <w:b/>
          <w:bCs/>
        </w:rPr>
      </w:pPr>
      <w:r>
        <w:rPr>
          <w:b/>
          <w:bCs/>
        </w:rPr>
        <w:t>一</w:t>
      </w:r>
    </w:p>
    <w:p w14:paraId="03EA73D0" w14:textId="77777777" w:rsidR="00C2739D" w:rsidRDefault="00000000">
      <w:pPr>
        <w:pStyle w:val="aff6"/>
        <w:ind w:firstLine="560"/>
        <w:rPr>
          <w:rFonts w:hint="eastAsia"/>
        </w:rPr>
      </w:pPr>
      <w:r>
        <w:t>豳公盨（《商周青铜器铭文暨图像集成》05677，以下简称“《铭图》”）</w:t>
      </w:r>
      <w:r>
        <w:rPr>
          <w:vertAlign w:val="superscript"/>
        </w:rPr>
        <w:endnoteReference w:id="1"/>
      </w:r>
      <w:r>
        <w:t>（图1）于2002年由保利艺术博物馆购藏，属西周中期器。铭文一开始讲述了禹受天之命敷土治水的传说。经过多位学者的考释，文意基本上都已通读无碍。但该铭仍有一疑难字“</w:t>
      </w:r>
      <w:r>
        <w:rPr>
          <w:noProof/>
        </w:rPr>
        <w:drawing>
          <wp:inline distT="0" distB="0" distL="0" distR="0" wp14:anchorId="3F75B885" wp14:editId="2234A64D">
            <wp:extent cx="138430" cy="152400"/>
            <wp:effectExtent l="0" t="0" r="0" b="0"/>
            <wp:docPr id="1675836476" name="图片 86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836476" name="图片 86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”，诸家还无定说，故草此小文，以就正于方家。为便于讨论，先将相关铭文摘录如下：</w:t>
      </w:r>
    </w:p>
    <w:p w14:paraId="546992A2" w14:textId="77777777" w:rsidR="00C2739D" w:rsidRDefault="00000000">
      <w:pPr>
        <w:pStyle w:val="aff4"/>
        <w:spacing w:before="540" w:after="540"/>
        <w:ind w:firstLine="496"/>
        <w:rPr>
          <w:rFonts w:hint="eastAsia"/>
          <w:lang w:eastAsia="zh-CN"/>
        </w:rPr>
      </w:pPr>
      <w:r>
        <w:rPr>
          <w:u w:val="single"/>
          <w:lang w:eastAsia="zh-CN"/>
        </w:rPr>
        <w:t>天</w:t>
      </w:r>
      <w:r>
        <w:rPr>
          <w:lang w:eastAsia="zh-CN"/>
        </w:rPr>
        <w:t>命禹敷土，堕山濬川，乃</w:t>
      </w:r>
      <w:r>
        <w:rPr>
          <w:noProof/>
        </w:rPr>
        <w:drawing>
          <wp:inline distT="0" distB="0" distL="0" distR="0" wp14:anchorId="58DCA599" wp14:editId="23C9BF51">
            <wp:extent cx="138430" cy="152400"/>
            <wp:effectExtent l="0" t="0" r="0" b="0"/>
            <wp:docPr id="1078463725" name="图片 85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463725" name="图片 85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t>方设正，降民监德；乃自作配向民，成</w:t>
      </w:r>
      <w:r>
        <w:rPr>
          <w:lang w:eastAsia="zh-CN"/>
        </w:rPr>
        <w:lastRenderedPageBreak/>
        <w:t>父母，生我王作臣。（豳公盨，《铭图》05677）</w:t>
      </w:r>
    </w:p>
    <w:p w14:paraId="712B20CC" w14:textId="77777777" w:rsidR="00C2739D" w:rsidRDefault="00000000">
      <w:pPr>
        <w:pStyle w:val="aff6"/>
        <w:ind w:firstLine="560"/>
        <w:rPr>
          <w:rFonts w:hint="eastAsia"/>
        </w:rPr>
      </w:pPr>
      <w:r>
        <w:t>“</w:t>
      </w:r>
      <w:r>
        <w:rPr>
          <w:noProof/>
        </w:rPr>
        <w:drawing>
          <wp:inline distT="0" distB="0" distL="0" distR="0" wp14:anchorId="0DBD4D03" wp14:editId="3240239D">
            <wp:extent cx="138430" cy="152400"/>
            <wp:effectExtent l="0" t="0" r="0" b="0"/>
            <wp:docPr id="1628064438" name="图片 84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064438" name="图片 84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”字，李学勤读为“差”，连同后面的“</w:t>
      </w:r>
      <w:r>
        <w:rPr>
          <w:noProof/>
        </w:rPr>
        <w:drawing>
          <wp:inline distT="0" distB="0" distL="0" distR="0" wp14:anchorId="61A3085D" wp14:editId="4684B8D1">
            <wp:extent cx="133350" cy="157480"/>
            <wp:effectExtent l="0" t="0" r="0" b="0"/>
            <wp:docPr id="1905626314" name="图片 83" descr="截屏2026-03-19 15.21.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626314" name="图片 83" descr="截屏2026-03-19 15.21.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”字读作“差地设征”，意为区别不同的土地并规定各自的贡赋。</w:t>
      </w:r>
      <w:r>
        <w:rPr>
          <w:vertAlign w:val="superscript"/>
        </w:rPr>
        <w:endnoteReference w:id="2"/>
      </w:r>
      <w:r>
        <w:t>这种解释能够与《书》序对应，但与字形不合，很多学者已经指出其误。再者，《书》序时代太晚，且“任土作贡”的是禹，不是天。但盨铭说的是“天”要做的事情。此句与下句都以“乃”发端，不是独立的句子，它们的主语仍是铭首的“天”。</w:t>
      </w:r>
      <w:r>
        <w:rPr>
          <w:vertAlign w:val="superscript"/>
        </w:rPr>
        <w:endnoteReference w:id="3"/>
      </w:r>
      <w:r>
        <w:t>“</w:t>
      </w:r>
      <w:r>
        <w:rPr>
          <w:noProof/>
        </w:rPr>
        <w:drawing>
          <wp:inline distT="0" distB="0" distL="0" distR="0" wp14:anchorId="6CB30C61" wp14:editId="2BEED901">
            <wp:extent cx="133350" cy="157480"/>
            <wp:effectExtent l="0" t="0" r="0" b="0"/>
            <wp:docPr id="124907032" name="图片 82" descr="截屏2026-03-19 15.21.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07032" name="图片 82" descr="截屏2026-03-19 15.21.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”确为“方”字无疑，</w:t>
      </w:r>
      <w:r>
        <w:rPr>
          <w:vertAlign w:val="superscript"/>
        </w:rPr>
        <w:endnoteReference w:id="4"/>
      </w:r>
      <w:r>
        <w:t>分歧主要在“</w:t>
      </w:r>
      <w:r>
        <w:rPr>
          <w:noProof/>
        </w:rPr>
        <w:drawing>
          <wp:inline distT="0" distB="0" distL="0" distR="0" wp14:anchorId="0507C745" wp14:editId="1674559F">
            <wp:extent cx="138430" cy="152400"/>
            <wp:effectExtent l="0" t="0" r="0" b="0"/>
            <wp:docPr id="232488741" name="图片 81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88741" name="图片 81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”字上面。朱凤瀚释“奏”，将“奏方”解释为进送食物于四方庶民。</w:t>
      </w:r>
      <w:r>
        <w:rPr>
          <w:vertAlign w:val="superscript"/>
        </w:rPr>
        <w:endnoteReference w:id="5"/>
      </w:r>
      <w:r>
        <w:t>但“奏”字所从的“</w:t>
      </w:r>
      <w:r>
        <w:rPr>
          <w:noProof/>
        </w:rPr>
        <w:drawing>
          <wp:inline distT="0" distB="0" distL="0" distR="0" wp14:anchorId="0805670B" wp14:editId="524EBFE7">
            <wp:extent cx="138430" cy="152400"/>
            <wp:effectExtent l="0" t="0" r="0" b="0"/>
            <wp:docPr id="754583283" name="图片 80" descr="截屏2026-03-19 16.09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583283" name="图片 80" descr="截屏2026-03-19 16.09.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”形皆在“</w:t>
      </w:r>
      <w:r>
        <w:rPr>
          <w:noProof/>
        </w:rPr>
        <w:drawing>
          <wp:inline distT="0" distB="0" distL="0" distR="0" wp14:anchorId="3224CF85" wp14:editId="4939E98C">
            <wp:extent cx="138430" cy="152400"/>
            <wp:effectExtent l="0" t="0" r="0" b="0"/>
            <wp:docPr id="343672954" name="图片 79" descr="截屏2026-03-19 16.12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672954" name="图片 79" descr="截屏2026-03-19 16.12.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”的中部或上部两侧，无加在下部者。</w:t>
      </w:r>
      <w:r>
        <w:rPr>
          <w:vertAlign w:val="superscript"/>
        </w:rPr>
        <w:endnoteReference w:id="6"/>
      </w:r>
    </w:p>
    <w:p w14:paraId="1E962B0C" w14:textId="77777777" w:rsidR="00C2739D" w:rsidRDefault="00C2739D">
      <w:pPr>
        <w:spacing w:line="360" w:lineRule="auto"/>
        <w:rPr>
          <w:rFonts w:cs="宋体" w:hint="eastAsia"/>
          <w:szCs w:val="32"/>
        </w:rPr>
      </w:pPr>
    </w:p>
    <w:p w14:paraId="01FE256F" w14:textId="77777777" w:rsidR="00C2739D" w:rsidRDefault="00000000">
      <w:pPr>
        <w:spacing w:line="360" w:lineRule="auto"/>
        <w:rPr>
          <w:rFonts w:cs="宋体" w:hint="eastAsia"/>
          <w:szCs w:val="32"/>
        </w:rPr>
      </w:pPr>
      <w:r>
        <w:rPr>
          <w:rFonts w:cs="宋体"/>
          <w:szCs w:val="32"/>
        </w:rPr>
        <w:t xml:space="preserve"> </w:t>
      </w:r>
      <w:r>
        <w:rPr>
          <w:rFonts w:cs="宋体"/>
          <w:noProof/>
          <w:szCs w:val="32"/>
        </w:rPr>
        <w:drawing>
          <wp:inline distT="0" distB="0" distL="0" distR="0" wp14:anchorId="4DC17D98" wp14:editId="12FC12FA">
            <wp:extent cx="2686685" cy="1845945"/>
            <wp:effectExtent l="0" t="0" r="0" b="0"/>
            <wp:docPr id="35" name="图片 52" descr="图像_05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2" descr="图像_0567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szCs w:val="32"/>
        </w:rPr>
        <w:t xml:space="preserve">   </w:t>
      </w:r>
      <w:r>
        <w:rPr>
          <w:rFonts w:cs="宋体"/>
          <w:noProof/>
          <w:szCs w:val="32"/>
          <w:lang w:eastAsia="zh-TW"/>
        </w:rPr>
        <w:drawing>
          <wp:inline distT="0" distB="0" distL="0" distR="0" wp14:anchorId="6B70C3BB" wp14:editId="6011BEA3">
            <wp:extent cx="2145030" cy="2500630"/>
            <wp:effectExtent l="0" t="0" r="7620" b="0"/>
            <wp:docPr id="36" name="图片 53" descr="/Users/mac/Library/Containers/com.kingsoft.wpsoffice.mac/Data/tmp/photoeditapp/20260821143459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53" descr="/Users/mac/Library/Containers/com.kingsoft.wpsoffice.mac/Data/tmp/photoeditapp/20260821143459/temp.pngte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503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EBE09" w14:textId="77777777" w:rsidR="00C2739D" w:rsidRDefault="00000000">
      <w:pPr>
        <w:widowControl/>
        <w:spacing w:line="360" w:lineRule="auto"/>
        <w:ind w:firstLineChars="800" w:firstLine="1680"/>
        <w:jc w:val="left"/>
        <w:rPr>
          <w:rFonts w:ascii="汉仪楷体KW" w:eastAsia="汉仪楷体KW" w:hAnsi="汉仪楷体KW" w:cs="汉仪楷体KW" w:hint="eastAsia"/>
          <w:szCs w:val="32"/>
        </w:rPr>
      </w:pPr>
      <w:r>
        <w:rPr>
          <w:rFonts w:cs="宋体"/>
          <w:sz w:val="21"/>
          <w:szCs w:val="21"/>
        </w:rPr>
        <w:t>图</w:t>
      </w:r>
      <w:r>
        <w:rPr>
          <w:rFonts w:ascii="Times New Roman Regular" w:hAnsi="Times New Roman Regular" w:cs="Times New Roman Regular"/>
          <w:sz w:val="21"/>
          <w:szCs w:val="21"/>
        </w:rPr>
        <w:t>1(a</w:t>
      </w:r>
      <w:proofErr w:type="gramStart"/>
      <w:r>
        <w:rPr>
          <w:rFonts w:ascii="Times New Roman Regular" w:hAnsi="Times New Roman Regular" w:cs="Times New Roman Regular"/>
          <w:sz w:val="21"/>
          <w:szCs w:val="21"/>
        </w:rPr>
        <w:t>)</w:t>
      </w:r>
      <w:r>
        <w:rPr>
          <w:rFonts w:cs="宋体"/>
          <w:sz w:val="21"/>
          <w:szCs w:val="21"/>
        </w:rPr>
        <w:t xml:space="preserve">  器形</w:t>
      </w:r>
      <w:proofErr w:type="gramEnd"/>
      <w:r>
        <w:rPr>
          <w:rFonts w:ascii="汉仪楷体KW" w:eastAsia="汉仪楷体KW" w:hAnsi="汉仪楷体KW" w:cs="汉仪楷体KW"/>
          <w:szCs w:val="32"/>
        </w:rPr>
        <w:t xml:space="preserve">                        </w:t>
      </w:r>
      <w:r>
        <w:rPr>
          <w:rFonts w:cs="宋体"/>
          <w:sz w:val="21"/>
          <w:szCs w:val="21"/>
        </w:rPr>
        <w:t>图</w:t>
      </w:r>
      <w:r>
        <w:rPr>
          <w:rFonts w:ascii="Times New Roman Regular" w:hAnsi="Times New Roman Regular" w:cs="Times New Roman Regular"/>
          <w:sz w:val="21"/>
          <w:szCs w:val="21"/>
        </w:rPr>
        <w:t>1(b</w:t>
      </w:r>
      <w:proofErr w:type="gramStart"/>
      <w:r>
        <w:rPr>
          <w:rFonts w:ascii="Times New Roman Regular" w:hAnsi="Times New Roman Regular" w:cs="Times New Roman Regular"/>
          <w:sz w:val="21"/>
          <w:szCs w:val="21"/>
        </w:rPr>
        <w:t>)</w:t>
      </w:r>
      <w:r>
        <w:rPr>
          <w:rFonts w:cs="宋体"/>
          <w:sz w:val="21"/>
          <w:szCs w:val="21"/>
        </w:rPr>
        <w:t xml:space="preserve">  铭文</w:t>
      </w:r>
      <w:proofErr w:type="gramEnd"/>
      <w:r>
        <w:rPr>
          <w:rFonts w:cs="宋体"/>
          <w:sz w:val="21"/>
          <w:szCs w:val="21"/>
        </w:rPr>
        <w:t xml:space="preserve"> </w:t>
      </w:r>
    </w:p>
    <w:p w14:paraId="1AFD2748" w14:textId="77777777" w:rsidR="00C2739D" w:rsidRDefault="00000000">
      <w:pPr>
        <w:widowControl/>
        <w:spacing w:before="120" w:after="240"/>
        <w:jc w:val="center"/>
        <w:rPr>
          <w:rFonts w:ascii="Calibri" w:hAnsi="Calibri"/>
          <w:szCs w:val="32"/>
        </w:rPr>
      </w:pPr>
      <w:r>
        <w:rPr>
          <w:rFonts w:cs="宋体"/>
          <w:sz w:val="21"/>
          <w:szCs w:val="21"/>
        </w:rPr>
        <w:t>图</w:t>
      </w:r>
      <w:proofErr w:type="gramStart"/>
      <w:r>
        <w:rPr>
          <w:rFonts w:ascii="Times New Roman Regular" w:hAnsi="Times New Roman Regular" w:cs="Times New Roman Regular"/>
          <w:sz w:val="21"/>
          <w:szCs w:val="21"/>
        </w:rPr>
        <w:t>1</w:t>
      </w:r>
      <w:r>
        <w:rPr>
          <w:rFonts w:cs="宋体"/>
          <w:sz w:val="21"/>
          <w:szCs w:val="21"/>
        </w:rPr>
        <w:t xml:space="preserve">  豳公盨</w:t>
      </w:r>
      <w:proofErr w:type="gramEnd"/>
    </w:p>
    <w:p w14:paraId="7CD8AE9F" w14:textId="77777777" w:rsidR="00C2739D" w:rsidRDefault="00000000">
      <w:pPr>
        <w:pStyle w:val="aff6"/>
        <w:ind w:firstLine="560"/>
        <w:rPr>
          <w:rFonts w:hint="eastAsia"/>
        </w:rPr>
      </w:pPr>
      <w:r>
        <w:lastRenderedPageBreak/>
        <w:t>而且铭文后面才说道“降民”，此时大地上还没有民众。连劭名释“拜”，读为辨，与《周礼》“惟王建国，辨方正位”相联系。</w:t>
      </w:r>
      <w:r>
        <w:rPr>
          <w:vertAlign w:val="superscript"/>
        </w:rPr>
        <w:endnoteReference w:id="7"/>
      </w:r>
      <w:r>
        <w:t>首先字形与“拜”字不合，“拜”字从五指单手或页，不从</w:t>
      </w:r>
      <w:r>
        <w:rPr>
          <w:noProof/>
        </w:rPr>
        <w:drawing>
          <wp:inline distT="0" distB="0" distL="0" distR="0" wp14:anchorId="23CB6E06" wp14:editId="4E48AADB">
            <wp:extent cx="138430" cy="152400"/>
            <wp:effectExtent l="0" t="0" r="0" b="0"/>
            <wp:docPr id="1895208571" name="图片 76" descr="截屏2026-03-19 16.09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208571" name="图片 76" descr="截屏2026-03-19 16.09.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，</w:t>
      </w:r>
      <w:r>
        <w:rPr>
          <w:vertAlign w:val="superscript"/>
        </w:rPr>
        <w:endnoteReference w:id="8"/>
      </w:r>
      <w:r>
        <w:t>而且所从的“</w:t>
      </w:r>
      <w:r>
        <w:rPr>
          <w:noProof/>
        </w:rPr>
        <w:drawing>
          <wp:inline distT="0" distB="0" distL="0" distR="0" wp14:anchorId="54CF62C2" wp14:editId="330C8618">
            <wp:extent cx="138430" cy="152400"/>
            <wp:effectExtent l="0" t="0" r="0" b="0"/>
            <wp:docPr id="1763728193" name="图片 75" descr="截屏2026-03-19 16.12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728193" name="图片 75" descr="截屏2026-03-19 16.12.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”也明显与“</w:t>
      </w:r>
      <w:r>
        <w:rPr>
          <w:noProof/>
        </w:rPr>
        <w:drawing>
          <wp:inline distT="0" distB="0" distL="0" distR="0" wp14:anchorId="0281037D" wp14:editId="2A6F91CD">
            <wp:extent cx="138430" cy="152400"/>
            <wp:effectExtent l="0" t="0" r="0" b="0"/>
            <wp:docPr id="1876173793" name="图片 74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73793" name="图片 74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”字所从的“</w:t>
      </w:r>
      <w:r>
        <w:rPr>
          <w:noProof/>
        </w:rPr>
        <w:drawing>
          <wp:inline distT="0" distB="0" distL="0" distR="0" wp14:anchorId="15393294" wp14:editId="4E561EB9">
            <wp:extent cx="161925" cy="152400"/>
            <wp:effectExtent l="0" t="0" r="9525" b="0"/>
            <wp:docPr id="296189177" name="图片 73" descr="截屏2026-03-19 16.35.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89177" name="图片 73" descr="截屏2026-03-19 16.35.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”不类。其次，《周礼》晚出，所讲的“辨方正位”与虚构的周王建国有关，不是天所要做的事。饶宗颐释“逨”，读为“来方设征”，解为远方者来而近者则征其赋以致贡。</w:t>
      </w:r>
      <w:r>
        <w:rPr>
          <w:vertAlign w:val="superscript"/>
        </w:rPr>
        <w:endnoteReference w:id="9"/>
      </w:r>
      <w:r>
        <w:t>此“逨”字，陈剑已改释为“逑”，辞例通顺，殊为允当，释“逨”不确。</w:t>
      </w:r>
      <w:r>
        <w:rPr>
          <w:vertAlign w:val="superscript"/>
        </w:rPr>
        <w:endnoteReference w:id="10"/>
      </w:r>
      <w:r>
        <w:t>陈英杰根据“</w:t>
      </w:r>
      <w:r>
        <w:rPr>
          <w:noProof/>
        </w:rPr>
        <w:drawing>
          <wp:inline distT="0" distB="0" distL="0" distR="0" wp14:anchorId="58E57992" wp14:editId="7675B21F">
            <wp:extent cx="138430" cy="152400"/>
            <wp:effectExtent l="0" t="0" r="0" b="0"/>
            <wp:docPr id="569004737" name="图片 72" descr="截屏2026-03-19 16.12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04737" name="图片 72" descr="截屏2026-03-19 16.12.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”字的语音读为“擣”，训为击，或读为讨伐之“讨”。释“方”为方国，在本铭中当指四方诸侯或跟禹敌对的势力。</w:t>
      </w:r>
      <w:r>
        <w:rPr>
          <w:vertAlign w:val="superscript"/>
        </w:rPr>
        <w:endnoteReference w:id="11"/>
      </w:r>
      <w:r>
        <w:t>饶、陈之说皆把禹作为主语，这是有问题的。前引裘锡圭文已根据“乃”字确定直到“生我王作臣”句主语皆是“天”。</w:t>
      </w:r>
      <w:r>
        <w:rPr>
          <w:vertAlign w:val="superscript"/>
        </w:rPr>
        <w:endnoteReference w:id="12"/>
      </w:r>
      <w:r>
        <w:t>此外，“逑方设正”之后还有“降民监德，乃自作配飨民”，考之西周文献，似乎只有“天”才能往大地上降民，如《大雅·荡》“天生烝民”、《烝民》“天生烝民”；似乎只有“天”才能监德，如《大雅·烝民》“天监有周”、《大明》“天监在下”、《皇矣》“皇矣上帝，临下有赫。监观四方，求民之莫”；“配”，虽然臣子也可以是君的配，但据上句文意恐怕也是“天”为自己作配，如《大雅·皇矣》“天立厥配”、“帝作邦作对”等。因此，凡以“禹”为主语的</w:t>
      </w:r>
      <w:r>
        <w:lastRenderedPageBreak/>
        <w:t>多种解释可能都不是很合适。相比而言，裘锡圭的观点在学界影响较大。他认为“</w:t>
      </w:r>
      <w:r>
        <w:rPr>
          <w:noProof/>
        </w:rPr>
        <w:drawing>
          <wp:inline distT="0" distB="0" distL="0" distR="0" wp14:anchorId="1C3F5888" wp14:editId="45342A41">
            <wp:extent cx="138430" cy="152400"/>
            <wp:effectExtent l="0" t="0" r="0" b="0"/>
            <wp:docPr id="212996091" name="图片 71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96091" name="图片 71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”从“</w:t>
      </w:r>
      <w:r>
        <w:rPr>
          <w:noProof/>
        </w:rPr>
        <w:drawing>
          <wp:inline distT="0" distB="0" distL="0" distR="0" wp14:anchorId="7D45D913" wp14:editId="7BA5A975">
            <wp:extent cx="138430" cy="152400"/>
            <wp:effectExtent l="0" t="0" r="0" b="0"/>
            <wp:docPr id="1758927131" name="图片 70" descr="截屏2026-03-19 16.12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927131" name="图片 70" descr="截屏2026-03-19 16.12.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”得声，读为畴；又训“方”为法，解“畴方”为使方相畴而成类，并与洪范九畴相联系。</w:t>
      </w:r>
      <w:r>
        <w:rPr>
          <w:vertAlign w:val="superscript"/>
        </w:rPr>
        <w:endnoteReference w:id="13"/>
      </w:r>
      <w:r>
        <w:t>但“方”作为法的意思是东周以后才出现的训释。</w:t>
      </w:r>
      <w:r>
        <w:rPr>
          <w:vertAlign w:val="superscript"/>
        </w:rPr>
        <w:endnoteReference w:id="14"/>
      </w:r>
      <w:r>
        <w:t>陈剑在释读“逑”字时列举了六个西周金文字形（图2），并指出</w:t>
      </w:r>
    </w:p>
    <w:p w14:paraId="1FB0162E" w14:textId="77777777" w:rsidR="00C2739D" w:rsidRDefault="00C2739D">
      <w:pPr>
        <w:spacing w:line="360" w:lineRule="auto"/>
        <w:rPr>
          <w:rFonts w:cs="宋体" w:hint="eastAsia"/>
          <w:szCs w:val="32"/>
        </w:rPr>
      </w:pPr>
    </w:p>
    <w:p w14:paraId="414FA579" w14:textId="77777777" w:rsidR="00C2739D" w:rsidRDefault="00000000">
      <w:pPr>
        <w:spacing w:line="360" w:lineRule="auto"/>
        <w:rPr>
          <w:rFonts w:cs="宋体" w:hint="eastAsia"/>
          <w:szCs w:val="32"/>
        </w:rPr>
      </w:pPr>
      <w:r>
        <w:rPr>
          <w:rFonts w:cs="宋体"/>
          <w:szCs w:val="32"/>
        </w:rPr>
        <w:t xml:space="preserve">      </w:t>
      </w:r>
      <w:r>
        <w:rPr>
          <w:rFonts w:cs="宋体"/>
          <w:noProof/>
          <w:szCs w:val="32"/>
          <w:lang w:eastAsia="zh-TW"/>
        </w:rPr>
        <w:drawing>
          <wp:inline distT="0" distB="0" distL="0" distR="0" wp14:anchorId="1D62DB93" wp14:editId="748E69CB">
            <wp:extent cx="420370" cy="593725"/>
            <wp:effectExtent l="0" t="0" r="0" b="0"/>
            <wp:docPr id="25" name="图片 6" descr="截屏2026-03-20 21.18.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 descr="截屏2026-03-20 21.18.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37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szCs w:val="32"/>
        </w:rPr>
        <w:t xml:space="preserve">    </w:t>
      </w:r>
      <w:r>
        <w:rPr>
          <w:rFonts w:cs="宋体"/>
          <w:noProof/>
          <w:szCs w:val="32"/>
          <w:lang w:eastAsia="zh-TW"/>
        </w:rPr>
        <w:drawing>
          <wp:inline distT="0" distB="0" distL="0" distR="0" wp14:anchorId="167D9752" wp14:editId="6B22E0F4">
            <wp:extent cx="415925" cy="598170"/>
            <wp:effectExtent l="0" t="0" r="3175" b="0"/>
            <wp:docPr id="26" name="图片 5" descr="截屏2026-03-20 21.27.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 descr="截屏2026-03-20 21.27.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szCs w:val="32"/>
        </w:rPr>
        <w:t xml:space="preserve">     </w:t>
      </w:r>
      <w:r>
        <w:rPr>
          <w:rFonts w:cs="宋体"/>
          <w:noProof/>
          <w:szCs w:val="32"/>
          <w:lang w:eastAsia="zh-TW"/>
        </w:rPr>
        <w:drawing>
          <wp:inline distT="0" distB="0" distL="0" distR="0" wp14:anchorId="341CEB60" wp14:editId="547E89BB">
            <wp:extent cx="450850" cy="593725"/>
            <wp:effectExtent l="0" t="0" r="6350" b="0"/>
            <wp:docPr id="27" name="图片 4" descr="截屏2026-03-20 21.29.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 descr="截屏2026-03-20 21.29.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szCs w:val="32"/>
        </w:rPr>
        <w:t xml:space="preserve">    </w:t>
      </w:r>
      <w:r>
        <w:rPr>
          <w:rFonts w:cs="宋体"/>
          <w:noProof/>
          <w:szCs w:val="32"/>
          <w:lang w:eastAsia="zh-TW"/>
        </w:rPr>
        <w:drawing>
          <wp:inline distT="0" distB="0" distL="0" distR="0" wp14:anchorId="1576AC32" wp14:editId="04B8A4CD">
            <wp:extent cx="485140" cy="606425"/>
            <wp:effectExtent l="0" t="0" r="0" b="3175"/>
            <wp:docPr id="28" name="图片 3" descr="截屏2026-03-20 21.31.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 descr="截屏2026-03-20 21.31.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szCs w:val="32"/>
        </w:rPr>
        <w:t xml:space="preserve">    </w:t>
      </w:r>
      <w:r>
        <w:rPr>
          <w:rFonts w:cs="宋体"/>
          <w:noProof/>
          <w:szCs w:val="32"/>
          <w:lang w:eastAsia="zh-TW"/>
        </w:rPr>
        <w:drawing>
          <wp:inline distT="0" distB="0" distL="0" distR="0" wp14:anchorId="3A970D83" wp14:editId="4FEE278A">
            <wp:extent cx="433070" cy="610870"/>
            <wp:effectExtent l="0" t="0" r="5080" b="0"/>
            <wp:docPr id="29" name="图片 2" descr="截屏2026-03-20 21.34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 descr="截屏2026-03-20 21.34.5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宋体"/>
          <w:szCs w:val="32"/>
        </w:rPr>
        <w:t xml:space="preserve">    </w:t>
      </w:r>
      <w:r>
        <w:rPr>
          <w:rFonts w:cs="宋体"/>
          <w:noProof/>
          <w:szCs w:val="32"/>
          <w:lang w:eastAsia="zh-TW"/>
        </w:rPr>
        <w:drawing>
          <wp:inline distT="0" distB="0" distL="0" distR="0" wp14:anchorId="7E6FC7E0" wp14:editId="2153C80D">
            <wp:extent cx="437515" cy="619760"/>
            <wp:effectExtent l="0" t="0" r="635" b="8890"/>
            <wp:docPr id="30" name="图片 1" descr="截屏2026-03-20 21.36.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截屏2026-03-20 21.36.5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5" r="6651"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BE6BB" w14:textId="77777777" w:rsidR="00C2739D" w:rsidRDefault="00000000">
      <w:pPr>
        <w:widowControl/>
        <w:spacing w:line="360" w:lineRule="auto"/>
        <w:ind w:firstLineChars="400" w:firstLine="960"/>
        <w:jc w:val="left"/>
        <w:rPr>
          <w:rFonts w:ascii="Times New Roman Regular" w:hAnsi="Times New Roman Regular" w:cs="Times New Roman Regular"/>
          <w:szCs w:val="32"/>
        </w:rPr>
      </w:pPr>
      <w:r>
        <w:rPr>
          <w:rFonts w:ascii="Times New Roman Regular" w:hAnsi="Times New Roman Regular" w:cs="Times New Roman Regular"/>
          <w:szCs w:val="32"/>
        </w:rPr>
        <w:t>1         2          3         4         5         6</w:t>
      </w:r>
    </w:p>
    <w:p w14:paraId="3D1F4A42" w14:textId="77777777" w:rsidR="00C2739D" w:rsidRDefault="00C2739D">
      <w:pPr>
        <w:spacing w:line="360" w:lineRule="auto"/>
        <w:rPr>
          <w:rFonts w:cs="宋体" w:hint="eastAsia"/>
          <w:szCs w:val="32"/>
        </w:rPr>
      </w:pPr>
    </w:p>
    <w:p w14:paraId="747093E6" w14:textId="77777777" w:rsidR="00C2739D" w:rsidRDefault="00000000">
      <w:pPr>
        <w:widowControl/>
        <w:spacing w:line="360" w:lineRule="auto"/>
        <w:jc w:val="center"/>
        <w:rPr>
          <w:rFonts w:ascii="汉仪楷体KW" w:eastAsia="汉仪楷体KW" w:hAnsi="汉仪楷体KW" w:cs="汉仪楷体KW" w:hint="eastAsia"/>
          <w:szCs w:val="32"/>
        </w:rPr>
      </w:pPr>
      <w:r>
        <w:rPr>
          <w:rFonts w:ascii="汉仪楷体KW" w:eastAsia="汉仪楷体KW" w:hAnsi="汉仪楷体KW" w:cs="汉仪楷体KW"/>
          <w:szCs w:val="32"/>
        </w:rPr>
        <w:t>图</w:t>
      </w:r>
      <w:proofErr w:type="gramStart"/>
      <w:r>
        <w:rPr>
          <w:rFonts w:ascii="Times New Roman Regular" w:eastAsia="汉仪楷体KW" w:hAnsi="Times New Roman Regular" w:cs="Times New Roman Regular"/>
          <w:szCs w:val="32"/>
        </w:rPr>
        <w:t>2</w:t>
      </w:r>
      <w:r>
        <w:rPr>
          <w:rFonts w:ascii="汉仪楷体KW" w:eastAsia="汉仪楷体KW" w:hAnsi="汉仪楷体KW" w:cs="汉仪楷体KW"/>
          <w:szCs w:val="32"/>
        </w:rPr>
        <w:t xml:space="preserve">  “</w:t>
      </w:r>
      <w:proofErr w:type="gramEnd"/>
      <w:r>
        <w:rPr>
          <w:rFonts w:ascii="汉仪楷体KW" w:eastAsia="汉仪楷体KW" w:hAnsi="汉仪楷体KW" w:cs="汉仪楷体KW"/>
          <w:szCs w:val="32"/>
        </w:rPr>
        <w:t xml:space="preserve">逑”字字形图   </w:t>
      </w:r>
    </w:p>
    <w:p w14:paraId="1DE6DB2A" w14:textId="77777777" w:rsidR="00C2739D" w:rsidRDefault="00000000">
      <w:pPr>
        <w:widowControl/>
        <w:spacing w:line="360" w:lineRule="auto"/>
        <w:ind w:firstLineChars="200" w:firstLine="360"/>
        <w:rPr>
          <w:rFonts w:ascii="汉仪楷体KW" w:eastAsia="汉仪楷体KW" w:hAnsi="汉仪楷体KW" w:cs="汉仪楷体KW" w:hint="eastAsia"/>
          <w:sz w:val="18"/>
          <w:szCs w:val="21"/>
        </w:rPr>
      </w:pPr>
      <w:r>
        <w:rPr>
          <w:rFonts w:ascii="Times New Roman Regular" w:eastAsia="汉仪楷体KW" w:hAnsi="Times New Roman Regular" w:cs="Times New Roman Regular"/>
          <w:sz w:val="18"/>
          <w:szCs w:val="21"/>
        </w:rPr>
        <w:t>1.</w:t>
      </w:r>
      <w:proofErr w:type="gramStart"/>
      <w:r>
        <w:rPr>
          <w:rFonts w:ascii="汉仪楷体KW" w:eastAsia="汉仪楷体KW" w:hAnsi="汉仪楷体KW" w:cs="汉仪楷体KW"/>
          <w:sz w:val="18"/>
          <w:szCs w:val="21"/>
        </w:rPr>
        <w:t>何  尊</w:t>
      </w:r>
      <w:proofErr w:type="gramEnd"/>
      <w:r>
        <w:rPr>
          <w:rFonts w:ascii="汉仪楷体KW" w:eastAsia="汉仪楷体KW" w:hAnsi="汉仪楷体KW" w:cs="汉仪楷体KW"/>
          <w:sz w:val="18"/>
          <w:szCs w:val="21"/>
        </w:rPr>
        <w:t>（《集成》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06014</w:t>
      </w:r>
      <w:r>
        <w:rPr>
          <w:rFonts w:ascii="汉仪楷体KW" w:eastAsia="汉仪楷体KW" w:hAnsi="汉仪楷体KW" w:cs="汉仪楷体KW"/>
          <w:sz w:val="18"/>
          <w:szCs w:val="21"/>
        </w:rPr>
        <w:t>；《铭图》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11819</w:t>
      </w:r>
      <w:r>
        <w:rPr>
          <w:rFonts w:ascii="汉仪楷体KW" w:eastAsia="汉仪楷体KW" w:hAnsi="汉仪楷体KW" w:cs="汉仪楷体KW"/>
          <w:sz w:val="18"/>
          <w:szCs w:val="21"/>
        </w:rPr>
        <w:t xml:space="preserve">）     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2</w:t>
      </w:r>
      <w:r>
        <w:rPr>
          <w:rFonts w:ascii="汉仪楷体KW" w:eastAsia="汉仪楷体KW" w:hAnsi="汉仪楷体KW" w:cs="汉仪楷体KW"/>
          <w:sz w:val="18"/>
          <w:szCs w:val="21"/>
        </w:rPr>
        <w:t>.史墙盘（《集成》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10175</w:t>
      </w:r>
      <w:r>
        <w:rPr>
          <w:rFonts w:ascii="汉仪楷体KW" w:eastAsia="汉仪楷体KW" w:hAnsi="汉仪楷体KW" w:cs="汉仪楷体KW"/>
          <w:sz w:val="18"/>
          <w:szCs w:val="21"/>
        </w:rPr>
        <w:t>；《铭图》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14541</w:t>
      </w:r>
      <w:r>
        <w:rPr>
          <w:rFonts w:ascii="汉仪楷体KW" w:eastAsia="汉仪楷体KW" w:hAnsi="汉仪楷体KW" w:cs="汉仪楷体KW"/>
          <w:sz w:val="18"/>
          <w:szCs w:val="21"/>
        </w:rPr>
        <w:t xml:space="preserve">）  </w:t>
      </w:r>
    </w:p>
    <w:p w14:paraId="3C72906E" w14:textId="77777777" w:rsidR="00C2739D" w:rsidRDefault="00000000">
      <w:pPr>
        <w:widowControl/>
        <w:spacing w:line="360" w:lineRule="auto"/>
        <w:ind w:firstLineChars="200" w:firstLine="360"/>
        <w:jc w:val="left"/>
        <w:rPr>
          <w:rFonts w:ascii="Calibri" w:hAnsi="Calibri"/>
          <w:szCs w:val="32"/>
        </w:rPr>
      </w:pPr>
      <w:r>
        <w:rPr>
          <w:rFonts w:ascii="Times New Roman Regular" w:eastAsia="汉仪楷体KW" w:hAnsi="Times New Roman Regular" w:cs="Times New Roman Regular"/>
          <w:sz w:val="18"/>
          <w:szCs w:val="21"/>
        </w:rPr>
        <w:t>3</w:t>
      </w:r>
      <w:r>
        <w:rPr>
          <w:rFonts w:ascii="汉仪楷体KW" w:eastAsia="汉仪楷体KW" w:hAnsi="汉仪楷体KW" w:cs="汉仪楷体KW"/>
          <w:sz w:val="18"/>
          <w:szCs w:val="21"/>
        </w:rPr>
        <w:t>.单伯钟（《集成》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00082</w:t>
      </w:r>
      <w:r>
        <w:rPr>
          <w:rFonts w:ascii="汉仪楷体KW" w:eastAsia="汉仪楷体KW" w:hAnsi="汉仪楷体KW" w:cs="汉仪楷体KW"/>
          <w:sz w:val="18"/>
          <w:szCs w:val="21"/>
        </w:rPr>
        <w:t>；《铭图》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15265</w:t>
      </w:r>
      <w:r>
        <w:rPr>
          <w:rFonts w:ascii="汉仪楷体KW" w:eastAsia="汉仪楷体KW" w:hAnsi="汉仪楷体KW" w:cs="汉仪楷体KW"/>
          <w:sz w:val="18"/>
          <w:szCs w:val="21"/>
        </w:rPr>
        <w:t xml:space="preserve">）     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4</w:t>
      </w:r>
      <w:r>
        <w:rPr>
          <w:rFonts w:ascii="汉仪楷体KW" w:eastAsia="汉仪楷体KW" w:hAnsi="汉仪楷体KW" w:cs="汉仪楷体KW"/>
          <w:sz w:val="18"/>
          <w:szCs w:val="21"/>
        </w:rPr>
        <w:t>.长甶盉（《集成》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09455</w:t>
      </w:r>
      <w:r>
        <w:rPr>
          <w:rFonts w:ascii="汉仪楷体KW" w:eastAsia="汉仪楷体KW" w:hAnsi="汉仪楷体KW" w:cs="汉仪楷体KW"/>
          <w:sz w:val="18"/>
          <w:szCs w:val="21"/>
        </w:rPr>
        <w:t>；《铭图》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14796</w:t>
      </w:r>
      <w:r>
        <w:rPr>
          <w:rFonts w:ascii="汉仪楷体KW" w:eastAsia="汉仪楷体KW" w:hAnsi="汉仪楷体KW" w:cs="汉仪楷体KW"/>
          <w:sz w:val="18"/>
          <w:szCs w:val="21"/>
        </w:rPr>
        <w:t xml:space="preserve">） </w:t>
      </w:r>
    </w:p>
    <w:p w14:paraId="121BB251" w14:textId="77777777" w:rsidR="00C2739D" w:rsidRDefault="00000000">
      <w:pPr>
        <w:widowControl/>
        <w:spacing w:line="360" w:lineRule="auto"/>
        <w:ind w:firstLineChars="200" w:firstLine="360"/>
        <w:rPr>
          <w:rFonts w:ascii="汉仪楷体KW" w:eastAsia="汉仪楷体KW" w:hAnsi="汉仪楷体KW" w:cs="汉仪楷体KW" w:hint="eastAsia"/>
          <w:sz w:val="18"/>
          <w:szCs w:val="21"/>
        </w:rPr>
      </w:pPr>
      <w:r>
        <w:rPr>
          <w:rFonts w:ascii="Times New Roman Regular" w:eastAsia="汉仪楷体KW" w:hAnsi="Times New Roman Regular" w:cs="Times New Roman Regular"/>
          <w:sz w:val="18"/>
          <w:szCs w:val="21"/>
        </w:rPr>
        <w:t>5</w:t>
      </w:r>
      <w:r>
        <w:rPr>
          <w:rFonts w:ascii="汉仪楷体KW" w:eastAsia="汉仪楷体KW" w:hAnsi="汉仪楷体KW" w:cs="汉仪楷体KW"/>
          <w:sz w:val="18"/>
          <w:szCs w:val="21"/>
        </w:rPr>
        <w:t>.</w:t>
      </w:r>
      <w:proofErr w:type="gramStart"/>
      <w:r>
        <w:rPr>
          <w:rFonts w:ascii="汉仪楷体KW" w:eastAsia="汉仪楷体KW" w:hAnsi="汉仪楷体KW" w:cs="汉仪楷体KW"/>
          <w:sz w:val="18"/>
          <w:szCs w:val="21"/>
        </w:rPr>
        <w:t>交  鼎</w:t>
      </w:r>
      <w:proofErr w:type="gramEnd"/>
      <w:r>
        <w:rPr>
          <w:rFonts w:ascii="汉仪楷体KW" w:eastAsia="汉仪楷体KW" w:hAnsi="汉仪楷体KW" w:cs="汉仪楷体KW"/>
          <w:sz w:val="18"/>
          <w:szCs w:val="21"/>
        </w:rPr>
        <w:t>（《集成》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02459</w:t>
      </w:r>
      <w:r>
        <w:rPr>
          <w:rFonts w:ascii="汉仪楷体KW" w:eastAsia="汉仪楷体KW" w:hAnsi="汉仪楷体KW" w:cs="汉仪楷体KW"/>
          <w:sz w:val="18"/>
          <w:szCs w:val="21"/>
        </w:rPr>
        <w:t>；《铭图》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01955</w:t>
      </w:r>
      <w:r>
        <w:rPr>
          <w:rFonts w:ascii="汉仪楷体KW" w:eastAsia="汉仪楷体KW" w:hAnsi="汉仪楷体KW" w:cs="汉仪楷体KW"/>
          <w:sz w:val="18"/>
          <w:szCs w:val="21"/>
        </w:rPr>
        <w:t xml:space="preserve">）    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 xml:space="preserve"> 2</w:t>
      </w:r>
      <w:r>
        <w:rPr>
          <w:rFonts w:ascii="汉仪楷体KW" w:eastAsia="汉仪楷体KW" w:hAnsi="汉仪楷体KW" w:cs="汉仪楷体KW"/>
          <w:sz w:val="18"/>
          <w:szCs w:val="21"/>
        </w:rPr>
        <w:t>.义盉盖（《集成》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09453</w:t>
      </w:r>
      <w:r>
        <w:rPr>
          <w:rFonts w:ascii="汉仪楷体KW" w:eastAsia="汉仪楷体KW" w:hAnsi="汉仪楷体KW" w:cs="汉仪楷体KW"/>
          <w:sz w:val="18"/>
          <w:szCs w:val="21"/>
        </w:rPr>
        <w:t>；《铭图》</w:t>
      </w:r>
      <w:r>
        <w:rPr>
          <w:rFonts w:ascii="Times New Roman Regular" w:eastAsia="汉仪楷体KW" w:hAnsi="Times New Roman Regular" w:cs="Times New Roman Regular"/>
          <w:sz w:val="18"/>
          <w:szCs w:val="21"/>
        </w:rPr>
        <w:t>14794</w:t>
      </w:r>
      <w:r>
        <w:rPr>
          <w:rFonts w:ascii="汉仪楷体KW" w:eastAsia="汉仪楷体KW" w:hAnsi="汉仪楷体KW" w:cs="汉仪楷体KW"/>
          <w:sz w:val="18"/>
          <w:szCs w:val="21"/>
        </w:rPr>
        <w:t xml:space="preserve">）  </w:t>
      </w:r>
    </w:p>
    <w:p w14:paraId="4B94858C" w14:textId="77777777" w:rsidR="00C2739D" w:rsidRDefault="00C2739D">
      <w:pPr>
        <w:pStyle w:val="aff6"/>
        <w:ind w:firstLine="560"/>
        <w:rPr>
          <w:rFonts w:hint="eastAsia"/>
        </w:rPr>
      </w:pPr>
    </w:p>
    <w:p w14:paraId="1BD42793" w14:textId="77777777" w:rsidR="00C2739D" w:rsidRDefault="00000000">
      <w:pPr>
        <w:pStyle w:val="aff6"/>
        <w:ind w:firstLine="560"/>
        <w:rPr>
          <w:rFonts w:hint="eastAsia"/>
        </w:rPr>
      </w:pPr>
      <w:r>
        <w:t>其声符“</w:t>
      </w:r>
      <w:r>
        <w:rPr>
          <w:noProof/>
        </w:rPr>
        <w:drawing>
          <wp:inline distT="0" distB="0" distL="0" distR="0" wp14:anchorId="262E4EF3" wp14:editId="59978AE8">
            <wp:extent cx="161925" cy="152400"/>
            <wp:effectExtent l="0" t="0" r="9525" b="0"/>
            <wp:docPr id="941546057" name="图片 63" descr="截屏2026-03-19 16.35.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46057" name="图片 63" descr="截屏2026-03-19 16.35.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”应是被“求”声字兼并而遭到了淘汰。</w:t>
      </w:r>
      <w:r>
        <w:rPr>
          <w:vertAlign w:val="superscript"/>
        </w:rPr>
        <w:endnoteReference w:id="15"/>
      </w:r>
      <w:r>
        <w:t>盨铭中的“</w:t>
      </w:r>
      <w:r>
        <w:rPr>
          <w:noProof/>
        </w:rPr>
        <w:drawing>
          <wp:inline distT="0" distB="0" distL="0" distR="0" wp14:anchorId="25B8BCD3" wp14:editId="3B30BCA0">
            <wp:extent cx="138430" cy="152400"/>
            <wp:effectExtent l="0" t="0" r="0" b="0"/>
            <wp:docPr id="1178713549" name="图片 62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713549" name="图片 62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”字诸家多认为可以分析为从</w:t>
      </w:r>
      <w:r>
        <w:rPr>
          <w:noProof/>
        </w:rPr>
        <w:drawing>
          <wp:inline distT="0" distB="0" distL="0" distR="0" wp14:anchorId="57C11506" wp14:editId="25506B49">
            <wp:extent cx="138430" cy="152400"/>
            <wp:effectExtent l="0" t="0" r="0" b="0"/>
            <wp:docPr id="2066733491" name="图片 61" descr="截屏2026-03-19 16.09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733491" name="图片 61" descr="截屏2026-03-19 16.09.5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、</w:t>
      </w:r>
      <w:r>
        <w:rPr>
          <w:noProof/>
        </w:rPr>
        <w:drawing>
          <wp:inline distT="0" distB="0" distL="0" distR="0" wp14:anchorId="19309CC6" wp14:editId="78FB15D1">
            <wp:extent cx="161925" cy="152400"/>
            <wp:effectExtent l="0" t="0" r="9525" b="0"/>
            <wp:docPr id="404561040" name="图片 60" descr="截屏2026-03-19 16.35.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561040" name="图片 60" descr="截屏2026-03-19 16.35.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声，其声符与“逑”字的声符完全相同，而与“</w:t>
      </w:r>
      <w:r>
        <w:rPr>
          <w:noProof/>
        </w:rPr>
        <w:drawing>
          <wp:inline distT="0" distB="0" distL="0" distR="0" wp14:anchorId="5380F47A" wp14:editId="152FC869">
            <wp:extent cx="138430" cy="152400"/>
            <wp:effectExtent l="0" t="0" r="0" b="0"/>
            <wp:docPr id="1996214535" name="图片 59" descr="截屏2026-03-19 16.12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14535" name="图片 59" descr="截屏2026-03-19 16.12.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”字差别较大，因此该字可以读为“逑”。</w:t>
      </w:r>
    </w:p>
    <w:p w14:paraId="34FEF278" w14:textId="77777777" w:rsidR="00C2739D" w:rsidRDefault="00C2739D">
      <w:pPr>
        <w:pStyle w:val="aff6"/>
        <w:ind w:firstLine="560"/>
        <w:rPr>
          <w:rFonts w:hint="eastAsia"/>
        </w:rPr>
      </w:pPr>
    </w:p>
    <w:p w14:paraId="33A8A4AF" w14:textId="77777777" w:rsidR="00C2739D" w:rsidRDefault="00000000">
      <w:pPr>
        <w:pStyle w:val="aff6"/>
        <w:ind w:firstLineChars="0" w:firstLine="0"/>
        <w:jc w:val="center"/>
        <w:rPr>
          <w:rFonts w:hint="eastAsia"/>
          <w:b/>
          <w:bCs/>
        </w:rPr>
      </w:pPr>
      <w:r>
        <w:rPr>
          <w:b/>
          <w:bCs/>
        </w:rPr>
        <w:t>二</w:t>
      </w:r>
    </w:p>
    <w:p w14:paraId="67C2A52A" w14:textId="77777777" w:rsidR="00C2739D" w:rsidRDefault="00000000">
      <w:pPr>
        <w:pStyle w:val="aff6"/>
        <w:ind w:firstLine="560"/>
        <w:rPr>
          <w:rFonts w:hint="eastAsia"/>
        </w:rPr>
      </w:pPr>
      <w:r>
        <w:t>要理解盨铭“逑方设正”的具体含义，需联系西周时代人们对于</w:t>
      </w:r>
      <w:r>
        <w:lastRenderedPageBreak/>
        <w:t>“天”和“邦”（方）之间关系的认识。</w:t>
      </w:r>
      <w:r>
        <w:rPr>
          <w:vertAlign w:val="superscript"/>
        </w:rPr>
        <w:endnoteReference w:id="16"/>
      </w:r>
      <w:r>
        <w:t>先看下面的材料：</w:t>
      </w:r>
    </w:p>
    <w:p w14:paraId="720A4350" w14:textId="7DA7E2E9" w:rsidR="00C2739D" w:rsidRDefault="00000000" w:rsidP="00612AE2">
      <w:pPr>
        <w:spacing w:beforeLines="150" w:before="540" w:afterLines="150" w:after="540" w:line="480" w:lineRule="auto"/>
        <w:ind w:left="420" w:firstLineChars="200" w:firstLine="480"/>
        <w:rPr>
          <w:rFonts w:ascii="楷体" w:eastAsia="楷体" w:hAnsi="楷体" w:cs="楷体" w:hint="eastAsia"/>
        </w:rPr>
      </w:pPr>
      <w:bookmarkStart w:id="1" w:name="OLE_LINK2"/>
      <w:r w:rsidRPr="00612AE2">
        <w:rPr>
          <w:rFonts w:eastAsia="楷体"/>
        </w:rPr>
        <w:t>（</w:t>
      </w:r>
      <w:r w:rsidRPr="00612AE2">
        <w:rPr>
          <w:rFonts w:ascii="楷体" w:eastAsia="楷体" w:hAnsi="楷体" w:cs="楷体"/>
        </w:rPr>
        <w:t>1）</w:t>
      </w:r>
      <w:r>
        <w:rPr>
          <w:rFonts w:ascii="楷体" w:eastAsia="楷体" w:hAnsi="楷体" w:cs="楷体" w:hint="eastAsia"/>
          <w:u w:val="single"/>
        </w:rPr>
        <w:t>帝</w:t>
      </w:r>
      <w:r>
        <w:rPr>
          <w:rFonts w:ascii="楷体" w:eastAsia="楷体" w:hAnsi="楷体" w:cs="楷体" w:hint="eastAsia"/>
        </w:rPr>
        <w:t>作</w:t>
      </w:r>
      <w:r>
        <w:rPr>
          <w:rFonts w:ascii="楷体" w:eastAsia="楷体" w:hAnsi="楷体" w:cs="楷体" w:hint="eastAsia"/>
          <w:em w:val="dot"/>
        </w:rPr>
        <w:t>邦</w:t>
      </w:r>
      <w:r>
        <w:rPr>
          <w:rFonts w:ascii="楷体" w:eastAsia="楷体" w:hAnsi="楷体" w:cs="楷体" w:hint="eastAsia"/>
        </w:rPr>
        <w:t>作</w:t>
      </w:r>
      <w:r>
        <w:rPr>
          <w:rFonts w:ascii="楷体" w:eastAsia="楷体" w:hAnsi="楷体" w:cs="楷体" w:hint="eastAsia"/>
          <w:em w:val="dot"/>
        </w:rPr>
        <w:t>对</w:t>
      </w:r>
      <w:r>
        <w:rPr>
          <w:rFonts w:ascii="楷体" w:eastAsia="楷体" w:hAnsi="楷体" w:cs="楷体" w:hint="eastAsia"/>
        </w:rPr>
        <w:t>，自大伯王季。（《大雅·皇矣》）</w:t>
      </w:r>
    </w:p>
    <w:p w14:paraId="15DA3B7D" w14:textId="2CB8EE25" w:rsidR="00C2739D" w:rsidRDefault="00000000" w:rsidP="00612AE2">
      <w:pPr>
        <w:spacing w:beforeLines="150" w:before="540" w:afterLines="150" w:after="540" w:line="480" w:lineRule="auto"/>
        <w:ind w:left="420" w:firstLineChars="200" w:firstLine="480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（2）崧高维岳，骏极于天。维岳降</w:t>
      </w:r>
      <w:r>
        <w:rPr>
          <w:rFonts w:ascii="楷体" w:eastAsia="楷体" w:hAnsi="楷体" w:cs="楷体" w:hint="eastAsia"/>
          <w:u w:val="single"/>
        </w:rPr>
        <w:t>神</w:t>
      </w:r>
      <w:r>
        <w:rPr>
          <w:rFonts w:ascii="楷体" w:eastAsia="楷体" w:hAnsi="楷体" w:cs="楷体" w:hint="eastAsia"/>
        </w:rPr>
        <w:t>，生</w:t>
      </w:r>
      <w:r>
        <w:rPr>
          <w:rFonts w:ascii="楷体" w:eastAsia="楷体" w:hAnsi="楷体" w:cs="楷体" w:hint="eastAsia"/>
          <w:em w:val="dot"/>
        </w:rPr>
        <w:t>甫</w:t>
      </w:r>
      <w:r>
        <w:rPr>
          <w:rFonts w:ascii="楷体" w:eastAsia="楷体" w:hAnsi="楷体" w:cs="楷体" w:hint="eastAsia"/>
        </w:rPr>
        <w:t>及</w:t>
      </w:r>
      <w:r>
        <w:rPr>
          <w:rFonts w:ascii="楷体" w:eastAsia="楷体" w:hAnsi="楷体" w:cs="楷体" w:hint="eastAsia"/>
          <w:em w:val="dot"/>
        </w:rPr>
        <w:t>申</w:t>
      </w:r>
      <w:r>
        <w:rPr>
          <w:rFonts w:ascii="楷体" w:eastAsia="楷体" w:hAnsi="楷体" w:cs="楷体" w:hint="eastAsia"/>
        </w:rPr>
        <w:t>。（《大雅·崧高》）</w:t>
      </w:r>
    </w:p>
    <w:p w14:paraId="59752585" w14:textId="4D94D1B0" w:rsidR="00C2739D" w:rsidRPr="00612AE2" w:rsidRDefault="00000000" w:rsidP="00612AE2">
      <w:pPr>
        <w:spacing w:beforeLines="150" w:before="540" w:afterLines="150" w:after="540" w:line="480" w:lineRule="auto"/>
        <w:ind w:left="420" w:firstLineChars="200" w:firstLine="480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（3）</w:t>
      </w:r>
      <w:r>
        <w:rPr>
          <w:rFonts w:ascii="楷体" w:eastAsia="楷体" w:hAnsi="楷体" w:cs="楷体" w:hint="eastAsia"/>
          <w:u w:val="single"/>
        </w:rPr>
        <w:t>帝</w:t>
      </w:r>
      <w:r>
        <w:rPr>
          <w:rFonts w:ascii="楷体" w:eastAsia="楷体" w:hAnsi="楷体" w:cs="楷体" w:hint="eastAsia"/>
        </w:rPr>
        <w:t>立子生</w:t>
      </w:r>
      <w:r>
        <w:rPr>
          <w:rFonts w:ascii="楷体" w:eastAsia="楷体" w:hAnsi="楷体" w:cs="楷体" w:hint="eastAsia"/>
          <w:em w:val="dot"/>
        </w:rPr>
        <w:t>商</w:t>
      </w:r>
      <w:r>
        <w:rPr>
          <w:rFonts w:ascii="楷体" w:eastAsia="楷体" w:hAnsi="楷体" w:cs="楷体" w:hint="eastAsia"/>
        </w:rPr>
        <w:t>。（《商颂·长发》）</w:t>
      </w:r>
    </w:p>
    <w:p w14:paraId="452DA64E" w14:textId="613D3B61" w:rsidR="00C2739D" w:rsidRPr="00612AE2" w:rsidRDefault="00000000" w:rsidP="00612AE2">
      <w:pPr>
        <w:spacing w:beforeLines="150" w:before="540" w:afterLines="150" w:after="540" w:line="480" w:lineRule="auto"/>
        <w:ind w:left="420" w:firstLineChars="200" w:firstLine="480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（4）疾威</w:t>
      </w:r>
      <w:r>
        <w:rPr>
          <w:rFonts w:ascii="楷体" w:eastAsia="楷体" w:hAnsi="楷体" w:cs="楷体" w:hint="eastAsia"/>
          <w:u w:val="single"/>
        </w:rPr>
        <w:t>上帝</w:t>
      </w:r>
      <w:r>
        <w:rPr>
          <w:rFonts w:ascii="楷体" w:eastAsia="楷体" w:hAnsi="楷体" w:cs="楷体" w:hint="eastAsia"/>
        </w:rPr>
        <w:t>，其命</w:t>
      </w:r>
      <w:r>
        <w:rPr>
          <w:rFonts w:ascii="楷体" w:eastAsia="楷体" w:hAnsi="楷体" w:cs="楷体" w:hint="eastAsia"/>
          <w:em w:val="dot"/>
        </w:rPr>
        <w:t>多辟</w:t>
      </w:r>
      <w:r>
        <w:rPr>
          <w:rFonts w:ascii="楷体" w:eastAsia="楷体" w:hAnsi="楷体" w:cs="楷体" w:hint="eastAsia"/>
        </w:rPr>
        <w:t>。（《大雅·荡》）</w:t>
      </w:r>
    </w:p>
    <w:p w14:paraId="75C5292E" w14:textId="339F5198" w:rsidR="00C2739D" w:rsidRPr="00612AE2" w:rsidRDefault="00000000" w:rsidP="00612AE2">
      <w:pPr>
        <w:spacing w:beforeLines="150" w:before="540" w:afterLines="150" w:after="540" w:line="480" w:lineRule="auto"/>
        <w:ind w:left="420" w:firstLineChars="200" w:firstLine="480"/>
        <w:rPr>
          <w:rFonts w:ascii="汉仪楷体KW" w:eastAsia="楷体" w:hAnsi="汉仪楷体KW" w:cs="汉仪楷体KW" w:hint="eastAsia"/>
        </w:rPr>
      </w:pPr>
      <w:r>
        <w:rPr>
          <w:rFonts w:ascii="楷体" w:eastAsia="楷体" w:hAnsi="楷体" w:cs="楷体" w:hint="eastAsia"/>
        </w:rPr>
        <w:t>（5）</w:t>
      </w:r>
      <w:r>
        <w:rPr>
          <w:rFonts w:ascii="楷体" w:eastAsia="楷体" w:hAnsi="楷体" w:cs="楷体" w:hint="eastAsia"/>
          <w:u w:val="single"/>
        </w:rPr>
        <w:t>天</w:t>
      </w:r>
      <w:r>
        <w:rPr>
          <w:rFonts w:ascii="楷体" w:eastAsia="楷体" w:hAnsi="楷体" w:cs="楷体" w:hint="eastAsia"/>
        </w:rPr>
        <w:t>命</w:t>
      </w:r>
      <w:r>
        <w:rPr>
          <w:rFonts w:ascii="楷体" w:eastAsia="楷体" w:hAnsi="楷体" w:cs="楷体" w:hint="eastAsia"/>
          <w:em w:val="dot"/>
        </w:rPr>
        <w:t>多辟</w:t>
      </w:r>
      <w:r>
        <w:rPr>
          <w:rFonts w:ascii="楷体" w:eastAsia="楷体" w:hAnsi="楷体" w:cs="楷体" w:hint="eastAsia"/>
        </w:rPr>
        <w:t>，设都于禹之</w:t>
      </w:r>
      <w:r w:rsidRPr="00612AE2">
        <w:rPr>
          <w:rFonts w:ascii="楷体" w:eastAsia="楷体" w:hAnsi="楷体" w:cs="楷体" w:hint="eastAsia"/>
        </w:rPr>
        <w:t>绩。</w:t>
      </w:r>
      <w:r w:rsidR="00612AE2" w:rsidRPr="00612AE2">
        <w:rPr>
          <w:rFonts w:ascii="汉仪楷体KW" w:eastAsia="楷体" w:hint="eastAsia"/>
        </w:rPr>
        <w:t>（《商颂·殷武》）</w:t>
      </w:r>
    </w:p>
    <w:bookmarkEnd w:id="1"/>
    <w:p w14:paraId="27C9C832" w14:textId="77777777" w:rsidR="00C2739D" w:rsidRDefault="00000000">
      <w:pPr>
        <w:pStyle w:val="aff6"/>
        <w:ind w:firstLine="560"/>
        <w:rPr>
          <w:rFonts w:hint="eastAsia"/>
        </w:rPr>
      </w:pPr>
      <w:r>
        <w:t>（1）传：“对，配也。”郑笺：“作，为也。天为邦，谓兴周国也。作配，谓为生明君也。”郑笺将“配”理解为作周邦的“配”，即周邦之君，这也影响了后来像孔颖达、苏辙、朱熹等学者。</w:t>
      </w:r>
      <w:r>
        <w:rPr>
          <w:vertAlign w:val="superscript"/>
        </w:rPr>
        <w:endnoteReference w:id="17"/>
      </w:r>
      <w:r>
        <w:t>郑玄不仅此处说解有误，对上章的“天立厥配”之“配”也不通，他说“天既顾文王，又为之生贤妃，谓大姒也”。</w:t>
      </w:r>
      <w:r>
        <w:rPr>
          <w:vertAlign w:val="superscript"/>
        </w:rPr>
        <w:endnoteReference w:id="18"/>
      </w:r>
      <w:r>
        <w:t>这是将“配”理解为后妃之“配”，失之愈远。欧阳修云：“‘天立厥配’者，谓立其德可配天者以为君也</w:t>
      </w:r>
      <w:r>
        <w:rPr>
          <w:rFonts w:ascii="Cambria Math" w:hAnsi="Cambria Math" w:cs="Cambria Math"/>
        </w:rPr>
        <w:t>⋯⋯</w:t>
      </w:r>
      <w:r>
        <w:t>谓其土地肥美，可以建国，乃使之作周邦以配天。”</w:t>
      </w:r>
      <w:r>
        <w:rPr>
          <w:vertAlign w:val="superscript"/>
        </w:rPr>
        <w:endnoteReference w:id="19"/>
      </w:r>
      <w:r>
        <w:t>胡承珙云：“‘妃’之为‘媲’，不必定为男女配偶。毛训</w:t>
      </w:r>
      <w:r>
        <w:lastRenderedPageBreak/>
        <w:t>‘配’为‘媲’，止当为‘配天’之义。下‘作邦作对’传云：‘对，配也。’《文王有声》‘作丰伊匹’传云：‘匹，配也。’此皆假‘配’为‘妃’，而其义皆为两相辈偶而已。《诗》《书》中如‘其自时配皇天’、‘克配上帝’，皆此义。”</w:t>
      </w:r>
      <w:r>
        <w:rPr>
          <w:vertAlign w:val="superscript"/>
        </w:rPr>
        <w:endnoteReference w:id="20"/>
      </w:r>
      <w:r>
        <w:t>马瑞辰也说：“‘天立厥配’正与‘作对’同义，谓立君以配天也。”</w:t>
      </w:r>
      <w:r>
        <w:rPr>
          <w:vertAlign w:val="superscript"/>
        </w:rPr>
        <w:endnoteReference w:id="21"/>
      </w:r>
      <w:r>
        <w:t>近代以来诸家说诗者多承此旨，不备举。“帝作邦作对”即上帝立邦立配，在此诗中指上帝建立了周邦，</w:t>
      </w:r>
      <w:r>
        <w:rPr>
          <w:vertAlign w:val="superscript"/>
        </w:rPr>
        <w:endnoteReference w:id="22"/>
      </w:r>
      <w:r>
        <w:t>并立了周邦之君作为自己的“配”。可见“邦”是上帝所建立的，邦的君主也是上帝为自己所设的“配”。（2）《崧高》诗描述了姜姓的甫和申的来源，“甫”即吕，“申”即西申，</w:t>
      </w:r>
      <w:r>
        <w:rPr>
          <w:vertAlign w:val="superscript"/>
        </w:rPr>
        <w:endnoteReference w:id="23"/>
      </w:r>
      <w:r>
        <w:t>二者在西周时皆称王。</w:t>
      </w:r>
      <w:r>
        <w:rPr>
          <w:vertAlign w:val="superscript"/>
        </w:rPr>
        <w:endnoteReference w:id="24"/>
      </w:r>
      <w:r>
        <w:t>周王有“周邦”，吕、申盖亦是“吕邦”、“申邦”，它们都由神所降生。《尚书·多方》“惟典神天”，以“神”、“天”并言。（3）《商颂》是西周中后期宋人的作品，</w:t>
      </w:r>
      <w:r>
        <w:rPr>
          <w:vertAlign w:val="superscript"/>
        </w:rPr>
        <w:endnoteReference w:id="25"/>
      </w:r>
      <w:r>
        <w:t>在追溯商的来源时亦是称上帝所建立，《玄鸟》言“天命玄鸟，降而生商”，可见殷邦（大邦殷）乃帝所立，与周邦、吕邦、申邦同。（4）（5）可合观，毛传释“上帝”为君王，郑笺目为厉王，欧阳修云：“诗人言上帝者多矣，皆谓天帝也。而毛、郑惟于《板》及此诗以‘上帝’为‘君王’，意谓斥厉王者，皆非也。”</w:t>
      </w:r>
      <w:r>
        <w:rPr>
          <w:vertAlign w:val="superscript"/>
        </w:rPr>
        <w:endnoteReference w:id="26"/>
      </w:r>
      <w:r>
        <w:t>以西周金文证之，欧说为是。《荡》言“疾威上帝”，毛公鼎（《集成》02841；《铭图》02518）作“旻天疾威”，</w:t>
      </w:r>
      <w:r>
        <w:lastRenderedPageBreak/>
        <w:t>师询簋（《集成》04342；《铭图》05402）作“天疾威”，皆与之意同。“疾威”，过去经师多训暴虐，是受了传、笺指为厉王的影响。“疾”，急也。“威”，严也，怒也。</w:t>
      </w:r>
      <w:r>
        <w:rPr>
          <w:vertAlign w:val="superscript"/>
        </w:rPr>
        <w:endnoteReference w:id="27"/>
      </w:r>
      <w:r>
        <w:t>“疾威上帝”犹言甚有威严之上帝。既如此，“其命多辟”之“辟”非如郑笺所释“邪僻”之意，而是同于《商颂·殷武》“天命多辟，设都于禹之绩”之“辟”，毛传解为“君”，是也。笺云：“多，众也。天命乃令天下众君诸侯，立都于禹所治之功。”这是训“绩”为功，误。马瑞辰指出：“《说文》：‘迹，步处也。或作迹。’古经传因多假迹为绩，此诗又假绩为迹，九州皆经禹治，因称禹迹，《周书·立政》‘以陟禹之迹’，襄四年《左传》引《虞人之箴》曰‘芒芒禹迹，画为九州’是也。诗云‘设都于禹之绩’，正谓设都于禹所治之地。”</w:t>
      </w:r>
      <w:r>
        <w:rPr>
          <w:vertAlign w:val="superscript"/>
        </w:rPr>
        <w:endnoteReference w:id="28"/>
      </w:r>
      <w:r>
        <w:t>古人将大地称为“禹之迹”、“禹迹”、“禹之绩”、“禹之堵”，是以禹敷土的传说为主要背景的，因为土地是禹造成的，所以遍天下都是禹的迹。“禹之迹”即大禹所行经治理平定的疆域，换言之亦即当时人所理解的“天下”、“下土”。</w:t>
      </w:r>
      <w:r>
        <w:rPr>
          <w:vertAlign w:val="superscript"/>
        </w:rPr>
        <w:endnoteReference w:id="29"/>
      </w:r>
      <w:r>
        <w:t>“天命多辟”郑笺释为“天命乃令天下众君诸侯禹平水土，弼成五服，而诸侯之国定，是以云然”，若《荡》“疾威上帝，天命多辟”郑未错释的话，估计也要做这样的解释，即将“多辟”解为天下众君诸侯。然遍检西周金文，诸侯都未曾与“天”发生过关系，</w:t>
      </w:r>
      <w:r>
        <w:lastRenderedPageBreak/>
        <w:t>诸侯乃是周王所命，</w:t>
      </w:r>
      <w:r>
        <w:rPr>
          <w:vertAlign w:val="superscript"/>
        </w:rPr>
        <w:endnoteReference w:id="30"/>
      </w:r>
      <w:r>
        <w:t>非天所命。因此，此处之“多辟”解释为众君诸侯显然不妥，欲知“多辟”的确切含义，需要来看下面两则材料：</w:t>
      </w:r>
    </w:p>
    <w:p w14:paraId="0311E1BC" w14:textId="77777777" w:rsidR="00C2739D" w:rsidRDefault="00000000">
      <w:pPr>
        <w:pStyle w:val="aff4"/>
        <w:spacing w:before="540" w:after="540"/>
        <w:ind w:firstLine="496"/>
        <w:rPr>
          <w:rFonts w:hint="eastAsia"/>
          <w:lang w:eastAsia="zh-CN"/>
        </w:rPr>
      </w:pPr>
      <w:r>
        <w:rPr>
          <w:u w:val="single"/>
          <w:lang w:eastAsia="zh-CN"/>
        </w:rPr>
        <w:t>天</w:t>
      </w:r>
      <w:r>
        <w:rPr>
          <w:lang w:eastAsia="zh-CN"/>
        </w:rPr>
        <w:t>惟求尔</w:t>
      </w:r>
      <w:r w:rsidRPr="00357091">
        <w:rPr>
          <w:em w:val="dot"/>
          <w:lang w:eastAsia="zh-CN"/>
        </w:rPr>
        <w:t>多方</w:t>
      </w:r>
      <w:r>
        <w:rPr>
          <w:lang w:eastAsia="zh-CN"/>
        </w:rPr>
        <w:t>，大动以威，开厥顾天。惟尔多方罔堪顾之，惟我周王灵承于旅，克堪用德，惟典神天。天惟式教我用休，简畀殷命，尹尔多方。（《尚书·多方》）</w:t>
      </w:r>
    </w:p>
    <w:p w14:paraId="600DAC48" w14:textId="77777777" w:rsidR="00C2739D" w:rsidRDefault="00000000">
      <w:pPr>
        <w:pStyle w:val="aff6"/>
        <w:ind w:firstLine="560"/>
        <w:rPr>
          <w:rFonts w:hint="eastAsia"/>
        </w:rPr>
      </w:pPr>
      <w:r>
        <w:t>此周公代宣王命，前面回忆了夏、商后王安逸享乐而不敬天命，故天降大丧。并说天给了汤子孙（纣）五年的时间让他悔过，继续作民之主，然纣既不考虑也不听从天意。上天（对他很失望）故“求尔多方，大动以威，开厥顾天”。“求”，诸家多训寻觅、求索，屈万里、程元敏比之《大雅·江汉》“淮夷来求”之“求”，有问罪之义。</w:t>
      </w:r>
      <w:r>
        <w:rPr>
          <w:vertAlign w:val="superscript"/>
        </w:rPr>
        <w:endnoteReference w:id="31"/>
      </w:r>
      <w:r>
        <w:t>但本篇开头提到夏末时贪图享乐，不勤勉于上帝之引导，导致夏邑内乱，所以“天惟时求民主，乃大降显休命于成汤，刑殄有夏”，“求”训问罪则不通。与本句前强调纣贪图安逸而不能作民主相同，两个“求”应同义。何晋释“天惟求尔多方”之“求”为寻求，寻求其堪为民之主者，</w:t>
      </w:r>
      <w:r>
        <w:rPr>
          <w:vertAlign w:val="superscript"/>
        </w:rPr>
        <w:endnoteReference w:id="32"/>
      </w:r>
      <w:r>
        <w:t>合适。蔡沈云：“纣既罔可念听，天于是求民主于尔多方，大警动以祲祥谴告之威，以开发其受眷顾之命者。”</w:t>
      </w:r>
      <w:r>
        <w:rPr>
          <w:vertAlign w:val="superscript"/>
        </w:rPr>
        <w:endnoteReference w:id="33"/>
      </w:r>
      <w:r>
        <w:t>但训“顾天”为受天眷顾之命，不辞。戴钧衡谓“顾”，仰视之意，“顾天”</w:t>
      </w:r>
      <w:r>
        <w:lastRenderedPageBreak/>
        <w:t>谓仰承天意者。</w:t>
      </w:r>
      <w:r>
        <w:rPr>
          <w:vertAlign w:val="superscript"/>
        </w:rPr>
        <w:endnoteReference w:id="34"/>
      </w:r>
      <w:r>
        <w:t>曾运亁释“顾天”为“顾念天威”，</w:t>
      </w:r>
      <w:r>
        <w:rPr>
          <w:vertAlign w:val="superscript"/>
        </w:rPr>
        <w:endnoteReference w:id="35"/>
      </w:r>
      <w:r>
        <w:t>亦通。则周公此句意为：（因纣不念听天意）天于是求之于你们多方，大显天威，以开启你们多方之顾念天意者。但你们多方不足以仰承天意，惟有我们周王能以德善承天之美意，</w:t>
      </w:r>
      <w:r>
        <w:rPr>
          <w:vertAlign w:val="superscript"/>
        </w:rPr>
        <w:endnoteReference w:id="36"/>
      </w:r>
      <w:r>
        <w:t>遵法神明天命。</w:t>
      </w:r>
      <w:r>
        <w:rPr>
          <w:vertAlign w:val="superscript"/>
        </w:rPr>
        <w:endnoteReference w:id="37"/>
      </w:r>
      <w:r>
        <w:t>天乃用告我以休征之事，选择并授予（我）殷之天命，以治理你们多方。</w:t>
      </w:r>
      <w:r>
        <w:rPr>
          <w:vertAlign w:val="superscript"/>
        </w:rPr>
        <w:endnoteReference w:id="38"/>
      </w:r>
      <w:r>
        <w:t>由此可知，当殷失去他领袖的地位后，“多方”与“周”都在上天的考察范围内，“多方”因无德不能承受天命，周因有德而受天命。所以《大雅·文王》说“周虽旧邦，其命惟新”。“多方”即“万邦”，因它们与周邦一样，本是上帝（天）所立，不是周王所建，所以史墙盘说文王“会受万邦”，《大雅·大明》说“厥德不回，以受方国”，即自上帝那里接受了统领万邦/方的权力。我们再看《大雅·皇矣》诗：</w:t>
      </w:r>
    </w:p>
    <w:p w14:paraId="07972ED6" w14:textId="77777777" w:rsidR="00C2739D" w:rsidRDefault="00000000">
      <w:pPr>
        <w:pStyle w:val="aff4"/>
        <w:spacing w:before="540" w:after="540"/>
        <w:ind w:firstLine="496"/>
        <w:rPr>
          <w:rFonts w:hint="eastAsia"/>
          <w:lang w:eastAsia="zh-CN"/>
        </w:rPr>
      </w:pPr>
      <w:r>
        <w:rPr>
          <w:lang w:eastAsia="zh-CN"/>
        </w:rPr>
        <w:t>皇矣</w:t>
      </w:r>
      <w:r>
        <w:rPr>
          <w:u w:val="single"/>
          <w:lang w:eastAsia="zh-CN"/>
        </w:rPr>
        <w:t>上帝</w:t>
      </w:r>
      <w:r>
        <w:rPr>
          <w:lang w:eastAsia="zh-CN"/>
        </w:rPr>
        <w:t>，临下有赫。监观四方，求民之莫。维此二国，其政不获，惟彼</w:t>
      </w:r>
      <w:r w:rsidRPr="00357091">
        <w:rPr>
          <w:em w:val="dot"/>
          <w:lang w:eastAsia="zh-CN"/>
        </w:rPr>
        <w:t>四国</w:t>
      </w:r>
      <w:r>
        <w:rPr>
          <w:lang w:eastAsia="zh-CN"/>
        </w:rPr>
        <w:t>，爰究爰度。上帝耆之，憎其式廓。乃眷西顾，此维与宅。</w:t>
      </w:r>
    </w:p>
    <w:p w14:paraId="4DEC88B4" w14:textId="77777777" w:rsidR="00C2739D" w:rsidRDefault="00000000">
      <w:pPr>
        <w:pStyle w:val="aff6"/>
        <w:ind w:firstLine="560"/>
        <w:rPr>
          <w:rFonts w:hint="eastAsia"/>
        </w:rPr>
      </w:pPr>
      <w:r>
        <w:t>毛传：“二国，殷、夏也。彼，彼有道也。四国，四方也。究，谋。度，居也。”郑笺释“四国”为“密、阮、徂、共”，甚误。陈奂曰：“四国，即天监之四方。”</w:t>
      </w:r>
      <w:r>
        <w:rPr>
          <w:vertAlign w:val="superscript"/>
        </w:rPr>
        <w:endnoteReference w:id="39"/>
      </w:r>
      <w:r>
        <w:t>马瑞辰曰：“《诗》中言四国者多系泛言，《传》以四国为四方，是也。”</w:t>
      </w:r>
      <w:r>
        <w:rPr>
          <w:vertAlign w:val="superscript"/>
        </w:rPr>
        <w:endnoteReference w:id="40"/>
      </w:r>
      <w:r>
        <w:t>“爰究爰度”，马瑞辰谓</w:t>
      </w:r>
      <w:r>
        <w:lastRenderedPageBreak/>
        <w:t>“天之谋度四国”。</w:t>
      </w:r>
      <w:r>
        <w:rPr>
          <w:vertAlign w:val="superscript"/>
        </w:rPr>
        <w:endnoteReference w:id="41"/>
      </w:r>
      <w:r>
        <w:t>朱熹训“究”为寻，训“度”为谋。</w:t>
      </w:r>
      <w:r>
        <w:rPr>
          <w:vertAlign w:val="superscript"/>
        </w:rPr>
        <w:endnoteReference w:id="42"/>
      </w:r>
      <w:r>
        <w:t>屈万里云：“言寻觅谋求四方之国，以视孰可以承受天命也。”</w:t>
      </w:r>
      <w:r>
        <w:rPr>
          <w:vertAlign w:val="superscript"/>
        </w:rPr>
        <w:endnoteReference w:id="43"/>
      </w:r>
      <w:r>
        <w:t>“耆”，毛传：“恶也。”“式”，语词。“廓”，空虚也，谓其无政也。</w:t>
      </w:r>
      <w:r>
        <w:rPr>
          <w:vertAlign w:val="superscript"/>
        </w:rPr>
        <w:endnoteReference w:id="44"/>
      </w:r>
      <w:r>
        <w:t>《皇矣》第一章言光明伟大的上帝，威严地审视着下土，注视着四方，以求民之安定。夏、殷二邦不施善政，上帝是以寻觅访求“四国”。上帝憎恶无政者，于是考察西土，谋度其（指周）心。</w:t>
      </w:r>
      <w:r>
        <w:rPr>
          <w:vertAlign w:val="superscript"/>
        </w:rPr>
        <w:endnoteReference w:id="45"/>
      </w:r>
      <w:r>
        <w:t>“二国”，应为二邦，指夏、殷。</w:t>
      </w:r>
      <w:r>
        <w:rPr>
          <w:vertAlign w:val="superscript"/>
        </w:rPr>
        <w:endnoteReference w:id="46"/>
      </w:r>
      <w:r>
        <w:t>“四国”，即《多方》之“四国多方”、逑盘之“四国万邦”，“四国”（四方）内是包含着小大庶邦的，也即“多方”。上举《多方》与《皇矣》的例子可证“四国多方”与周邦在上帝看来是平等的，当下土的领袖不遵法天命、有败政的时候，“多方”与周邦都是上帝的备选者。周邦是天所立，甫、申、殷（商）等也都是天（帝、神）所立，周王是周邦的“辟”，则“天命多辟”之“多辟”大概是“多方”的辟，也即“万邦”之君。“天命多辟，设都于禹之绩”正谓上帝在下土建立“多方”以及任命多方的“辟”。</w:t>
      </w:r>
      <w:r>
        <w:rPr>
          <w:vertAlign w:val="superscript"/>
        </w:rPr>
        <w:endnoteReference w:id="47"/>
      </w:r>
      <w:r>
        <w:t>看来，“邦君”与“诸侯”的根本区别在于其本源是否来自天。上举例证除了《多方》有可能源自西周早期史官纪录的文本之外，其他皆是西周中晚期的材料，在周人看来，邦与邦君是天（上帝）所立所命，其本源并非出自周王。但周王也能对这些邦君进行任命，如《多方》：</w:t>
      </w:r>
    </w:p>
    <w:p w14:paraId="06454DBE" w14:textId="77777777" w:rsidR="00C2739D" w:rsidRDefault="00000000">
      <w:pPr>
        <w:pStyle w:val="aff4"/>
        <w:spacing w:before="540" w:after="540"/>
        <w:ind w:firstLine="496"/>
        <w:rPr>
          <w:rFonts w:hint="eastAsia"/>
          <w:lang w:eastAsia="zh-CN"/>
        </w:rPr>
      </w:pPr>
      <w:r>
        <w:rPr>
          <w:lang w:eastAsia="zh-CN"/>
        </w:rPr>
        <w:lastRenderedPageBreak/>
        <w:t>a.尔何不夹介乂我周王，享天之命？</w:t>
      </w:r>
    </w:p>
    <w:p w14:paraId="2BC4182A" w14:textId="77777777" w:rsidR="00C2739D" w:rsidRDefault="00000000">
      <w:pPr>
        <w:pStyle w:val="aff4"/>
        <w:spacing w:before="540" w:after="540"/>
        <w:ind w:firstLine="496"/>
        <w:rPr>
          <w:rFonts w:hint="eastAsia"/>
          <w:lang w:eastAsia="zh-CN"/>
        </w:rPr>
      </w:pPr>
      <w:r>
        <w:rPr>
          <w:lang w:eastAsia="zh-CN"/>
        </w:rPr>
        <w:t>b.我有周惟其大介赉尔，迪简在王庭，尚尔事，有服在大僚。</w:t>
      </w:r>
    </w:p>
    <w:p w14:paraId="1CDFC832" w14:textId="77777777" w:rsidR="00C2739D" w:rsidRDefault="00000000">
      <w:pPr>
        <w:pStyle w:val="aff6"/>
        <w:ind w:firstLine="560"/>
        <w:rPr>
          <w:rFonts w:hint="eastAsia"/>
        </w:rPr>
      </w:pPr>
      <w:r>
        <w:t>a.句意为：“你们（多方）何不辅助安我周王同享天之命乎？”b.句意为：“我有周会大大地赏赐你们，并提拔进用你们到王庭，尊尚你们的职事，让你们居于高位。”</w:t>
      </w:r>
      <w:r>
        <w:rPr>
          <w:vertAlign w:val="superscript"/>
        </w:rPr>
        <w:endnoteReference w:id="48"/>
      </w:r>
      <w:r>
        <w:t>但同时周公强调与多方共享“天命”，这是与一般的周王职官不同的，即如诸侯，</w:t>
      </w:r>
      <w:r>
        <w:rPr>
          <w:vertAlign w:val="superscript"/>
        </w:rPr>
        <w:endnoteReference w:id="49"/>
      </w:r>
      <w:r>
        <w:t>也是如此。我们一般认为“封建”卫的《康诰》言：</w:t>
      </w:r>
    </w:p>
    <w:p w14:paraId="500FDDD6" w14:textId="77777777" w:rsidR="00C2739D" w:rsidRDefault="00000000">
      <w:pPr>
        <w:pStyle w:val="aff4"/>
        <w:spacing w:before="540" w:after="540"/>
        <w:ind w:firstLine="496"/>
        <w:rPr>
          <w:rFonts w:hint="eastAsia"/>
          <w:lang w:eastAsia="zh-CN"/>
        </w:rPr>
      </w:pPr>
      <w:r>
        <w:rPr>
          <w:lang w:eastAsia="zh-CN"/>
        </w:rPr>
        <w:t>王曰：呜呼！肆汝小子封。惟命不于常，汝念哉！无我殄享，明乃服命，高乃听，用康乂民。</w:t>
      </w:r>
    </w:p>
    <w:p w14:paraId="0BBE3303" w14:textId="77777777" w:rsidR="00C2739D" w:rsidRDefault="00000000">
      <w:pPr>
        <w:pStyle w:val="aff4"/>
        <w:spacing w:before="540" w:after="540"/>
        <w:ind w:firstLine="496"/>
        <w:rPr>
          <w:rFonts w:hint="eastAsia"/>
          <w:lang w:eastAsia="zh-CN"/>
        </w:rPr>
      </w:pPr>
      <w:r>
        <w:t>王若曰：往哉，封！勿替敬，典听朕告，汝乃以殷民世享。</w:t>
      </w:r>
    </w:p>
    <w:p w14:paraId="1AB7AC85" w14:textId="77777777" w:rsidR="00C2739D" w:rsidRDefault="00000000">
      <w:pPr>
        <w:pStyle w:val="aff6"/>
        <w:ind w:firstLine="560"/>
        <w:rPr>
          <w:rFonts w:hint="eastAsia"/>
        </w:rPr>
      </w:pPr>
      <w:r>
        <w:t>周王说：“啊！小子封，天命无常，你得好好牢记。不要让我周室绝灭享祀，勤勉地干好你的职事，广听以安治民众。去吧，封。切勿怠弛于敬谨，常听从我的诰教，你就能率领殷民永保享祀。”诸家皆释“世享”为世世保有你的国家（邦），我们对此持怀疑态度。正如前论，邦与邦君皆天所立，因此周公才会说与“多方”一同享天命。而如康侯封则非如此，“汝虽小子，乃服惟弘王应保殷民，亦惟助王</w:t>
      </w:r>
      <w:r>
        <w:lastRenderedPageBreak/>
        <w:t>宅天命，作新民”，度“天命”的是周王，“应保殷民”的也是周王，封只是周王派到“妹邦”去管理殷民的，所以周王只说你要好好干好你的职事，不要绝灭了我周室的祭祀，说明所谓“诸侯”总归是属于周邦内的职官。西周金文也能证明，不论生死，与天（帝）发生关系的始终是周王，不是诸侯。“世享”，西周实行世族世官制，没有后世的俸禄，只要还居王官，就能世世保有其封土和民人。</w:t>
      </w:r>
      <w:r>
        <w:rPr>
          <w:vertAlign w:val="superscript"/>
        </w:rPr>
        <w:endnoteReference w:id="50"/>
      </w:r>
    </w:p>
    <w:p w14:paraId="13622729" w14:textId="77777777" w:rsidR="00C2739D" w:rsidRDefault="00000000">
      <w:pPr>
        <w:pStyle w:val="aff6"/>
        <w:ind w:firstLine="560"/>
        <w:rPr>
          <w:rFonts w:hint="eastAsia"/>
        </w:rPr>
      </w:pPr>
      <w:r>
        <w:t>讨论至此，我们已然明了，在西周时期，人们认为“方/邦”是由天（上帝）所立，一方/邦之君（长）也是天（上帝）设立的。盨铭之“逑方设正”，“逑”，训为匹。 《大雅·下武》“王配于京，世德作求”，陈奂疏曰：“求，读为逑。逑，匹也。匹，亦配也。”</w:t>
      </w:r>
      <w:r>
        <w:rPr>
          <w:vertAlign w:val="superscript"/>
        </w:rPr>
        <w:endnoteReference w:id="51"/>
      </w:r>
      <w:r>
        <w:t>马瑞辰：“逑，匹也，配也。作求即作配耳。”</w:t>
      </w:r>
      <w:r>
        <w:rPr>
          <w:vertAlign w:val="superscript"/>
        </w:rPr>
        <w:endnoteReference w:id="52"/>
      </w:r>
      <w:r>
        <w:t>“方”，已经有多位学者将之与邦、方国、邦族联系起来，</w:t>
      </w:r>
      <w:r>
        <w:rPr>
          <w:vertAlign w:val="superscript"/>
        </w:rPr>
        <w:endnoteReference w:id="53"/>
      </w:r>
      <w:r>
        <w:t>可从，其实也就是我们前文经常提到的“多方”。“逑方”即上天设立方（邦）作为自己的配。方（邦）也可以成为天的配，如毛公鼎（《集成》02841；《铭图》02518）说“皇天引厌厥德，配我有周”。“征”，裘锡圭读为正长之“正”，并举员鼎为证。</w:t>
      </w:r>
      <w:r>
        <w:rPr>
          <w:vertAlign w:val="superscript"/>
        </w:rPr>
        <w:endnoteReference w:id="54"/>
      </w:r>
      <w:r>
        <w:t>此外夷伯簋（《铭图》05158）、倗姬鬲（《商周青铜器铭文暨图像集成四編》0276）“正月”也作“征月”。宁镇疆读为“政”，解为官政，并引《尚书·立政》和《史记·鲁周公世家》为</w:t>
      </w:r>
      <w:r>
        <w:lastRenderedPageBreak/>
        <w:t>证。“设政”即为天下设立首领、官长等一套官政体系的意思。</w:t>
      </w:r>
      <w:r>
        <w:rPr>
          <w:vertAlign w:val="superscript"/>
        </w:rPr>
        <w:endnoteReference w:id="55"/>
      </w:r>
      <w:r>
        <w:t>这都很有启发意义，不过王引之已指出“政”当读为“正”，长也，不宜理解为“政治”之“政”。</w:t>
      </w:r>
      <w:r>
        <w:rPr>
          <w:vertAlign w:val="superscript"/>
        </w:rPr>
        <w:endnoteReference w:id="56"/>
      </w:r>
      <w:r>
        <w:t>“方”之长自是方/邦的首领。准此，“逑方设正”即天在命禹平治洪水之后，设立多方及其君长作为自己的匹、配，</w:t>
      </w:r>
      <w:r>
        <w:rPr>
          <w:vertAlign w:val="superscript"/>
        </w:rPr>
        <w:endnoteReference w:id="57"/>
      </w:r>
      <w:r>
        <w:t>即《商颂·殷武》“天命多辟，设都于禹之绩”、《长发》“洪水芒芒，禹敷下土方，帝立子生商”。待大地上有了“方/邦”和首领之后，天便为之降民并监察其德。铭文接着说天“乃自作配向民，成父母，生我王作臣”，天“自作配”指在下土立王，“向民”即引导民众向德，盨铭最后一句说“民唯克用兹德”。“成父母，生我王作臣”是说天为下民生王，作民之父母，并设立王的辅佐。</w:t>
      </w:r>
      <w:r>
        <w:rPr>
          <w:vertAlign w:val="superscript"/>
        </w:rPr>
        <w:endnoteReference w:id="58"/>
      </w:r>
      <w:r>
        <w:t>这儿有两个问题，一是铭文前面提到设立“方”和“正”作为自己的配了，为什么此处又提立王作为自己的配呢？我们认为这与社会发展演进有关系，在各个方/邦形成的时候，他们都会追溯到上帝，都认为自己是上天的“配”，这即《殷武》所说的“天命多辟，设都于禹之绩”、《大雅·荡》“疾威上帝，其命多辟”。但随着战争和征服的加剧，权力逐渐集中到少数强大的方/邦手中，他们就会垄断这种与天作配的权力，如殷王、周王、豳王等，到后来发展到只有天子才能是上天之配了。因此铭文先说“逑方设正”，后说“自作配”、“生</w:t>
      </w:r>
      <w:r>
        <w:lastRenderedPageBreak/>
        <w:t>我王”，</w:t>
      </w:r>
      <w:r>
        <w:rPr>
          <w:vertAlign w:val="superscript"/>
        </w:rPr>
        <w:endnoteReference w:id="59"/>
      </w:r>
      <w:r>
        <w:t>这也体现了这种发展的关系，特别如前所论“多方”在上帝看来都是平等的，他们都有统治他邦的机会，一但这种统治权确立，与天作配的就只能是领袖了。而在周人所宣称的“夏”之前，还没有确立统治权的时候，那自然各个邦、方都可以是天的“配”。前举《下武》篇也是“逑”、“配”互出；第二个问题是《孟子·梁惠王下》引逸《书》曰：“天降下民，作之君，作之师”，</w:t>
      </w:r>
      <w:r>
        <w:rPr>
          <w:vertAlign w:val="superscript"/>
        </w:rPr>
        <w:endnoteReference w:id="60"/>
      </w:r>
      <w:r>
        <w:t>清华简《厚父》：“乃降之民，建夏邦</w:t>
      </w:r>
      <w:r>
        <w:rPr>
          <w:rFonts w:ascii="Cambria Math" w:hAnsi="Cambria Math" w:cs="Cambria Math"/>
        </w:rPr>
        <w:t>⋯⋯</w:t>
      </w:r>
      <w:r>
        <w:t>古天降下民，设万邦，作之君，作之师”，</w:t>
      </w:r>
      <w:r>
        <w:rPr>
          <w:vertAlign w:val="superscript"/>
        </w:rPr>
        <w:endnoteReference w:id="61"/>
      </w:r>
      <w:r>
        <w:t>似乎都是先有“民”才有“邦”和“君”。但我们认为，关注盨铭文本本身更加重要，释“</w:t>
      </w:r>
      <w:r>
        <w:rPr>
          <w:noProof/>
        </w:rPr>
        <w:drawing>
          <wp:inline distT="0" distB="0" distL="0" distR="0" wp14:anchorId="652820AF" wp14:editId="4F7AD0C9">
            <wp:extent cx="138430" cy="152400"/>
            <wp:effectExtent l="0" t="0" r="0" b="0"/>
            <wp:docPr id="1134040579" name="图片 58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040579" name="图片 58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”为“逑”在字形、辞例方面皆能讲通；其次，《大雅·荡》说“疾威上帝，其命多辟。天生烝民，其命匪谌”，“命多辟”在“生烝民”前；</w:t>
      </w:r>
      <w:r>
        <w:rPr>
          <w:vertAlign w:val="superscript"/>
        </w:rPr>
        <w:endnoteReference w:id="62"/>
      </w:r>
      <w:r>
        <w:t>《商颂·殷武》“天命多辟，设都于禹之绩”也在“天命降监，下民有严”之前。因此，先有“方”、“正”后有“民”也不是不行。</w:t>
      </w:r>
    </w:p>
    <w:p w14:paraId="37851641" w14:textId="77777777" w:rsidR="00C2739D" w:rsidRDefault="00C2739D">
      <w:pPr>
        <w:pStyle w:val="aff6"/>
        <w:ind w:firstLine="560"/>
        <w:rPr>
          <w:rFonts w:hint="eastAsia"/>
        </w:rPr>
      </w:pPr>
    </w:p>
    <w:p w14:paraId="07B38499" w14:textId="77777777" w:rsidR="00C2739D" w:rsidRDefault="00000000">
      <w:pPr>
        <w:pStyle w:val="aff6"/>
        <w:ind w:firstLineChars="0" w:firstLine="0"/>
        <w:jc w:val="center"/>
        <w:rPr>
          <w:rFonts w:hint="eastAsia"/>
          <w:b/>
          <w:bCs/>
        </w:rPr>
      </w:pPr>
      <w:r>
        <w:rPr>
          <w:b/>
          <w:bCs/>
        </w:rPr>
        <w:t>三</w:t>
      </w:r>
    </w:p>
    <w:p w14:paraId="0CF291EA" w14:textId="77777777" w:rsidR="00C2739D" w:rsidRDefault="00000000">
      <w:pPr>
        <w:pStyle w:val="aff6"/>
        <w:ind w:firstLine="560"/>
        <w:rPr>
          <w:rFonts w:hint="eastAsia"/>
        </w:rPr>
      </w:pPr>
      <w:r>
        <w:t>文章主要内容可总结如下：</w:t>
      </w:r>
    </w:p>
    <w:p w14:paraId="50D4778D" w14:textId="77777777" w:rsidR="00C2739D" w:rsidRDefault="00000000">
      <w:pPr>
        <w:pStyle w:val="aff6"/>
        <w:ind w:firstLine="560"/>
        <w:rPr>
          <w:rFonts w:hint="eastAsia"/>
        </w:rPr>
      </w:pPr>
      <w:r>
        <w:t>1、豳公盨“</w:t>
      </w:r>
      <w:r>
        <w:rPr>
          <w:noProof/>
        </w:rPr>
        <w:drawing>
          <wp:inline distT="0" distB="0" distL="0" distR="0" wp14:anchorId="35A8887C" wp14:editId="1D88D23E">
            <wp:extent cx="138430" cy="152400"/>
            <wp:effectExtent l="0" t="0" r="0" b="0"/>
            <wp:docPr id="1535925930" name="图片 57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925930" name="图片 57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”字可读为“逑”，义为匹、配；</w:t>
      </w:r>
    </w:p>
    <w:p w14:paraId="01FB493F" w14:textId="77777777" w:rsidR="00C2739D" w:rsidRDefault="00000000">
      <w:pPr>
        <w:pStyle w:val="aff6"/>
        <w:ind w:firstLine="560"/>
        <w:rPr>
          <w:rFonts w:hint="eastAsia"/>
        </w:rPr>
      </w:pPr>
      <w:r>
        <w:t>2、“逑方设正”指天（上帝）命禹治理好洪水后，在大地上建</w:t>
      </w:r>
      <w:r>
        <w:lastRenderedPageBreak/>
        <w:t>立方邦，并设立诸方（邦）的君长作为自己的配。</w:t>
      </w:r>
    </w:p>
    <w:bookmarkEnd w:id="0"/>
    <w:p w14:paraId="2035B461" w14:textId="77777777" w:rsidR="00C2739D" w:rsidRDefault="00C2739D">
      <w:pPr>
        <w:pStyle w:val="aff6"/>
        <w:ind w:firstLine="560"/>
        <w:rPr>
          <w:rFonts w:hint="eastAsia"/>
        </w:rPr>
      </w:pPr>
    </w:p>
    <w:sectPr w:rsidR="00C2739D">
      <w:headerReference w:type="default" r:id="rId21"/>
      <w:footerReference w:type="even" r:id="rId22"/>
      <w:footerReference w:type="default" r:id="rId23"/>
      <w:endnotePr>
        <w:numFmt w:val="decimal"/>
      </w:endnotePr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EDDDF" w14:textId="77777777" w:rsidR="001100F4" w:rsidRDefault="001100F4">
      <w:pPr>
        <w:rPr>
          <w:rFonts w:hint="eastAsia"/>
        </w:rPr>
      </w:pPr>
      <w:r>
        <w:separator/>
      </w:r>
    </w:p>
  </w:endnote>
  <w:endnote w:type="continuationSeparator" w:id="0">
    <w:p w14:paraId="76B32609" w14:textId="77777777" w:rsidR="001100F4" w:rsidRDefault="001100F4">
      <w:pPr>
        <w:rPr>
          <w:rFonts w:hint="eastAsia"/>
        </w:rPr>
      </w:pPr>
      <w:r>
        <w:continuationSeparator/>
      </w:r>
    </w:p>
  </w:endnote>
  <w:endnote w:id="1">
    <w:p w14:paraId="3CFC4235" w14:textId="77777777" w:rsidR="00C2739D" w:rsidRDefault="00000000">
      <w:pPr>
        <w:pStyle w:val="ad"/>
        <w:rPr>
          <w:rFonts w:cs="宋体" w:hint="eastAsia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Fonts w:hint="eastAsia"/>
        </w:rPr>
        <w:t xml:space="preserve"> 本文引用铭文一律采用宽式释文，常见字直接写为通行字，一般不作</w:t>
      </w:r>
      <w:r>
        <w:rPr>
          <w:rFonts w:hint="eastAsia"/>
          <w:szCs w:val="40"/>
        </w:rPr>
        <w:t>严格隶定和括注。</w:t>
      </w:r>
    </w:p>
  </w:endnote>
  <w:endnote w:id="2">
    <w:p w14:paraId="3484C16C" w14:textId="77777777" w:rsidR="00C2739D" w:rsidRDefault="00000000">
      <w:pPr>
        <w:pStyle w:val="ad"/>
        <w:rPr>
          <w:rFonts w:hint="eastAsia"/>
          <w:szCs w:val="40"/>
        </w:rPr>
      </w:pPr>
      <w:r>
        <w:rPr>
          <w:rStyle w:val="afd"/>
          <w:rFonts w:hint="eastAsia"/>
          <w:sz w:val="21"/>
          <w:szCs w:val="40"/>
        </w:rPr>
        <w:endnoteRef/>
      </w:r>
      <w:r>
        <w:rPr>
          <w:rFonts w:hint="eastAsia"/>
          <w:szCs w:val="40"/>
        </w:rPr>
        <w:t xml:space="preserve"> 李学勤：《论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66B9A64C" wp14:editId="7B2D9E7A">
            <wp:extent cx="114300" cy="123825"/>
            <wp:effectExtent l="0" t="0" r="0" b="9525"/>
            <wp:docPr id="1943713134" name="图片 88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13134" name="图片 88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Cs w:val="40"/>
        </w:rPr>
        <w:t>公盨及其重要意义》，《中国历史</w:t>
      </w:r>
      <w:r>
        <w:rPr>
          <w:rFonts w:ascii="Times New Roman Regular" w:hAnsi="Times New Roman Regular" w:cs="Times New Roman Regular" w:hint="eastAsia"/>
          <w:szCs w:val="40"/>
        </w:rPr>
        <w:t>文物》</w:t>
      </w:r>
      <w:r>
        <w:rPr>
          <w:rFonts w:ascii="Times New Roman Regular" w:hAnsi="Times New Roman Regular" w:cs="Times New Roman Regular"/>
          <w:szCs w:val="40"/>
        </w:rPr>
        <w:t>2002</w:t>
      </w:r>
      <w:r>
        <w:rPr>
          <w:rFonts w:ascii="Times New Roman Regular" w:hAnsi="Times New Roman Regular" w:cs="Times New Roman Regular" w:hint="eastAsia"/>
          <w:szCs w:val="40"/>
        </w:rPr>
        <w:t>年第</w:t>
      </w:r>
      <w:r>
        <w:rPr>
          <w:rFonts w:ascii="Times New Roman Regular" w:hAnsi="Times New Roman Regular" w:cs="Times New Roman Regular"/>
          <w:szCs w:val="40"/>
        </w:rPr>
        <w:t>6</w:t>
      </w:r>
      <w:r>
        <w:rPr>
          <w:rFonts w:ascii="Times New Roman Regular" w:hAnsi="Times New Roman Regular" w:cs="Times New Roman Regular" w:hint="eastAsia"/>
          <w:szCs w:val="40"/>
        </w:rPr>
        <w:t>期，第</w:t>
      </w:r>
      <w:r>
        <w:rPr>
          <w:rFonts w:ascii="Times New Roman Regular" w:hAnsi="Times New Roman Regular" w:cs="Times New Roman Regular"/>
          <w:szCs w:val="40"/>
        </w:rPr>
        <w:t>8</w:t>
      </w:r>
      <w:r>
        <w:rPr>
          <w:rFonts w:ascii="Times New Roman Regular" w:hAnsi="Times New Roman Regular" w:cs="Times New Roman Regular" w:hint="eastAsia"/>
          <w:szCs w:val="40"/>
        </w:rPr>
        <w:t>页</w:t>
      </w:r>
      <w:r>
        <w:rPr>
          <w:rFonts w:hint="eastAsia"/>
          <w:szCs w:val="40"/>
        </w:rPr>
        <w:t>。</w:t>
      </w:r>
    </w:p>
  </w:endnote>
  <w:endnote w:id="3">
    <w:p w14:paraId="63FD21BA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裘锡圭：《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2025AB9A" wp14:editId="60350165">
            <wp:extent cx="114300" cy="123825"/>
            <wp:effectExtent l="0" t="0" r="0" b="9525"/>
            <wp:docPr id="2134741287" name="图片 90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41287" name="图片 90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公盨铭文考释》，原载《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6C836059" wp14:editId="07141C50">
            <wp:extent cx="114300" cy="123825"/>
            <wp:effectExtent l="0" t="0" r="0" b="9525"/>
            <wp:docPr id="767397885" name="图片 89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397885" name="图片 89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公盨——大禹治水与为政以德》，线装书局，</w:t>
      </w:r>
      <w:r>
        <w:rPr>
          <w:rFonts w:ascii="Times New Roman Regular" w:hAnsi="Times New Roman Regular" w:cs="Times New Roman Regular"/>
          <w:szCs w:val="40"/>
        </w:rPr>
        <w:t>2002</w:t>
      </w:r>
      <w:r>
        <w:rPr>
          <w:rFonts w:ascii="Times New Roman Regular" w:hAnsi="Times New Roman Regular" w:cs="Times New Roman Regular" w:hint="eastAsia"/>
          <w:szCs w:val="40"/>
        </w:rPr>
        <w:t>年，后收入《裘锡圭学术文集》第三卷，上海：复旦大学出版社，</w:t>
      </w:r>
      <w:r>
        <w:rPr>
          <w:rFonts w:ascii="Times New Roman Regular" w:hAnsi="Times New Roman Regular" w:cs="Times New Roman Regular"/>
          <w:szCs w:val="40"/>
        </w:rPr>
        <w:t>2012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150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">
    <w:p w14:paraId="0103C014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  <w:lang w:eastAsia="zh-TW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  <w:lang w:eastAsia="zh-TW"/>
        </w:rPr>
        <w:t>陈英杰：《豳公盨“方”字补说》，</w:t>
      </w:r>
      <w:r>
        <w:rPr>
          <w:rFonts w:ascii="Times New Roman Regular" w:hAnsi="Times New Roman Regular" w:cs="Times New Roman Regular"/>
          <w:szCs w:val="40"/>
        </w:rPr>
        <w:t>http://www.gwz.fudan.edu.cn/Web/Show/4472</w:t>
      </w:r>
      <w:r>
        <w:rPr>
          <w:rFonts w:ascii="Times New Roman Regular" w:hAnsi="Times New Roman Regular" w:cs="Times New Roman Regular"/>
          <w:szCs w:val="40"/>
          <w:lang w:eastAsia="zh-TW"/>
        </w:rPr>
        <w:t>,2008</w:t>
      </w:r>
      <w:r>
        <w:rPr>
          <w:rFonts w:ascii="Times New Roman Regular" w:hAnsi="Times New Roman Regular" w:cs="Times New Roman Regular" w:hint="eastAsia"/>
          <w:szCs w:val="40"/>
          <w:lang w:eastAsia="zh-TW"/>
        </w:rPr>
        <w:t>年</w:t>
      </w:r>
      <w:r>
        <w:rPr>
          <w:rFonts w:ascii="Times New Roman Regular" w:hAnsi="Times New Roman Regular" w:cs="Times New Roman Regular"/>
          <w:szCs w:val="40"/>
          <w:lang w:eastAsia="zh-TW"/>
        </w:rPr>
        <w:t>5</w:t>
      </w:r>
      <w:r>
        <w:rPr>
          <w:rFonts w:ascii="Times New Roman Regular" w:hAnsi="Times New Roman Regular" w:cs="Times New Roman Regular" w:hint="eastAsia"/>
          <w:szCs w:val="40"/>
          <w:lang w:eastAsia="zh-TW"/>
        </w:rPr>
        <w:t>月</w:t>
      </w:r>
      <w:r>
        <w:rPr>
          <w:rFonts w:ascii="Times New Roman Regular" w:hAnsi="Times New Roman Regular" w:cs="Times New Roman Regular"/>
          <w:szCs w:val="40"/>
          <w:lang w:eastAsia="zh-TW"/>
        </w:rPr>
        <w:t>25</w:t>
      </w:r>
      <w:r>
        <w:rPr>
          <w:rFonts w:ascii="Times New Roman Regular" w:hAnsi="Times New Roman Regular" w:cs="Times New Roman Regular" w:hint="eastAsia"/>
          <w:szCs w:val="40"/>
          <w:lang w:eastAsia="zh-TW"/>
        </w:rPr>
        <w:t>日；陈英杰：《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298EE4C8" wp14:editId="69EB9D94">
            <wp:extent cx="114300" cy="123825"/>
            <wp:effectExtent l="0" t="0" r="0" b="9525"/>
            <wp:docPr id="782985600" name="图片 91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85600" name="图片 91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  <w:lang w:eastAsia="zh-TW"/>
        </w:rPr>
        <w:t>公盨考释》，《西周金文作器用途铭辞研究》，</w:t>
      </w:r>
      <w:r>
        <w:rPr>
          <w:rFonts w:ascii="Times New Roman Regular" w:hAnsi="Times New Roman Regular" w:cs="Times New Roman Regular" w:hint="eastAsia"/>
          <w:szCs w:val="40"/>
        </w:rPr>
        <w:t>北京：线装书局，</w:t>
      </w:r>
      <w:r>
        <w:rPr>
          <w:rFonts w:ascii="Times New Roman Regular" w:hAnsi="Times New Roman Regular" w:cs="Times New Roman Regular"/>
          <w:szCs w:val="40"/>
        </w:rPr>
        <w:t>2008</w:t>
      </w:r>
      <w:r>
        <w:rPr>
          <w:rFonts w:ascii="Times New Roman Regular" w:hAnsi="Times New Roman Regular" w:cs="Times New Roman Regular" w:hint="eastAsia"/>
          <w:szCs w:val="40"/>
        </w:rPr>
        <w:t>年，</w:t>
      </w:r>
      <w:r>
        <w:rPr>
          <w:rFonts w:ascii="Times New Roman Regular" w:hAnsi="Times New Roman Regular" w:cs="Times New Roman Regular" w:hint="eastAsia"/>
          <w:szCs w:val="40"/>
          <w:lang w:eastAsia="zh-TW"/>
        </w:rPr>
        <w:t>第</w:t>
      </w:r>
      <w:r>
        <w:rPr>
          <w:rFonts w:ascii="Times New Roman Regular" w:hAnsi="Times New Roman Regular" w:cs="Times New Roman Regular"/>
          <w:szCs w:val="40"/>
          <w:lang w:eastAsia="zh-TW"/>
        </w:rPr>
        <w:t>579</w:t>
      </w:r>
      <w:r>
        <w:rPr>
          <w:rFonts w:ascii="Times New Roman Regular" w:hAnsi="Times New Roman Regular" w:cs="Times New Roman Regular" w:hint="eastAsia"/>
          <w:szCs w:val="40"/>
          <w:lang w:eastAsia="zh-TW"/>
        </w:rPr>
        <w:t>页。</w:t>
      </w:r>
    </w:p>
  </w:endnote>
  <w:endnote w:id="5">
    <w:p w14:paraId="07EC7B23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朱凤瀚：《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0F091734" wp14:editId="6ACBD099">
            <wp:extent cx="114300" cy="123825"/>
            <wp:effectExtent l="0" t="0" r="0" b="9525"/>
            <wp:docPr id="1207456807" name="图片 92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56807" name="图片 92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公盨铭文初释》，《中国历史文物》</w:t>
      </w:r>
      <w:r>
        <w:rPr>
          <w:rFonts w:ascii="Times New Roman Regular" w:hAnsi="Times New Roman Regular" w:cs="Times New Roman Regular"/>
          <w:szCs w:val="40"/>
        </w:rPr>
        <w:t>2002</w:t>
      </w:r>
      <w:r>
        <w:rPr>
          <w:rFonts w:ascii="Times New Roman Regular" w:hAnsi="Times New Roman Regular" w:cs="Times New Roman Regular" w:hint="eastAsia"/>
          <w:szCs w:val="40"/>
        </w:rPr>
        <w:t>年第</w:t>
      </w:r>
      <w:r>
        <w:rPr>
          <w:rFonts w:ascii="Times New Roman Regular" w:hAnsi="Times New Roman Regular" w:cs="Times New Roman Regular"/>
          <w:szCs w:val="40"/>
        </w:rPr>
        <w:t>6</w:t>
      </w:r>
      <w:r>
        <w:rPr>
          <w:rFonts w:ascii="Times New Roman Regular" w:hAnsi="Times New Roman Regular" w:cs="Times New Roman Regular" w:hint="eastAsia"/>
          <w:szCs w:val="40"/>
        </w:rPr>
        <w:t>期，第</w:t>
      </w:r>
      <w:r>
        <w:rPr>
          <w:rFonts w:ascii="Times New Roman Regular" w:hAnsi="Times New Roman Regular" w:cs="Times New Roman Regular"/>
          <w:szCs w:val="40"/>
        </w:rPr>
        <w:t>29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6">
    <w:p w14:paraId="163CA637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裘锡圭：《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280E6BF4" wp14:editId="4C50388C">
            <wp:extent cx="114300" cy="123825"/>
            <wp:effectExtent l="0" t="0" r="0" b="9525"/>
            <wp:docPr id="1289990864" name="图片 93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990864" name="图片 93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公盨铭文考释》，第</w:t>
      </w:r>
      <w:r>
        <w:rPr>
          <w:rFonts w:ascii="Times New Roman Regular" w:hAnsi="Times New Roman Regular" w:cs="Times New Roman Regular"/>
          <w:szCs w:val="40"/>
        </w:rPr>
        <w:t>151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7">
    <w:p w14:paraId="2FC14950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连劭名：《〈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3C962295" wp14:editId="66B99228">
            <wp:extent cx="114300" cy="123825"/>
            <wp:effectExtent l="0" t="0" r="0" b="9525"/>
            <wp:docPr id="1325711545" name="图片 94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711545" name="图片 94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公盨〉铭文考述》，《中国历史文物》</w:t>
      </w:r>
      <w:r>
        <w:rPr>
          <w:rFonts w:ascii="Times New Roman Regular" w:hAnsi="Times New Roman Regular" w:cs="Times New Roman Regular"/>
          <w:szCs w:val="40"/>
        </w:rPr>
        <w:t>2003</w:t>
      </w:r>
      <w:r>
        <w:rPr>
          <w:rFonts w:ascii="Times New Roman Regular" w:hAnsi="Times New Roman Regular" w:cs="Times New Roman Regular" w:hint="eastAsia"/>
          <w:szCs w:val="40"/>
        </w:rPr>
        <w:t>年第</w:t>
      </w:r>
      <w:r>
        <w:rPr>
          <w:rFonts w:ascii="Times New Roman Regular" w:hAnsi="Times New Roman Regular" w:cs="Times New Roman Regular"/>
          <w:szCs w:val="40"/>
        </w:rPr>
        <w:t>4</w:t>
      </w:r>
      <w:r>
        <w:rPr>
          <w:rFonts w:ascii="Times New Roman Regular" w:hAnsi="Times New Roman Regular" w:cs="Times New Roman Regular" w:hint="eastAsia"/>
          <w:szCs w:val="40"/>
        </w:rPr>
        <w:t>期，第</w:t>
      </w:r>
      <w:r>
        <w:rPr>
          <w:rFonts w:ascii="Times New Roman Regular" w:hAnsi="Times New Roman Regular" w:cs="Times New Roman Regular"/>
          <w:szCs w:val="40"/>
        </w:rPr>
        <w:t>52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8">
    <w:p w14:paraId="25263C2C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容庚：《金文编》，张振林，马国权摹补，北京：中华书局，</w:t>
      </w:r>
      <w:r>
        <w:rPr>
          <w:rFonts w:ascii="Times New Roman Regular" w:hAnsi="Times New Roman Regular" w:cs="Times New Roman Regular"/>
          <w:szCs w:val="40"/>
        </w:rPr>
        <w:t>1985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774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776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9">
    <w:p w14:paraId="46DF255C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饶宗颐：《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7828F52D" wp14:editId="5652A7B9">
            <wp:extent cx="114300" cy="123825"/>
            <wp:effectExtent l="0" t="0" r="0" b="9525"/>
            <wp:docPr id="1398182732" name="图片 95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82732" name="图片 95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公盨与夏书〈禹之总德〉》，原载《华学》第六辑，</w:t>
      </w:r>
      <w:r>
        <w:rPr>
          <w:rFonts w:ascii="Times New Roman Regular" w:hAnsi="Times New Roman Regular" w:cs="Times New Roman Regular"/>
          <w:szCs w:val="40"/>
        </w:rPr>
        <w:t>2003</w:t>
      </w:r>
      <w:r>
        <w:rPr>
          <w:rFonts w:ascii="Times New Roman Regular" w:hAnsi="Times New Roman Regular" w:cs="Times New Roman Regular" w:hint="eastAsia"/>
          <w:szCs w:val="40"/>
        </w:rPr>
        <w:t>年，后收入《饶宗颐新出土文献论证》，上海：上海古籍出版社，</w:t>
      </w:r>
      <w:r>
        <w:rPr>
          <w:rFonts w:ascii="Times New Roman Regular" w:hAnsi="Times New Roman Regular" w:cs="Times New Roman Regular"/>
          <w:szCs w:val="40"/>
        </w:rPr>
        <w:t>2005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53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0">
    <w:p w14:paraId="79A9138C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陈剑：《据郭店简释读西周金文一例》，原载《北京大学中国古文献研究中心集刊》第二辑，</w:t>
      </w:r>
      <w:r>
        <w:rPr>
          <w:rFonts w:ascii="Times New Roman Regular" w:hAnsi="Times New Roman Regular" w:cs="Times New Roman Regular"/>
          <w:szCs w:val="40"/>
        </w:rPr>
        <w:t>2001</w:t>
      </w:r>
      <w:r>
        <w:rPr>
          <w:rFonts w:ascii="Times New Roman Regular" w:hAnsi="Times New Roman Regular" w:cs="Times New Roman Regular" w:hint="eastAsia"/>
          <w:szCs w:val="40"/>
        </w:rPr>
        <w:t>年，后收入《甲骨金文考释论集》，第</w:t>
      </w:r>
      <w:r>
        <w:rPr>
          <w:rFonts w:ascii="Times New Roman Regular" w:hAnsi="Times New Roman Regular" w:cs="Times New Roman Regular"/>
          <w:szCs w:val="40"/>
        </w:rPr>
        <w:t>20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38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1">
    <w:p w14:paraId="665FD133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陈英杰：《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3BF93F18" wp14:editId="63F66238">
            <wp:extent cx="114300" cy="123825"/>
            <wp:effectExtent l="0" t="0" r="0" b="9525"/>
            <wp:docPr id="156613778" name="图片 96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13778" name="图片 96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公盨铭文再考》，《语言科学》</w:t>
      </w:r>
      <w:r>
        <w:rPr>
          <w:rFonts w:ascii="Times New Roman Regular" w:hAnsi="Times New Roman Regular" w:cs="Times New Roman Regular"/>
          <w:szCs w:val="40"/>
        </w:rPr>
        <w:t>2008</w:t>
      </w:r>
      <w:r>
        <w:rPr>
          <w:rFonts w:ascii="Times New Roman Regular" w:hAnsi="Times New Roman Regular" w:cs="Times New Roman Regular" w:hint="eastAsia"/>
          <w:szCs w:val="40"/>
        </w:rPr>
        <w:t>年第</w:t>
      </w:r>
      <w:r>
        <w:rPr>
          <w:rFonts w:ascii="Times New Roman Regular" w:hAnsi="Times New Roman Regular" w:cs="Times New Roman Regular"/>
          <w:szCs w:val="40"/>
        </w:rPr>
        <w:t>7</w:t>
      </w:r>
      <w:r>
        <w:rPr>
          <w:rFonts w:ascii="Times New Roman Regular" w:hAnsi="Times New Roman Regular" w:cs="Times New Roman Regular" w:hint="eastAsia"/>
          <w:szCs w:val="40"/>
        </w:rPr>
        <w:t>卷第</w:t>
      </w:r>
      <w:r>
        <w:rPr>
          <w:rFonts w:ascii="Times New Roman Regular" w:hAnsi="Times New Roman Regular" w:cs="Times New Roman Regular"/>
          <w:szCs w:val="40"/>
        </w:rPr>
        <w:t>1</w:t>
      </w:r>
      <w:r>
        <w:rPr>
          <w:rFonts w:ascii="Times New Roman Regular" w:hAnsi="Times New Roman Regular" w:cs="Times New Roman Regular" w:hint="eastAsia"/>
          <w:szCs w:val="40"/>
        </w:rPr>
        <w:t>期，第</w:t>
      </w:r>
      <w:r>
        <w:rPr>
          <w:rFonts w:ascii="Times New Roman Regular" w:hAnsi="Times New Roman Regular" w:cs="Times New Roman Regular"/>
          <w:szCs w:val="40"/>
        </w:rPr>
        <w:t>65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2">
    <w:p w14:paraId="04E98EBD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裘锡圭：《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7E22EAC3" wp14:editId="1C9534AD">
            <wp:extent cx="114300" cy="123825"/>
            <wp:effectExtent l="0" t="0" r="0" b="9525"/>
            <wp:docPr id="99664697" name="图片 97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4697" name="图片 97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公盨铭文考释》，第</w:t>
      </w:r>
      <w:r>
        <w:rPr>
          <w:rFonts w:ascii="Times New Roman Regular" w:hAnsi="Times New Roman Regular" w:cs="Times New Roman Regular"/>
          <w:szCs w:val="40"/>
        </w:rPr>
        <w:t>150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3">
    <w:p w14:paraId="0F1589C8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裘锡圭：《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231291D0" wp14:editId="1A709E8C">
            <wp:extent cx="114300" cy="123825"/>
            <wp:effectExtent l="0" t="0" r="0" b="9525"/>
            <wp:docPr id="775103554" name="图片 98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103554" name="图片 98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公盨铭文考释》，第</w:t>
      </w:r>
      <w:r>
        <w:rPr>
          <w:rFonts w:ascii="Times New Roman Regular" w:hAnsi="Times New Roman Regular" w:cs="Times New Roman Regular"/>
          <w:szCs w:val="40"/>
        </w:rPr>
        <w:t>151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4">
    <w:p w14:paraId="48537C12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王沛：《西周金文法律资料辑考（上）》，《中国古代法律文献研究》第七辑，北京：社会科学文献出版社，</w:t>
      </w:r>
      <w:r>
        <w:rPr>
          <w:rFonts w:ascii="Times New Roman Regular" w:hAnsi="Times New Roman Regular" w:cs="Times New Roman Regular"/>
          <w:szCs w:val="40"/>
        </w:rPr>
        <w:t>2013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56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5">
    <w:p w14:paraId="45CBA424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陈剑：《据郭店简释读西周金文一例》，第</w:t>
      </w:r>
      <w:r>
        <w:rPr>
          <w:rFonts w:ascii="Times New Roman Regular" w:hAnsi="Times New Roman Regular" w:cs="Times New Roman Regular"/>
          <w:szCs w:val="40"/>
        </w:rPr>
        <w:t>20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38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6">
    <w:p w14:paraId="3064DE9B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殷周时代，“邦”与“方”经常可替换。如《尚书·多方》中有“多方”，周人或称为“多邦”（《大诰》）；“万方”（《论语·尧曰》）或称作“万邦”（如盠方尊，《殷周金文集成》</w:t>
      </w:r>
      <w:r>
        <w:rPr>
          <w:rFonts w:ascii="Times New Roman Regular" w:hAnsi="Times New Roman Regular" w:cs="Times New Roman Regular"/>
          <w:szCs w:val="40"/>
        </w:rPr>
        <w:t>06013</w:t>
      </w:r>
      <w:r>
        <w:rPr>
          <w:rFonts w:ascii="Times New Roman Regular" w:hAnsi="Times New Roman Regular" w:cs="Times New Roman Regular" w:hint="eastAsia"/>
          <w:szCs w:val="40"/>
        </w:rPr>
        <w:t>，以下简称“《集成》”；《铭图》</w:t>
      </w:r>
      <w:r>
        <w:rPr>
          <w:rFonts w:ascii="Times New Roman Regular" w:hAnsi="Times New Roman Regular" w:cs="Times New Roman Regular"/>
          <w:szCs w:val="40"/>
        </w:rPr>
        <w:t>11814</w:t>
      </w:r>
      <w:r>
        <w:rPr>
          <w:rFonts w:ascii="Times New Roman Regular" w:hAnsi="Times New Roman Regular" w:cs="Times New Roman Regular" w:hint="eastAsia"/>
          <w:szCs w:val="40"/>
        </w:rPr>
        <w:t>）；《多方》“诰尔四国多方”，逑盘（《铭图》</w:t>
      </w:r>
      <w:r>
        <w:rPr>
          <w:rFonts w:ascii="Times New Roman Regular" w:hAnsi="Times New Roman Regular" w:cs="Times New Roman Regular"/>
          <w:szCs w:val="40"/>
        </w:rPr>
        <w:t>14543</w:t>
      </w:r>
      <w:r>
        <w:rPr>
          <w:rFonts w:ascii="Times New Roman Regular" w:hAnsi="Times New Roman Regular" w:cs="Times New Roman Regular" w:hint="eastAsia"/>
          <w:szCs w:val="40"/>
        </w:rPr>
        <w:t>）称“四国万邦”；周原甲骨称文王为“周方伯”（《周甲》</w:t>
      </w:r>
      <w:r>
        <w:rPr>
          <w:rFonts w:ascii="Times New Roman Regular" w:hAnsi="Times New Roman Regular" w:cs="Times New Roman Regular"/>
          <w:szCs w:val="40"/>
        </w:rPr>
        <w:t>H11:82</w:t>
      </w:r>
      <w:r>
        <w:rPr>
          <w:rFonts w:ascii="Times New Roman Regular" w:hAnsi="Times New Roman Regular" w:cs="Times New Roman Regular" w:hint="eastAsia"/>
          <w:szCs w:val="40"/>
        </w:rPr>
        <w:t>），“周方”在金文中多作“周邦”；《诗》《书》中又多有“仇方”（《大雅·皇矣》）、“不庭方”（《大雅·韩奕》）、“兄弟方”（《尚书·梓材》），以及具体的方邦如“徐方”（《大雅·常武》）、“鬼方”（《大雅·荡》）。</w:t>
      </w:r>
    </w:p>
  </w:endnote>
  <w:endnote w:id="17">
    <w:p w14:paraId="28BCBEDF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阮元校刻：《十三经注疏》，北京：中华书局，</w:t>
      </w:r>
      <w:r>
        <w:rPr>
          <w:rFonts w:ascii="Times New Roman Regular" w:hAnsi="Times New Roman Regular" w:cs="Times New Roman Regular"/>
          <w:szCs w:val="40"/>
        </w:rPr>
        <w:t>2009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1119</w:t>
      </w:r>
      <w:r>
        <w:rPr>
          <w:rFonts w:ascii="Times New Roman Regular" w:hAnsi="Times New Roman Regular" w:cs="Times New Roman Regular" w:hint="eastAsia"/>
          <w:szCs w:val="40"/>
        </w:rPr>
        <w:t>页；苏辙：《诗集传》，北京大学《儒藏》编纂中心编：《儒藏》精华编二四册，北京：北京大学出版社，</w:t>
      </w:r>
      <w:r>
        <w:rPr>
          <w:rFonts w:ascii="Times New Roman Regular" w:hAnsi="Times New Roman Regular" w:cs="Times New Roman Regular"/>
          <w:szCs w:val="40"/>
        </w:rPr>
        <w:t>2008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393</w:t>
      </w:r>
      <w:r>
        <w:rPr>
          <w:rFonts w:ascii="Times New Roman Regular" w:hAnsi="Times New Roman Regular" w:cs="Times New Roman Regular" w:hint="eastAsia"/>
          <w:szCs w:val="40"/>
        </w:rPr>
        <w:t>页；朱熹：《诗集传》，北京大学《儒藏》编纂中心编：《儒藏》精华编二四册，第</w:t>
      </w:r>
      <w:r>
        <w:rPr>
          <w:rFonts w:ascii="Times New Roman Regular" w:hAnsi="Times New Roman Regular" w:cs="Times New Roman Regular"/>
          <w:szCs w:val="40"/>
        </w:rPr>
        <w:t>657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8">
    <w:p w14:paraId="6BF32D54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阮元校刻：《十三经注疏》，第</w:t>
      </w:r>
      <w:r>
        <w:rPr>
          <w:rFonts w:ascii="Times New Roman Regular" w:hAnsi="Times New Roman Regular" w:cs="Times New Roman Regular"/>
          <w:szCs w:val="40"/>
        </w:rPr>
        <w:t>1119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19">
    <w:p w14:paraId="6B1ED1D2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欧阳修：《诗本义》，北京大学《儒藏》编纂中心编：《儒藏》精华编二四册，第</w:t>
      </w:r>
      <w:r>
        <w:rPr>
          <w:rFonts w:ascii="Times New Roman Regular" w:hAnsi="Times New Roman Regular" w:cs="Times New Roman Regular"/>
          <w:szCs w:val="40"/>
        </w:rPr>
        <w:t>109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0">
    <w:p w14:paraId="18644B1F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胡承珙：《毛诗后笺》，北京大学《儒藏》编纂中心编：《儒藏》精华编三一册，第</w:t>
      </w:r>
      <w:r>
        <w:rPr>
          <w:rFonts w:ascii="Times New Roman Regular" w:hAnsi="Times New Roman Regular" w:cs="Times New Roman Regular"/>
          <w:szCs w:val="40"/>
        </w:rPr>
        <w:t>1100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1">
    <w:p w14:paraId="5AA2920B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马瑞辰：《毛诗传笺通释》，陈金生点校，北京：中华书局，</w:t>
      </w:r>
      <w:r>
        <w:rPr>
          <w:rFonts w:ascii="Times New Roman Regular" w:hAnsi="Times New Roman Regular" w:cs="Times New Roman Regular"/>
          <w:szCs w:val="40"/>
        </w:rPr>
        <w:t>1989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845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2">
    <w:p w14:paraId="29C9892A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大盂鼎（《集成》</w:t>
      </w:r>
      <w:r>
        <w:rPr>
          <w:rFonts w:ascii="Times New Roman Regular" w:hAnsi="Times New Roman Regular" w:cs="Times New Roman Regular"/>
          <w:szCs w:val="40"/>
        </w:rPr>
        <w:t>02837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02514</w:t>
      </w:r>
      <w:r>
        <w:rPr>
          <w:rFonts w:ascii="Times New Roman Regular" w:hAnsi="Times New Roman Regular" w:cs="Times New Roman Regular" w:hint="eastAsia"/>
          <w:szCs w:val="40"/>
        </w:rPr>
        <w:t>）铭有“在武王嗣文作邦”，多理解为武王建立了周王朝，这是将后世的“王朝史观”套用到了金文中。其实此“作”字应训为兴，意为兴起。《左传》昭公二十四年苌弘曰：“《大誓》曰：‘纣有亿兆夷人，亦有离德；余有乱臣十人，同心同德’，此周所以兴也”。参见黄德宽：《古文字学》，上海：上海古籍出版社，</w:t>
      </w:r>
      <w:r>
        <w:rPr>
          <w:rFonts w:ascii="Times New Roman Regular" w:hAnsi="Times New Roman Regular" w:cs="Times New Roman Regular"/>
          <w:szCs w:val="40"/>
        </w:rPr>
        <w:t>2019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236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3">
    <w:p w14:paraId="339FC994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关于“吕”和“申”的地望，过去学者多无确解，自近代以来随着出土资料的增多和对传世文献的考辨，特别是考古学者对有关铜器进行了科学考古发掘，明确了铜器的出土地点，学者们趋向于二者在陕、甘交界地带的经水上游地区，详见韩巍：《西周金文世族研究》，第</w:t>
      </w:r>
      <w:r>
        <w:rPr>
          <w:rFonts w:ascii="Times New Roman Regular" w:hAnsi="Times New Roman Regular" w:cs="Times New Roman Regular"/>
          <w:szCs w:val="40"/>
        </w:rPr>
        <w:t>173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178</w:t>
      </w:r>
      <w:r>
        <w:rPr>
          <w:rFonts w:ascii="Times New Roman Regular" w:hAnsi="Times New Roman Regular" w:cs="Times New Roman Regular" w:hint="eastAsia"/>
          <w:szCs w:val="40"/>
        </w:rPr>
        <w:t>页；徐少华：《“平王走（奔）西申”及相关史地考论》，《历史研究》</w:t>
      </w:r>
      <w:r>
        <w:rPr>
          <w:rFonts w:ascii="Times New Roman Regular" w:hAnsi="Times New Roman Regular" w:cs="Times New Roman Regular"/>
          <w:szCs w:val="40"/>
        </w:rPr>
        <w:t>2015</w:t>
      </w:r>
      <w:r>
        <w:rPr>
          <w:rFonts w:ascii="Times New Roman Regular" w:hAnsi="Times New Roman Regular" w:cs="Times New Roman Regular" w:hint="eastAsia"/>
          <w:szCs w:val="40"/>
        </w:rPr>
        <w:t>年第</w:t>
      </w:r>
      <w:r>
        <w:rPr>
          <w:rFonts w:ascii="Times New Roman Regular" w:hAnsi="Times New Roman Regular" w:cs="Times New Roman Regular"/>
          <w:szCs w:val="40"/>
        </w:rPr>
        <w:t>2</w:t>
      </w:r>
      <w:r>
        <w:rPr>
          <w:rFonts w:ascii="Times New Roman Regular" w:hAnsi="Times New Roman Regular" w:cs="Times New Roman Regular" w:hint="eastAsia"/>
          <w:szCs w:val="40"/>
        </w:rPr>
        <w:t>期，第</w:t>
      </w:r>
      <w:r>
        <w:rPr>
          <w:rFonts w:ascii="Times New Roman Regular" w:hAnsi="Times New Roman Regular" w:cs="Times New Roman Regular"/>
          <w:szCs w:val="40"/>
        </w:rPr>
        <w:t>151</w:t>
      </w:r>
      <w:r>
        <w:rPr>
          <w:rFonts w:ascii="Times New Roman Regular" w:hAnsi="Times New Roman Regular" w:cs="Times New Roman Regular" w:hint="eastAsia"/>
          <w:szCs w:val="40"/>
        </w:rPr>
        <w:t>页；李峰：《西周的灭亡——中国早期国家的地理和政治危机（增订本）》，徐峰译、汤惠生校，上海：上海古籍出版社，</w:t>
      </w:r>
      <w:r>
        <w:rPr>
          <w:rFonts w:ascii="Times New Roman Regular" w:hAnsi="Times New Roman Regular" w:cs="Times New Roman Regular"/>
          <w:szCs w:val="40"/>
        </w:rPr>
        <w:t>2016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245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260</w:t>
      </w:r>
      <w:r>
        <w:rPr>
          <w:rFonts w:ascii="Times New Roman Regular" w:hAnsi="Times New Roman Regular" w:cs="Times New Roman Regular" w:hint="eastAsia"/>
          <w:szCs w:val="40"/>
        </w:rPr>
        <w:t>页；李零：《西周的后院与邻居》，《青铜器与金文》第一辑，上海：上海古籍出版社，</w:t>
      </w:r>
      <w:r>
        <w:rPr>
          <w:rFonts w:ascii="Times New Roman Regular" w:hAnsi="Times New Roman Regular" w:cs="Times New Roman Regular"/>
          <w:szCs w:val="40"/>
        </w:rPr>
        <w:t>2017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49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50</w:t>
      </w:r>
      <w:r>
        <w:rPr>
          <w:rFonts w:ascii="Times New Roman Regular" w:hAnsi="Times New Roman Regular" w:cs="Times New Roman Regular" w:hint="eastAsia"/>
          <w:szCs w:val="40"/>
        </w:rPr>
        <w:t>页；梁云：《陇山东侧商周方国考略》，《西部考古》第</w:t>
      </w:r>
      <w:r>
        <w:rPr>
          <w:rFonts w:ascii="Times New Roman Regular" w:hAnsi="Times New Roman Regular" w:cs="Times New Roman Regular"/>
          <w:szCs w:val="40"/>
        </w:rPr>
        <w:t>8</w:t>
      </w:r>
      <w:r>
        <w:rPr>
          <w:rFonts w:ascii="Times New Roman Regular" w:hAnsi="Times New Roman Regular" w:cs="Times New Roman Regular" w:hint="eastAsia"/>
          <w:szCs w:val="40"/>
        </w:rPr>
        <w:t>辑，</w:t>
      </w:r>
      <w:r>
        <w:rPr>
          <w:rFonts w:ascii="Times New Roman Regular" w:hAnsi="Times New Roman Regular" w:cs="Times New Roman Regular"/>
          <w:szCs w:val="40"/>
        </w:rPr>
        <w:t>2015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112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116</w:t>
      </w:r>
      <w:r>
        <w:rPr>
          <w:rFonts w:ascii="Times New Roman Regular" w:hAnsi="Times New Roman Regular" w:cs="Times New Roman Regular" w:hint="eastAsia"/>
          <w:szCs w:val="40"/>
        </w:rPr>
        <w:t>页；马立志：《西周金文所见西土北土邦国地理整理与研究》，博士学位论文，吉林大学，</w:t>
      </w:r>
      <w:r>
        <w:rPr>
          <w:rFonts w:ascii="Times New Roman Regular" w:hAnsi="Times New Roman Regular" w:cs="Times New Roman Regular"/>
          <w:szCs w:val="40"/>
        </w:rPr>
        <w:t>2021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39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48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4">
    <w:p w14:paraId="14050AE2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吕称王的铜器如吕王壶（《集成》</w:t>
      </w:r>
      <w:r>
        <w:rPr>
          <w:rFonts w:ascii="Times New Roman Regular" w:hAnsi="Times New Roman Regular" w:cs="Times New Roman Regular"/>
          <w:szCs w:val="40"/>
        </w:rPr>
        <w:t>09630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12292</w:t>
      </w:r>
      <w:r>
        <w:rPr>
          <w:rFonts w:ascii="Times New Roman Regular" w:hAnsi="Times New Roman Regular" w:cs="Times New Roman Regular" w:hint="eastAsia"/>
          <w:szCs w:val="40"/>
        </w:rPr>
        <w:t>）、吕王鬲（《集成》</w:t>
      </w:r>
      <w:r>
        <w:rPr>
          <w:rFonts w:ascii="Times New Roman Regular" w:hAnsi="Times New Roman Regular" w:cs="Times New Roman Regular"/>
          <w:szCs w:val="40"/>
        </w:rPr>
        <w:t>00635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02877</w:t>
      </w:r>
      <w:r>
        <w:rPr>
          <w:rFonts w:ascii="Times New Roman Regular" w:hAnsi="Times New Roman Regular" w:cs="Times New Roman Regular" w:hint="eastAsia"/>
          <w:szCs w:val="40"/>
        </w:rPr>
        <w:t>）；西申称王的铜器如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6D7F2D5C" wp14:editId="42FC0DB8">
            <wp:extent cx="100330" cy="114300"/>
            <wp:effectExtent l="0" t="0" r="0" b="0"/>
            <wp:docPr id="1245599496" name="图片 100" descr="截屏2026-01-12 22.06.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99496" name="图片 100" descr="截屏2026-01-12 22.06.50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（申）王尊（《铭图》</w:t>
      </w:r>
      <w:r>
        <w:rPr>
          <w:rFonts w:ascii="Times New Roman Regular" w:hAnsi="Times New Roman Regular" w:cs="Times New Roman Regular"/>
          <w:szCs w:val="40"/>
        </w:rPr>
        <w:t>11684</w:t>
      </w:r>
      <w:r>
        <w:rPr>
          <w:rFonts w:ascii="Times New Roman Regular" w:hAnsi="Times New Roman Regular" w:cs="Times New Roman Regular" w:hint="eastAsia"/>
          <w:szCs w:val="40"/>
        </w:rPr>
        <w:t>），详见李守奎：《清华简〈系年〉中的</w:t>
      </w:r>
      <w:r>
        <w:rPr>
          <w:rFonts w:ascii="Times New Roman Regular" w:hAnsi="Times New Roman Regular" w:cs="Times New Roman Regular"/>
          <w:szCs w:val="40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“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5AA729E1" wp14:editId="59FE7501">
            <wp:extent cx="104775" cy="109855"/>
            <wp:effectExtent l="0" t="0" r="9525" b="4445"/>
            <wp:docPr id="1044772636" name="图片 99" descr="截屏2026-01-12 22.04.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772636" name="图片 99" descr="截屏2026-01-12 22.04.45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”字与西申》，《历史语言研究》第七辑，北京：</w:t>
      </w:r>
      <w:r>
        <w:rPr>
          <w:rFonts w:ascii="Times New Roman Regular" w:hAnsi="Times New Roman Regular" w:cs="Times New Roman Regular"/>
          <w:szCs w:val="40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商务印书馆，</w:t>
      </w:r>
      <w:r>
        <w:rPr>
          <w:rFonts w:ascii="Times New Roman Regular" w:hAnsi="Times New Roman Regular" w:cs="Times New Roman Regular"/>
          <w:szCs w:val="40"/>
        </w:rPr>
        <w:t xml:space="preserve">2014 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 xml:space="preserve">168-177 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5">
    <w:p w14:paraId="207F4AF5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关于《商颂》的年代，历来有较大争议，主要有商人所作说、周中叶以后宋人所作说和春秋宋襄公时代所作说。《商颂》中有些词汇如上帝或称为“天”、称祖先为“烈祖”、称商为“殷”、称“受命”以及祭祀名“烝尝”等，皆是西周以后的用法，则《商颂》非商人所作明矣；《左传》《国语》中引《商颂》</w:t>
      </w:r>
      <w:r>
        <w:rPr>
          <w:rFonts w:ascii="Times New Roman Regular" w:hAnsi="Times New Roman Regular" w:cs="Times New Roman Regular"/>
          <w:szCs w:val="40"/>
        </w:rPr>
        <w:t>4</w:t>
      </w:r>
      <w:r>
        <w:rPr>
          <w:rFonts w:ascii="Times New Roman Regular" w:hAnsi="Times New Roman Regular" w:cs="Times New Roman Regular" w:hint="eastAsia"/>
          <w:szCs w:val="40"/>
        </w:rPr>
        <w:t>次，而鲁僖公时代所作的《鲁颂》却一次也没有，特别是《国语·晋语四》宋襄公时的大臣公孙固引《长发》“汤降不迟，圣敬日跻”，可证《商颂》不会晚至春秋宋襄公之时，笔者同意《商颂》之作大约为西周中晚期。详参王国维：《说商颂上》《说商颂下》，《观堂集林》，第</w:t>
      </w:r>
      <w:r>
        <w:rPr>
          <w:rFonts w:ascii="Times New Roman Regular" w:hAnsi="Times New Roman Regular" w:cs="Times New Roman Regular"/>
          <w:szCs w:val="40"/>
        </w:rPr>
        <w:t>113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122</w:t>
      </w:r>
      <w:r>
        <w:rPr>
          <w:rFonts w:ascii="Times New Roman Regular" w:hAnsi="Times New Roman Regular" w:cs="Times New Roman Regular" w:hint="eastAsia"/>
          <w:szCs w:val="40"/>
        </w:rPr>
        <w:t>页；曾志雄：《〈诗经·商颂〉的年代问题》，《信阳师范学院学报（哲学社会科学版）》第</w:t>
      </w:r>
      <w:r>
        <w:rPr>
          <w:rFonts w:ascii="Times New Roman Regular" w:hAnsi="Times New Roman Regular" w:cs="Times New Roman Regular"/>
          <w:szCs w:val="40"/>
        </w:rPr>
        <w:t>33</w:t>
      </w:r>
      <w:r>
        <w:rPr>
          <w:rFonts w:ascii="Times New Roman Regular" w:hAnsi="Times New Roman Regular" w:cs="Times New Roman Regular" w:hint="eastAsia"/>
          <w:szCs w:val="40"/>
        </w:rPr>
        <w:t>卷第</w:t>
      </w:r>
      <w:r>
        <w:rPr>
          <w:rFonts w:ascii="Times New Roman Regular" w:hAnsi="Times New Roman Regular" w:cs="Times New Roman Regular"/>
          <w:szCs w:val="40"/>
        </w:rPr>
        <w:t>1</w:t>
      </w:r>
      <w:r>
        <w:rPr>
          <w:rFonts w:ascii="Times New Roman Regular" w:hAnsi="Times New Roman Regular" w:cs="Times New Roman Regular" w:hint="eastAsia"/>
          <w:szCs w:val="40"/>
        </w:rPr>
        <w:t>期，</w:t>
      </w:r>
      <w:r>
        <w:rPr>
          <w:rFonts w:ascii="Times New Roman Regular" w:hAnsi="Times New Roman Regular" w:cs="Times New Roman Regular"/>
          <w:szCs w:val="40"/>
        </w:rPr>
        <w:t>2013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90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97</w:t>
      </w:r>
      <w:r>
        <w:rPr>
          <w:rFonts w:ascii="Times New Roman Regular" w:hAnsi="Times New Roman Regular" w:cs="Times New Roman Regular" w:hint="eastAsia"/>
          <w:szCs w:val="40"/>
        </w:rPr>
        <w:t>页。另陈炜湛认为《商颂》的主要内容可用甲骨文及同期金文表述，定其时代为商诗，见《商代甲骨文金文词汇与〈诗·商颂〉的比较》，《中山大学学报（社会科学版）》</w:t>
      </w:r>
      <w:r>
        <w:rPr>
          <w:rFonts w:ascii="Times New Roman Regular" w:hAnsi="Times New Roman Regular" w:cs="Times New Roman Regular"/>
          <w:szCs w:val="40"/>
        </w:rPr>
        <w:t>2002</w:t>
      </w:r>
      <w:r>
        <w:rPr>
          <w:rFonts w:ascii="Times New Roman Regular" w:hAnsi="Times New Roman Regular" w:cs="Times New Roman Regular" w:hint="eastAsia"/>
          <w:szCs w:val="40"/>
        </w:rPr>
        <w:t>年第</w:t>
      </w:r>
      <w:r>
        <w:rPr>
          <w:rFonts w:ascii="Times New Roman Regular" w:hAnsi="Times New Roman Regular" w:cs="Times New Roman Regular"/>
          <w:szCs w:val="40"/>
        </w:rPr>
        <w:t>1</w:t>
      </w:r>
      <w:r>
        <w:rPr>
          <w:rFonts w:ascii="Times New Roman Regular" w:hAnsi="Times New Roman Regular" w:cs="Times New Roman Regular" w:hint="eastAsia"/>
          <w:szCs w:val="40"/>
        </w:rPr>
        <w:t>期，第</w:t>
      </w:r>
      <w:r>
        <w:rPr>
          <w:rFonts w:ascii="Times New Roman Regular" w:hAnsi="Times New Roman Regular" w:cs="Times New Roman Regular"/>
          <w:szCs w:val="40"/>
        </w:rPr>
        <w:t>83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88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6">
    <w:p w14:paraId="4E6B5E16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欧阳修：《诗本义》，北京大学《儒藏》编纂中心编：《儒藏》精华编二四册，第</w:t>
      </w:r>
      <w:r>
        <w:rPr>
          <w:rFonts w:ascii="Times New Roman Regular" w:hAnsi="Times New Roman Regular" w:cs="Times New Roman Regular"/>
          <w:szCs w:val="40"/>
        </w:rPr>
        <w:t>116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7">
    <w:p w14:paraId="08055DF8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黄怀信、张懋镕、田旭东：《逸周书汇校集注（修订本）》，第</w:t>
      </w:r>
      <w:r>
        <w:rPr>
          <w:rFonts w:ascii="Times New Roman Regular" w:hAnsi="Times New Roman Regular" w:cs="Times New Roman Regular"/>
          <w:szCs w:val="40"/>
        </w:rPr>
        <w:t>925</w:t>
      </w:r>
      <w:r>
        <w:rPr>
          <w:rFonts w:ascii="Times New Roman Regular" w:hAnsi="Times New Roman Regular" w:cs="Times New Roman Regular" w:hint="eastAsia"/>
          <w:szCs w:val="40"/>
        </w:rPr>
        <w:t>页；陈剑：《甲骨金文旧释“尤”之字及相关诸字新释》，《甲骨金文考释论集》，北京：线装书局，</w:t>
      </w:r>
      <w:r>
        <w:rPr>
          <w:rFonts w:ascii="Times New Roman Regular" w:hAnsi="Times New Roman Regular" w:cs="Times New Roman Regular"/>
          <w:szCs w:val="40"/>
        </w:rPr>
        <w:t>2007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71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8">
    <w:p w14:paraId="50F29CC1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马瑞辰：《毛诗传笺通释》，第</w:t>
      </w:r>
      <w:r>
        <w:rPr>
          <w:rFonts w:ascii="Times New Roman Regular" w:hAnsi="Times New Roman Regular" w:cs="Times New Roman Regular"/>
          <w:szCs w:val="40"/>
        </w:rPr>
        <w:t>1186—1187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29">
    <w:p w14:paraId="067471A8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顾颉刚：《鲧禹的传说》，《顾颉刚全集</w:t>
      </w:r>
      <w:r>
        <w:rPr>
          <w:rFonts w:ascii="Times New Roman Regular" w:hAnsi="Times New Roman Regular" w:cs="Times New Roman Regular"/>
          <w:szCs w:val="40"/>
        </w:rPr>
        <w:t>1</w:t>
      </w:r>
      <w:r>
        <w:rPr>
          <w:rFonts w:ascii="Times New Roman Regular" w:hAnsi="Times New Roman Regular" w:cs="Times New Roman Regular" w:hint="eastAsia"/>
          <w:szCs w:val="40"/>
        </w:rPr>
        <w:t>·顾颉刚古史论文集·卷一》，北京：中华书局，</w:t>
      </w:r>
      <w:r>
        <w:rPr>
          <w:rFonts w:ascii="Times New Roman Regular" w:hAnsi="Times New Roman Regular" w:cs="Times New Roman Regular"/>
          <w:szCs w:val="40"/>
        </w:rPr>
        <w:t>2010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505</w:t>
      </w:r>
      <w:r>
        <w:rPr>
          <w:rFonts w:ascii="Times New Roman Regular" w:hAnsi="Times New Roman Regular" w:cs="Times New Roman Regular" w:hint="eastAsia"/>
          <w:szCs w:val="40"/>
        </w:rPr>
        <w:t>页；裘锡圭：《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11DB8028" wp14:editId="2CD03B60">
            <wp:extent cx="114300" cy="123825"/>
            <wp:effectExtent l="0" t="0" r="0" b="9525"/>
            <wp:docPr id="883216314" name="图片 101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16314" name="图片 101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公盨铭文考释》，第</w:t>
      </w:r>
      <w:r>
        <w:rPr>
          <w:rFonts w:ascii="Times New Roman Regular" w:hAnsi="Times New Roman Regular" w:cs="Times New Roman Regular"/>
          <w:szCs w:val="40"/>
        </w:rPr>
        <w:t>148</w:t>
      </w:r>
      <w:r>
        <w:rPr>
          <w:rFonts w:ascii="Times New Roman Regular" w:hAnsi="Times New Roman Regular" w:cs="Times New Roman Regular" w:hint="eastAsia"/>
          <w:szCs w:val="40"/>
        </w:rPr>
        <w:t>页</w:t>
      </w:r>
      <w:r>
        <w:rPr>
          <w:rFonts w:ascii="Times New Roman Regular" w:hAnsi="Times New Roman Regular" w:cs="Times New Roman Regular"/>
          <w:szCs w:val="40"/>
        </w:rPr>
        <w:t xml:space="preserve">; </w:t>
      </w:r>
      <w:r>
        <w:rPr>
          <w:rFonts w:ascii="Times New Roman Regular" w:hAnsi="Times New Roman Regular" w:cs="Times New Roman Regular" w:hint="eastAsia"/>
          <w:szCs w:val="40"/>
        </w:rPr>
        <w:t>陈剑：《“帅禹之绪”还是“帅禹之堵”？——相关问题之会通》，《出土文献与古文字研究》第十二辑，</w:t>
      </w:r>
      <w:r>
        <w:rPr>
          <w:rFonts w:ascii="Times New Roman Regular" w:hAnsi="Times New Roman Regular" w:cs="Times New Roman Regular"/>
          <w:szCs w:val="40"/>
        </w:rPr>
        <w:t>2025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320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0">
    <w:p w14:paraId="3C38EFD5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学界一般公认的西周金文中所见周王命诸侯的铜器有：宜侯夨簋（《集成》</w:t>
      </w:r>
      <w:r>
        <w:rPr>
          <w:rFonts w:ascii="Times New Roman Regular" w:hAnsi="Times New Roman Regular" w:cs="Times New Roman Regular"/>
          <w:szCs w:val="40"/>
        </w:rPr>
        <w:t>04320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05373</w:t>
      </w:r>
      <w:r>
        <w:rPr>
          <w:rFonts w:ascii="Times New Roman Regular" w:hAnsi="Times New Roman Regular" w:cs="Times New Roman Regular" w:hint="eastAsia"/>
          <w:szCs w:val="40"/>
        </w:rPr>
        <w:t>）、麦尊（《集成》</w:t>
      </w:r>
      <w:r>
        <w:rPr>
          <w:rFonts w:ascii="Times New Roman Regular" w:hAnsi="Times New Roman Regular" w:cs="Times New Roman Regular"/>
          <w:szCs w:val="40"/>
        </w:rPr>
        <w:t>06015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11820</w:t>
      </w:r>
      <w:r>
        <w:rPr>
          <w:rFonts w:ascii="Times New Roman Regular" w:hAnsi="Times New Roman Regular" w:cs="Times New Roman Regular" w:hint="eastAsia"/>
          <w:szCs w:val="40"/>
        </w:rPr>
        <w:t>）、伯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4B82983B" wp14:editId="6C16FEC6">
            <wp:extent cx="100330" cy="104775"/>
            <wp:effectExtent l="0" t="0" r="0" b="9525"/>
            <wp:docPr id="1686486949" name="图片 104" descr="截屏2026-03-17 17.21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486949" name="图片 104" descr="截屏2026-03-17 17.21.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鼎（《集成》</w:t>
      </w:r>
      <w:r>
        <w:rPr>
          <w:rFonts w:ascii="Times New Roman Regular" w:hAnsi="Times New Roman Regular" w:cs="Times New Roman Regular"/>
          <w:szCs w:val="40"/>
        </w:rPr>
        <w:t>02816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02480</w:t>
      </w:r>
      <w:r>
        <w:rPr>
          <w:rFonts w:ascii="Times New Roman Regular" w:hAnsi="Times New Roman Regular" w:cs="Times New Roman Regular" w:hint="eastAsia"/>
          <w:szCs w:val="40"/>
        </w:rPr>
        <w:t>）、克罍（《铭图》</w:t>
      </w:r>
      <w:r>
        <w:rPr>
          <w:rFonts w:ascii="Times New Roman Regular" w:hAnsi="Times New Roman Regular" w:cs="Times New Roman Regular"/>
          <w:szCs w:val="40"/>
        </w:rPr>
        <w:t>13831</w:t>
      </w:r>
      <w:r>
        <w:rPr>
          <w:rFonts w:ascii="Times New Roman Regular" w:hAnsi="Times New Roman Regular" w:cs="Times New Roman Regular" w:hint="eastAsia"/>
          <w:szCs w:val="40"/>
        </w:rPr>
        <w:t>）、卌二年逑鼎（《铭图》</w:t>
      </w:r>
      <w:r>
        <w:rPr>
          <w:rFonts w:ascii="Times New Roman Regular" w:hAnsi="Times New Roman Regular" w:cs="Times New Roman Regular"/>
          <w:szCs w:val="40"/>
        </w:rPr>
        <w:t>02501</w:t>
      </w:r>
      <w:r>
        <w:rPr>
          <w:rFonts w:ascii="Times New Roman Regular" w:hAnsi="Times New Roman Regular" w:cs="Times New Roman Regular" w:hint="eastAsia"/>
          <w:szCs w:val="40"/>
        </w:rPr>
        <w:t>）、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4938EEFC" wp14:editId="28351988">
            <wp:extent cx="100330" cy="100330"/>
            <wp:effectExtent l="0" t="0" r="0" b="0"/>
            <wp:docPr id="95035279" name="图片 103" descr="截屏2024-11-08 09.12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35279" name="图片 103" descr="截屏2024-11-08 09.12.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0" cy="10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公簋（《铭图》</w:t>
      </w:r>
      <w:r>
        <w:rPr>
          <w:rFonts w:ascii="Times New Roman Regular" w:hAnsi="Times New Roman Regular" w:cs="Times New Roman Regular"/>
          <w:szCs w:val="40"/>
        </w:rPr>
        <w:t>04954</w:t>
      </w:r>
      <w:r>
        <w:rPr>
          <w:rFonts w:ascii="Times New Roman Regular" w:hAnsi="Times New Roman Regular" w:cs="Times New Roman Regular" w:hint="eastAsia"/>
          <w:szCs w:val="40"/>
        </w:rPr>
        <w:t>）、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18214409" wp14:editId="4F3BC7A3">
            <wp:extent cx="109855" cy="114300"/>
            <wp:effectExtent l="0" t="0" r="4445" b="0"/>
            <wp:docPr id="1934928029" name="图片 102" descr="截屏2026-03-17 17.27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28029" name="图片 102" descr="截屏2026-03-17 17.27.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85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司徒疑簋（《集成》</w:t>
      </w:r>
      <w:r>
        <w:rPr>
          <w:rFonts w:ascii="Times New Roman Regular" w:hAnsi="Times New Roman Regular" w:cs="Times New Roman Regular"/>
          <w:szCs w:val="40"/>
        </w:rPr>
        <w:t>04059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05020</w:t>
      </w:r>
      <w:r>
        <w:rPr>
          <w:rFonts w:ascii="Times New Roman Regular" w:hAnsi="Times New Roman Regular" w:cs="Times New Roman Regular" w:hint="eastAsia"/>
          <w:szCs w:val="40"/>
        </w:rPr>
        <w:t>）等。</w:t>
      </w:r>
    </w:p>
  </w:endnote>
  <w:endnote w:id="31">
    <w:p w14:paraId="6F5581E3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屈万里：《尚书集释》，台北：联经出版事业股份有限公司，</w:t>
      </w:r>
      <w:r>
        <w:rPr>
          <w:rFonts w:ascii="Times New Roman Regular" w:hAnsi="Times New Roman Regular" w:cs="Times New Roman Regular"/>
          <w:szCs w:val="40"/>
        </w:rPr>
        <w:t>1983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218</w:t>
      </w:r>
      <w:r>
        <w:rPr>
          <w:rFonts w:ascii="Times New Roman Regular" w:hAnsi="Times New Roman Regular" w:cs="Times New Roman Regular" w:hint="eastAsia"/>
          <w:szCs w:val="40"/>
        </w:rPr>
        <w:t>页；程元敏：《尚书周诰十三篇义证》，台北：万卷楼，</w:t>
      </w:r>
      <w:r>
        <w:rPr>
          <w:rFonts w:ascii="Times New Roman Regular" w:hAnsi="Times New Roman Regular" w:cs="Times New Roman Regular"/>
          <w:szCs w:val="40"/>
        </w:rPr>
        <w:t>2017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764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2">
    <w:p w14:paraId="3E64D48E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何晋：《尚书新注》，北京：中华书局，</w:t>
      </w:r>
      <w:r>
        <w:rPr>
          <w:rFonts w:ascii="Times New Roman Regular" w:hAnsi="Times New Roman Regular" w:cs="Times New Roman Regular"/>
          <w:szCs w:val="40"/>
        </w:rPr>
        <w:t>2022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452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3">
    <w:p w14:paraId="3D3B256D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蔡沈：《书集传》，王丰先点校，北京：中华书局，</w:t>
      </w:r>
      <w:r>
        <w:rPr>
          <w:rFonts w:ascii="Times New Roman Regular" w:hAnsi="Times New Roman Regular" w:cs="Times New Roman Regular"/>
          <w:szCs w:val="40"/>
        </w:rPr>
        <w:t>2018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248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4">
    <w:p w14:paraId="21179846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戴钧衡：《书传补商》，何如月，李雨竹整理，北京：中华书局，</w:t>
      </w:r>
      <w:r>
        <w:rPr>
          <w:rFonts w:ascii="Times New Roman Regular" w:hAnsi="Times New Roman Regular" w:cs="Times New Roman Regular"/>
          <w:szCs w:val="40"/>
        </w:rPr>
        <w:t>2021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157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5">
    <w:p w14:paraId="21396875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曾运亁：《尚书正读》，北京：中华书局，</w:t>
      </w:r>
      <w:r>
        <w:rPr>
          <w:rFonts w:ascii="Times New Roman Regular" w:hAnsi="Times New Roman Regular" w:cs="Times New Roman Regular"/>
          <w:szCs w:val="40"/>
        </w:rPr>
        <w:t>1964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241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6">
    <w:p w14:paraId="32691EBB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“灵”，善；“承”，受也；“旅”谓嘉休也。“惟我周王灵承于旅”者，惟我周王善受于嘉休也。详见于省吾：《双剑誃尚书新证；双剑誃诗经新证；双剑誃易经新证》，北京：中华书局，</w:t>
      </w:r>
      <w:r>
        <w:rPr>
          <w:rFonts w:ascii="Times New Roman Regular" w:hAnsi="Times New Roman Regular" w:cs="Times New Roman Regular"/>
          <w:szCs w:val="40"/>
        </w:rPr>
        <w:t>2009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250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7">
    <w:p w14:paraId="05CCB7B1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程元敏引《尚书释义》“典，法也。言惟以神天为法也”，并言：“诸家莫不训典为主，谓主神天之祀。案：下文始言简畀殷命衡之，此不当先已主神天之祀（主祀，天子之事）。”程说是也。详参程元敏：《尚书周诰十三篇义证》，第</w:t>
      </w:r>
      <w:r>
        <w:rPr>
          <w:rFonts w:ascii="Times New Roman Regular" w:hAnsi="Times New Roman Regular" w:cs="Times New Roman Regular"/>
          <w:szCs w:val="40"/>
        </w:rPr>
        <w:t>765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8">
    <w:p w14:paraId="19AFA6EB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“教”，告导也；“简”，择也；“畀”，赐予也。详见程元敏：《尚书周诰十三篇义证》，第</w:t>
      </w:r>
      <w:r>
        <w:rPr>
          <w:rFonts w:ascii="Times New Roman Regular" w:hAnsi="Times New Roman Regular" w:cs="Times New Roman Regular"/>
          <w:szCs w:val="40"/>
        </w:rPr>
        <w:t>765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39">
    <w:p w14:paraId="02A33FE5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陈奂：《诗毛氏传疏》，北京大学《儒藏》编纂中心编：《儒藏》精华编三四，北京：北京大学出版社，</w:t>
      </w:r>
      <w:r>
        <w:rPr>
          <w:rFonts w:ascii="Times New Roman Regular" w:hAnsi="Times New Roman Regular" w:cs="Times New Roman Regular"/>
          <w:szCs w:val="40"/>
        </w:rPr>
        <w:t>2009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708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0">
    <w:p w14:paraId="4BD6E259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马瑞辰：《毛诗传笺通释》，第</w:t>
      </w:r>
      <w:r>
        <w:rPr>
          <w:rFonts w:ascii="Times New Roman Regular" w:hAnsi="Times New Roman Regular" w:cs="Times New Roman Regular"/>
          <w:szCs w:val="40"/>
        </w:rPr>
        <w:t>839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1">
    <w:p w14:paraId="0DB645FB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马瑞辰：《毛诗传笺通释》，第</w:t>
      </w:r>
      <w:r>
        <w:rPr>
          <w:rFonts w:ascii="Times New Roman Regular" w:hAnsi="Times New Roman Regular" w:cs="Times New Roman Regular"/>
          <w:szCs w:val="40"/>
        </w:rPr>
        <w:t>840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2">
    <w:p w14:paraId="24A769E7" w14:textId="77777777" w:rsidR="00C2739D" w:rsidRDefault="00000000">
      <w:pPr>
        <w:pStyle w:val="ad"/>
        <w:rPr>
          <w:rFonts w:ascii="Times New Roman Regular" w:hAnsi="Times New Roman Regular" w:cs="Times New Roman Regular"/>
          <w:sz w:val="18"/>
          <w:szCs w:val="32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朱熹：《诗集传》，第</w:t>
      </w:r>
      <w:r>
        <w:rPr>
          <w:rFonts w:ascii="Times New Roman Regular" w:hAnsi="Times New Roman Regular" w:cs="Times New Roman Regular"/>
          <w:szCs w:val="40"/>
        </w:rPr>
        <w:t>281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3">
    <w:p w14:paraId="459693D7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屈万里：《诗经诠释》，上海：上海辞书出版社，</w:t>
      </w:r>
      <w:r>
        <w:rPr>
          <w:rFonts w:ascii="Times New Roman Regular" w:hAnsi="Times New Roman Regular" w:cs="Times New Roman Regular"/>
          <w:szCs w:val="40"/>
        </w:rPr>
        <w:t>2016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339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4">
    <w:p w14:paraId="3CB27F8A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屈万里：《诗经诠释》，第</w:t>
      </w:r>
      <w:r>
        <w:rPr>
          <w:rFonts w:ascii="Times New Roman Regular" w:hAnsi="Times New Roman Regular" w:cs="Times New Roman Regular"/>
          <w:szCs w:val="40"/>
        </w:rPr>
        <w:t>339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5">
    <w:p w14:paraId="26D3A235" w14:textId="77777777" w:rsidR="00C2739D" w:rsidRDefault="00000000">
      <w:pPr>
        <w:pStyle w:val="ad"/>
        <w:rPr>
          <w:rFonts w:ascii="Times New Roman Regular" w:hAnsi="Times New Roman Regular" w:cs="Times New Roman Regular"/>
          <w:sz w:val="18"/>
          <w:szCs w:val="32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“此维与宅”之“宅”亦训度，参见《毛诗传笺通释》第</w:t>
      </w:r>
      <w:r>
        <w:rPr>
          <w:rFonts w:ascii="Times New Roman Regular" w:hAnsi="Times New Roman Regular" w:cs="Times New Roman Regular"/>
          <w:szCs w:val="40"/>
        </w:rPr>
        <w:t>841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6">
    <w:p w14:paraId="20029343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根据西周金文来看，“邦”与“国”不同。“邦”是政治实体性组织，指具体的邦国；“国”是政治地理单位，是地域的泛称。“国”字取代“邦”字是汉高祖避讳人为造成的社会现象。详见大西克也：《论古文字材料中的“邦”和“国”》，《古文字研究》第</w:t>
      </w:r>
      <w:r>
        <w:rPr>
          <w:rFonts w:ascii="Times New Roman Regular" w:hAnsi="Times New Roman Regular" w:cs="Times New Roman Regular"/>
          <w:szCs w:val="40"/>
        </w:rPr>
        <w:t>23</w:t>
      </w:r>
      <w:r>
        <w:rPr>
          <w:rFonts w:ascii="Times New Roman Regular" w:hAnsi="Times New Roman Regular" w:cs="Times New Roman Regular" w:hint="eastAsia"/>
          <w:szCs w:val="40"/>
        </w:rPr>
        <w:t>辑，北京：中华书局、合肥：安徽大学出版社，</w:t>
      </w:r>
      <w:r>
        <w:rPr>
          <w:rFonts w:ascii="Times New Roman Regular" w:hAnsi="Times New Roman Regular" w:cs="Times New Roman Regular"/>
          <w:szCs w:val="40"/>
        </w:rPr>
        <w:t>2002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186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194</w:t>
      </w:r>
      <w:r>
        <w:rPr>
          <w:rFonts w:ascii="Times New Roman Regular" w:hAnsi="Times New Roman Regular" w:cs="Times New Roman Regular" w:hint="eastAsia"/>
          <w:szCs w:val="40"/>
        </w:rPr>
        <w:t>页；陈英杰：《西周金文作器用途铭辞研究》，第</w:t>
      </w:r>
      <w:r>
        <w:rPr>
          <w:rFonts w:ascii="Times New Roman Regular" w:hAnsi="Times New Roman Regular" w:cs="Times New Roman Regular"/>
          <w:szCs w:val="40"/>
        </w:rPr>
        <w:t>741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742</w:t>
      </w:r>
      <w:r>
        <w:rPr>
          <w:rFonts w:ascii="Times New Roman Regular" w:hAnsi="Times New Roman Regular" w:cs="Times New Roman Regular" w:hint="eastAsia"/>
          <w:szCs w:val="40"/>
        </w:rPr>
        <w:t>页；张海：《“邦”、“国”之别——兼谈两周铜器铭文所示西周王朝之国家结构》，《青铜器与金文》第一辑，第</w:t>
      </w:r>
      <w:r>
        <w:rPr>
          <w:rFonts w:ascii="Times New Roman Regular" w:hAnsi="Times New Roman Regular" w:cs="Times New Roman Regular"/>
          <w:szCs w:val="40"/>
        </w:rPr>
        <w:t>560-584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7">
    <w:p w14:paraId="1DD83A2C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“都”，故训多以为有先君之宗庙的城邑，这对于大夫一类职官的采邑来说或许是合适的，但对于方</w:t>
      </w:r>
      <w:r>
        <w:rPr>
          <w:rFonts w:ascii="Times New Roman Regular" w:hAnsi="Times New Roman Regular" w:cs="Times New Roman Regular"/>
          <w:szCs w:val="40"/>
        </w:rPr>
        <w:t>/</w:t>
      </w:r>
      <w:r>
        <w:rPr>
          <w:rFonts w:ascii="Times New Roman Regular" w:hAnsi="Times New Roman Regular" w:cs="Times New Roman Regular" w:hint="eastAsia"/>
          <w:szCs w:val="40"/>
        </w:rPr>
        <w:t>邦这种政治组织而言可能并不恰当。因其过于强调血缘属性，林沄辨之甚详。此“都”应是指统治者（多辟）所居的政治中心，是其政治实体组织（方</w:t>
      </w:r>
      <w:r>
        <w:rPr>
          <w:rFonts w:ascii="Times New Roman Regular" w:hAnsi="Times New Roman Regular" w:cs="Times New Roman Regular"/>
          <w:szCs w:val="40"/>
        </w:rPr>
        <w:t>/</w:t>
      </w:r>
      <w:r>
        <w:rPr>
          <w:rFonts w:ascii="Times New Roman Regular" w:hAnsi="Times New Roman Regular" w:cs="Times New Roman Regular" w:hint="eastAsia"/>
          <w:szCs w:val="40"/>
        </w:rPr>
        <w:t>邦）的外在物质形态，也是在其享有主权的、实际控制地域内的中心大邑，如同周王的周邦也是以被称为“王都”（《小雅·雨无正》）的城邑为中心进行统治的。周乃“旧邦”，本亦是“多方”之一。林说见《关于中国早期国家形式的几个问题》，原载《吉林大学学报》</w:t>
      </w:r>
      <w:r>
        <w:rPr>
          <w:rFonts w:ascii="Times New Roman Regular" w:hAnsi="Times New Roman Regular" w:cs="Times New Roman Regular"/>
          <w:szCs w:val="40"/>
        </w:rPr>
        <w:t>1986</w:t>
      </w:r>
      <w:r>
        <w:rPr>
          <w:rFonts w:ascii="Times New Roman Regular" w:hAnsi="Times New Roman Regular" w:cs="Times New Roman Regular" w:hint="eastAsia"/>
          <w:szCs w:val="40"/>
        </w:rPr>
        <w:t>年第</w:t>
      </w:r>
      <w:r>
        <w:rPr>
          <w:rFonts w:ascii="Times New Roman Regular" w:hAnsi="Times New Roman Regular" w:cs="Times New Roman Regular"/>
          <w:szCs w:val="40"/>
        </w:rPr>
        <w:t>6</w:t>
      </w:r>
      <w:r>
        <w:rPr>
          <w:rFonts w:ascii="Times New Roman Regular" w:hAnsi="Times New Roman Regular" w:cs="Times New Roman Regular" w:hint="eastAsia"/>
          <w:szCs w:val="40"/>
        </w:rPr>
        <w:t>期，后收入《林沄文集·古史卷》，上海：上海古籍出版社，</w:t>
      </w:r>
      <w:r>
        <w:rPr>
          <w:rFonts w:ascii="Times New Roman Regular" w:hAnsi="Times New Roman Regular" w:cs="Times New Roman Regular"/>
          <w:szCs w:val="40"/>
        </w:rPr>
        <w:t>2019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65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73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8">
    <w:p w14:paraId="0B3C72BE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俱参程元敏：《尚书周诰十三篇义证》，第</w:t>
      </w:r>
      <w:r>
        <w:rPr>
          <w:rFonts w:ascii="Times New Roman Regular" w:hAnsi="Times New Roman Regular" w:cs="Times New Roman Regular"/>
          <w:szCs w:val="40"/>
        </w:rPr>
        <w:t>766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767</w:t>
      </w:r>
      <w:r>
        <w:rPr>
          <w:rFonts w:ascii="Times New Roman Regular" w:hAnsi="Times New Roman Regular" w:cs="Times New Roman Regular" w:hint="eastAsia"/>
          <w:szCs w:val="40"/>
        </w:rPr>
        <w:t>、</w:t>
      </w:r>
      <w:r>
        <w:rPr>
          <w:rFonts w:ascii="Times New Roman Regular" w:hAnsi="Times New Roman Regular" w:cs="Times New Roman Regular"/>
          <w:szCs w:val="40"/>
        </w:rPr>
        <w:t>773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774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49">
    <w:p w14:paraId="290AA4D0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此处所言“诸侯”，指武王伐纣后周王新册命的诸侯，不包括周以前就已存在且担任“侯”职的邦君，如鄂侯。鄂侯是邦君而任周王的诸侯，同齐、鲁、晋、卫等不同。</w:t>
      </w:r>
    </w:p>
  </w:endnote>
  <w:endnote w:id="50">
    <w:p w14:paraId="18618579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朱凤瀚：《商周家族形态研究（增订本）》，天津：天津古籍出版社，</w:t>
      </w:r>
      <w:r>
        <w:rPr>
          <w:rFonts w:ascii="Times New Roman Regular" w:hAnsi="Times New Roman Regular" w:cs="Times New Roman Regular"/>
          <w:szCs w:val="40"/>
        </w:rPr>
        <w:t>1990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390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1">
    <w:p w14:paraId="704A387D" w14:textId="77777777" w:rsidR="00C2739D" w:rsidRDefault="00000000">
      <w:pPr>
        <w:pStyle w:val="ad"/>
        <w:rPr>
          <w:rFonts w:ascii="Times New Roman Regular" w:hAnsi="Times New Roman Regular" w:cs="Times New Roman Regular"/>
          <w:sz w:val="18"/>
          <w:szCs w:val="32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陈奂：《诗毛氏传疏》，第</w:t>
      </w:r>
      <w:r>
        <w:rPr>
          <w:rFonts w:ascii="Times New Roman Regular" w:hAnsi="Times New Roman Regular" w:cs="Times New Roman Regular"/>
          <w:szCs w:val="40"/>
        </w:rPr>
        <w:t>724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2">
    <w:p w14:paraId="6A6602D4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马瑞辰：《毛诗传笺通释》，</w:t>
      </w:r>
      <w:r>
        <w:rPr>
          <w:rFonts w:ascii="Times New Roman Regular" w:hAnsi="Times New Roman Regular" w:cs="Times New Roman Regular"/>
          <w:szCs w:val="40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第</w:t>
      </w:r>
      <w:r>
        <w:rPr>
          <w:rFonts w:ascii="Times New Roman Regular" w:hAnsi="Times New Roman Regular" w:cs="Times New Roman Regular"/>
          <w:szCs w:val="40"/>
        </w:rPr>
        <w:t>863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3">
    <w:p w14:paraId="66875CC0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饶宗颐：《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4366A529" wp14:editId="53DAF3C7">
            <wp:extent cx="114300" cy="123825"/>
            <wp:effectExtent l="0" t="0" r="0" b="9525"/>
            <wp:docPr id="530424452" name="图片 105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424452" name="图片 105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公盨与夏书〈禹之总德〉》，第</w:t>
      </w:r>
      <w:r>
        <w:rPr>
          <w:rFonts w:ascii="Times New Roman Regular" w:hAnsi="Times New Roman Regular" w:cs="Times New Roman Regular"/>
          <w:szCs w:val="40"/>
        </w:rPr>
        <w:t>53</w:t>
      </w:r>
      <w:r>
        <w:rPr>
          <w:rFonts w:ascii="Times New Roman Regular" w:hAnsi="Times New Roman Regular" w:cs="Times New Roman Regular" w:hint="eastAsia"/>
          <w:szCs w:val="40"/>
        </w:rPr>
        <w:t>页</w:t>
      </w:r>
      <w:r>
        <w:rPr>
          <w:rFonts w:ascii="Times New Roman Regular" w:hAnsi="Times New Roman Regular" w:cs="Times New Roman Regular"/>
          <w:szCs w:val="40"/>
        </w:rPr>
        <w:t>;</w:t>
      </w:r>
      <w:r>
        <w:rPr>
          <w:rFonts w:ascii="Times New Roman Regular" w:hAnsi="Times New Roman Regular" w:cs="Times New Roman Regular" w:hint="eastAsia"/>
          <w:szCs w:val="40"/>
        </w:rPr>
        <w:t>宁镇疆：《清华简〈厚父〉“天降下民”句的观念源流与豳公盨铭文再释——兼说先秦“民本”思想的起源问题》，《出土文献》第七辑，</w:t>
      </w:r>
      <w:r>
        <w:rPr>
          <w:rFonts w:ascii="Times New Roman Regular" w:hAnsi="Times New Roman Regular" w:cs="Times New Roman Regular"/>
          <w:szCs w:val="40"/>
        </w:rPr>
        <w:t>2015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111</w:t>
      </w:r>
      <w:r>
        <w:rPr>
          <w:rFonts w:ascii="Times New Roman Regular" w:hAnsi="Times New Roman Regular" w:cs="Times New Roman Regular" w:hint="eastAsia"/>
          <w:szCs w:val="40"/>
        </w:rPr>
        <w:t>页；凡国栋：《金文读本》，南京：凤凰出版社，</w:t>
      </w:r>
      <w:r>
        <w:rPr>
          <w:rFonts w:ascii="Times New Roman Regular" w:hAnsi="Times New Roman Regular" w:cs="Times New Roman Regular"/>
          <w:szCs w:val="40"/>
        </w:rPr>
        <w:t>2017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102</w:t>
      </w:r>
      <w:r>
        <w:rPr>
          <w:rFonts w:ascii="Times New Roman Regular" w:hAnsi="Times New Roman Regular" w:cs="Times New Roman Regular" w:hint="eastAsia"/>
          <w:szCs w:val="40"/>
        </w:rPr>
        <w:t>页；杨永生：《商周时期的方伯与方伯制》，博士学位论文，东北师范大学，</w:t>
      </w:r>
      <w:r>
        <w:rPr>
          <w:rFonts w:ascii="Times New Roman Regular" w:hAnsi="Times New Roman Regular" w:cs="Times New Roman Regular"/>
          <w:szCs w:val="40"/>
        </w:rPr>
        <w:t>2019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48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4">
    <w:p w14:paraId="71FE1481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裘锡圭：《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11C709FD" wp14:editId="1BD6E995">
            <wp:extent cx="114300" cy="123825"/>
            <wp:effectExtent l="0" t="0" r="0" b="9525"/>
            <wp:docPr id="330117507" name="图片 106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117507" name="图片 106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公盨铭文考释》，第</w:t>
      </w:r>
      <w:r>
        <w:rPr>
          <w:rFonts w:ascii="Times New Roman Regular" w:hAnsi="Times New Roman Regular" w:cs="Times New Roman Regular"/>
          <w:szCs w:val="40"/>
        </w:rPr>
        <w:t>152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5">
    <w:p w14:paraId="3B658223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宁镇疆：《清华简〈厚父〉“天降下民”句的观念源流与豳公盨铭文再释——兼说先秦“民本”思想的起源问题》，第</w:t>
      </w:r>
      <w:r>
        <w:rPr>
          <w:rFonts w:ascii="Times New Roman Regular" w:hAnsi="Times New Roman Regular" w:cs="Times New Roman Regular"/>
          <w:szCs w:val="40"/>
        </w:rPr>
        <w:t>111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112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6">
    <w:p w14:paraId="403E5A7F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王引之：《经义述闻》，虞思征，马涛，徐炜君校点，上海：上海古籍出版社，</w:t>
      </w:r>
      <w:r>
        <w:rPr>
          <w:rFonts w:ascii="Times New Roman Regular" w:hAnsi="Times New Roman Regular" w:cs="Times New Roman Regular"/>
          <w:szCs w:val="40"/>
        </w:rPr>
        <w:t>2016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192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195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7">
    <w:p w14:paraId="3322958D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徐晓娜将“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1ECBB539" wp14:editId="07F4191D">
            <wp:extent cx="100330" cy="114300"/>
            <wp:effectExtent l="0" t="0" r="0" b="0"/>
            <wp:docPr id="180702943" name="图片 107" descr="截屏2026-03-19 15.15.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2943" name="图片 107" descr="截屏2026-03-19 15.15.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3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”字读为“仇”，认为“仇方设正”即匹配方国设立长官，也就是设立各方国首领的意思。似乎把“正”解释为“方”的匹，这与我们的意见不同。其所引《大雅·皇矣》之“仇方”应是“与国”即联盟方国之意，与盨铭的“仇方”似非一事。徐说见《豳公盨铭文集释及相关问题研究》，硕士学位论文，华侨大学，</w:t>
      </w:r>
      <w:r>
        <w:rPr>
          <w:rFonts w:ascii="Times New Roman Regular" w:hAnsi="Times New Roman Regular" w:cs="Times New Roman Regular"/>
          <w:szCs w:val="40"/>
        </w:rPr>
        <w:t>2023</w:t>
      </w:r>
      <w:r>
        <w:rPr>
          <w:rFonts w:ascii="Times New Roman Regular" w:hAnsi="Times New Roman Regular" w:cs="Times New Roman Regular" w:hint="eastAsia"/>
          <w:szCs w:val="40"/>
        </w:rPr>
        <w:t>年</w:t>
      </w:r>
      <w:r>
        <w:rPr>
          <w:rFonts w:ascii="Times New Roman Regular" w:hAnsi="Times New Roman Regular" w:cs="Times New Roman Regular"/>
          <w:szCs w:val="40"/>
        </w:rPr>
        <w:t>5</w:t>
      </w:r>
      <w:r>
        <w:rPr>
          <w:rFonts w:ascii="Times New Roman Regular" w:hAnsi="Times New Roman Regular" w:cs="Times New Roman Regular" w:hint="eastAsia"/>
          <w:szCs w:val="40"/>
        </w:rPr>
        <w:t>月，第</w:t>
      </w:r>
      <w:r>
        <w:rPr>
          <w:rFonts w:ascii="Times New Roman Regular" w:hAnsi="Times New Roman Regular" w:cs="Times New Roman Regular"/>
          <w:szCs w:val="40"/>
        </w:rPr>
        <w:t>59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8">
    <w:p w14:paraId="50D00CC7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详见裘锡圭：《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3A741300" wp14:editId="1209B9F3">
            <wp:extent cx="114300" cy="123825"/>
            <wp:effectExtent l="0" t="0" r="0" b="9525"/>
            <wp:docPr id="2079216054" name="图片 108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16054" name="图片 108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公盨铭文考释》，第</w:t>
      </w:r>
      <w:r>
        <w:rPr>
          <w:rFonts w:ascii="Times New Roman Regular" w:hAnsi="Times New Roman Regular" w:cs="Times New Roman Regular"/>
          <w:szCs w:val="40"/>
        </w:rPr>
        <w:t>154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155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59">
    <w:p w14:paraId="5886FDDE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“我王”，学界或解为夏王（禹王），或解为周王。我们同意郭永秉的意见，他说：“‘王’乃指夏王的可能性虽不能说完全不存在，但实际上并没有确凿的证据证明这一点，且通篇铭文是豳公用禹治水传说为教材，导民用德，并不能看出与夏王有任何的关联，我很怀疑所谓的‘生我王’的‘王’实即豳公对其立国之初的‘豳王’的指称，在‘豳’这个异性小国（引者按，豳姬姓，此处应当作‘同姓小国’）的历史观念中，估计也同样把自己建立国家的历史上溯到禹治水之时的。”顾颉刚说禹是作为上天派下的天神来人间治水的，本与夏没有什么关系。这如同《商颂·长发》“洪水芒芒，禹敷下土方，帝立子生商”，禹治完水后，上帝别又设立方</w:t>
      </w:r>
      <w:r>
        <w:rPr>
          <w:rFonts w:ascii="Times New Roman Regular" w:hAnsi="Times New Roman Regular" w:cs="Times New Roman Regular"/>
          <w:szCs w:val="40"/>
        </w:rPr>
        <w:t>/</w:t>
      </w:r>
      <w:r>
        <w:rPr>
          <w:rFonts w:ascii="Times New Roman Regular" w:hAnsi="Times New Roman Regular" w:cs="Times New Roman Regular" w:hint="eastAsia"/>
          <w:szCs w:val="40"/>
        </w:rPr>
        <w:t>邦，盨铭中的“王”确与禹没有什么关系。豳既可称“公”，也可称“王”，如同申既称“伯”（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1A2F55AE" wp14:editId="24F6A2BE">
            <wp:extent cx="95250" cy="109855"/>
            <wp:effectExtent l="0" t="0" r="0" b="4445"/>
            <wp:docPr id="1094549685" name="图片 111" descr="截屏2026-03-23 09.43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49685" name="图片 111" descr="截屏2026-03-23 09.43.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伯鼎，《集成》</w:t>
      </w:r>
      <w:r>
        <w:rPr>
          <w:rFonts w:ascii="Times New Roman Regular" w:hAnsi="Times New Roman Regular" w:cs="Times New Roman Regular"/>
          <w:szCs w:val="40"/>
        </w:rPr>
        <w:t>02161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01592</w:t>
      </w:r>
      <w:r>
        <w:rPr>
          <w:rFonts w:ascii="Times New Roman Regular" w:hAnsi="Times New Roman Regular" w:cs="Times New Roman Regular" w:hint="eastAsia"/>
          <w:szCs w:val="40"/>
        </w:rPr>
        <w:t>）（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24CE2526" wp14:editId="1373D948">
            <wp:extent cx="95250" cy="109855"/>
            <wp:effectExtent l="0" t="0" r="0" b="4445"/>
            <wp:docPr id="913131138" name="图片 110" descr="截屏2026-03-23 09.43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31138" name="图片 110" descr="截屏2026-03-23 09.43.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伯簋，《集成》</w:t>
      </w:r>
      <w:r>
        <w:rPr>
          <w:rFonts w:ascii="Times New Roman Regular" w:hAnsi="Times New Roman Regular" w:cs="Times New Roman Regular"/>
          <w:szCs w:val="40"/>
        </w:rPr>
        <w:t>03524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04300</w:t>
      </w:r>
      <w:r>
        <w:rPr>
          <w:rFonts w:ascii="Times New Roman Regular" w:hAnsi="Times New Roman Regular" w:cs="Times New Roman Regular" w:hint="eastAsia"/>
          <w:szCs w:val="40"/>
        </w:rPr>
        <w:t>）又称“王”是一样的（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5E6354A7" wp14:editId="23B37F09">
            <wp:extent cx="95250" cy="109855"/>
            <wp:effectExtent l="0" t="0" r="0" b="4445"/>
            <wp:docPr id="85536964" name="图片 109" descr="截屏2026-03-23 09.43.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36964" name="图片 109" descr="截屏2026-03-23 09.43.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王尊，《集成》</w:t>
      </w:r>
      <w:r>
        <w:rPr>
          <w:rFonts w:ascii="Times New Roman Regular" w:hAnsi="Times New Roman Regular" w:cs="Times New Roman Regular"/>
          <w:szCs w:val="40"/>
        </w:rPr>
        <w:t>05847</w:t>
      </w:r>
      <w:r>
        <w:rPr>
          <w:rFonts w:ascii="Times New Roman Regular" w:hAnsi="Times New Roman Regular" w:cs="Times New Roman Regular" w:hint="eastAsia"/>
          <w:szCs w:val="40"/>
        </w:rPr>
        <w:t>；《铭图》</w:t>
      </w:r>
      <w:r>
        <w:rPr>
          <w:rFonts w:ascii="Times New Roman Regular" w:hAnsi="Times New Roman Regular" w:cs="Times New Roman Regular"/>
          <w:szCs w:val="40"/>
        </w:rPr>
        <w:t>11595</w:t>
      </w:r>
      <w:r>
        <w:rPr>
          <w:rFonts w:ascii="Times New Roman Regular" w:hAnsi="Times New Roman Regular" w:cs="Times New Roman Regular" w:hint="eastAsia"/>
          <w:szCs w:val="40"/>
        </w:rPr>
        <w:t>），申伯、申王的铜器皆西周早期器。将豳公理解为周王的臣子也是不对的。郭说见《近年出土战国文献给古史传说研究带来的若干新知与反思》，《出土文献与古文字研究》第七辑，</w:t>
      </w:r>
      <w:r>
        <w:rPr>
          <w:rFonts w:ascii="Times New Roman Regular" w:hAnsi="Times New Roman Regular" w:cs="Times New Roman Regular"/>
          <w:szCs w:val="40"/>
        </w:rPr>
        <w:t>2018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240</w:t>
      </w:r>
      <w:r>
        <w:rPr>
          <w:rFonts w:ascii="Times New Roman Regular" w:hAnsi="Times New Roman Regular" w:cs="Times New Roman Regular" w:hint="eastAsia"/>
          <w:szCs w:val="40"/>
        </w:rPr>
        <w:t>页；顾说见《鲧禹的传说》，第</w:t>
      </w:r>
      <w:r>
        <w:rPr>
          <w:rFonts w:ascii="Times New Roman Regular" w:hAnsi="Times New Roman Regular" w:cs="Times New Roman Regular"/>
          <w:szCs w:val="40"/>
        </w:rPr>
        <w:t>499</w:t>
      </w:r>
      <w:r>
        <w:rPr>
          <w:rFonts w:ascii="Times New Roman Regular" w:hAnsi="Times New Roman Regular" w:cs="Times New Roman Regular" w:hint="eastAsia"/>
          <w:szCs w:val="40"/>
        </w:rPr>
        <w:t>—</w:t>
      </w:r>
      <w:r>
        <w:rPr>
          <w:rFonts w:ascii="Times New Roman Regular" w:hAnsi="Times New Roman Regular" w:cs="Times New Roman Regular"/>
          <w:szCs w:val="40"/>
        </w:rPr>
        <w:t>508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60">
    <w:p w14:paraId="4DC603BE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焦循：《孟子正义》，沈文倬点校，北京：中华书局，</w:t>
      </w:r>
      <w:r>
        <w:rPr>
          <w:rFonts w:ascii="Times New Roman Regular" w:hAnsi="Times New Roman Regular" w:cs="Times New Roman Regular"/>
          <w:szCs w:val="40"/>
        </w:rPr>
        <w:t>1987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125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61">
    <w:p w14:paraId="408A5E8C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李学勤主编：《清华大学藏战国竹简（伍）》，上海：中西书局，</w:t>
      </w:r>
      <w:r>
        <w:rPr>
          <w:rFonts w:ascii="Times New Roman Regular" w:hAnsi="Times New Roman Regular" w:cs="Times New Roman Regular"/>
          <w:szCs w:val="40"/>
        </w:rPr>
        <w:t>2015</w:t>
      </w:r>
      <w:r>
        <w:rPr>
          <w:rFonts w:ascii="Times New Roman Regular" w:hAnsi="Times New Roman Regular" w:cs="Times New Roman Regular" w:hint="eastAsia"/>
          <w:szCs w:val="40"/>
        </w:rPr>
        <w:t>年，第</w:t>
      </w:r>
      <w:r>
        <w:rPr>
          <w:rFonts w:ascii="Times New Roman Regular" w:hAnsi="Times New Roman Regular" w:cs="Times New Roman Regular"/>
          <w:szCs w:val="40"/>
        </w:rPr>
        <w:t>110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  <w:endnote w:id="62">
    <w:p w14:paraId="175A087D" w14:textId="77777777" w:rsidR="00C2739D" w:rsidRDefault="00000000">
      <w:pPr>
        <w:pStyle w:val="ad"/>
        <w:rPr>
          <w:rFonts w:ascii="Times New Roman Regular" w:hAnsi="Times New Roman Regular" w:cs="Times New Roman Regular"/>
          <w:szCs w:val="40"/>
        </w:rPr>
      </w:pPr>
      <w:r>
        <w:rPr>
          <w:rStyle w:val="afd"/>
          <w:rFonts w:hint="eastAsia"/>
          <w:sz w:val="21"/>
          <w:szCs w:val="21"/>
        </w:rPr>
        <w:endnoteRef/>
      </w:r>
      <w:r>
        <w:rPr>
          <w:rStyle w:val="afd"/>
          <w:rFonts w:hint="eastAsia"/>
          <w:sz w:val="21"/>
          <w:szCs w:val="21"/>
        </w:rPr>
        <w:t xml:space="preserve"> </w:t>
      </w:r>
      <w:r>
        <w:rPr>
          <w:rFonts w:ascii="Times New Roman Regular" w:hAnsi="Times New Roman Regular" w:cs="Times New Roman Regular" w:hint="eastAsia"/>
          <w:szCs w:val="40"/>
        </w:rPr>
        <w:t>《荡》首句“荡荡上帝，下民之辟”是总领全文，此“民”包括后面的“多辟”和“烝民”。裘锡圭说：“对天和神而言，地上的人都是民。”裘说见《</w:t>
      </w:r>
      <w:r>
        <w:rPr>
          <w:rFonts w:ascii="Times New Roman Regular" w:hAnsi="Times New Roman Regular" w:cs="Times New Roman Regular"/>
          <w:noProof/>
          <w:szCs w:val="40"/>
        </w:rPr>
        <w:drawing>
          <wp:inline distT="0" distB="0" distL="0" distR="0" wp14:anchorId="381D331E" wp14:editId="533EDE3D">
            <wp:extent cx="114300" cy="123825"/>
            <wp:effectExtent l="0" t="0" r="0" b="9525"/>
            <wp:docPr id="2055248888" name="图片 112" descr="截屏2026-03-19 15.32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248888" name="图片 112" descr="截屏2026-03-19 15.32.00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 w:hint="eastAsia"/>
          <w:szCs w:val="40"/>
        </w:rPr>
        <w:t>公盨铭文考释》，第</w:t>
      </w:r>
      <w:r>
        <w:rPr>
          <w:rFonts w:ascii="Times New Roman Regular" w:hAnsi="Times New Roman Regular" w:cs="Times New Roman Regular"/>
          <w:szCs w:val="40"/>
        </w:rPr>
        <w:t>163</w:t>
      </w:r>
      <w:r>
        <w:rPr>
          <w:rFonts w:ascii="Times New Roman Regular" w:hAnsi="Times New Roman Regular" w:cs="Times New Roman Regular" w:hint="eastAsia"/>
          <w:szCs w:val="40"/>
        </w:rPr>
        <w:t>页。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FKai-SB">
    <w:altName w:val="Microsoft JhengHei Light"/>
    <w:panose1 w:val="03000509000000000000"/>
    <w:charset w:val="88"/>
    <w:family w:val="script"/>
    <w:pitch w:val="default"/>
    <w:sig w:usb0="00000000" w:usb1="00000000" w:usb2="00000016" w:usb3="00000000" w:csb0="00100001" w:csb1="00000000"/>
  </w:font>
  <w:font w:name="TimesNewRomanPS-BoldMT">
    <w:altName w:val="微软雅黑"/>
    <w:charset w:val="00"/>
    <w:family w:val="roman"/>
    <w:pitch w:val="default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ew Gulim">
    <w:altName w:val="Cambria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经典繁超宋">
    <w:altName w:val="宋体"/>
    <w:charset w:val="86"/>
    <w:family w:val="roman"/>
    <w:pitch w:val="default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  <w:font w:name="控呇湮佽恅苤蚼">
    <w:altName w:val="Microsoft JhengHei"/>
    <w:charset w:val="88"/>
    <w:family w:val="modern"/>
    <w:pitch w:val="default"/>
    <w:sig w:usb0="00000000" w:usb1="00000000" w:usb2="00000010" w:usb3="00000000" w:csb0="00100000" w:csb1="00000000"/>
  </w:font>
  <w:font w:name="KaiXinSong">
    <w:altName w:val="Microsoft JhengHei"/>
    <w:charset w:val="00"/>
    <w:family w:val="modern"/>
    <w:pitch w:val="default"/>
    <w:sig w:usb0="00000000" w:usb1="00000000" w:usb2="04000016" w:usb3="00000000" w:csb0="0000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汉仪楷体KW">
    <w:altName w:val="宋体"/>
    <w:charset w:val="86"/>
    <w:family w:val="auto"/>
    <w:pitch w:val="default"/>
    <w:sig w:usb0="00000000" w:usb1="00000000" w:usb2="00000016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2ACA" w14:textId="77777777" w:rsidR="00C2739D" w:rsidRDefault="00000000">
    <w:pPr>
      <w:pStyle w:val="af0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7DAA408D" w14:textId="77777777" w:rsidR="00C2739D" w:rsidRDefault="00C2739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C9F73" w14:textId="77777777" w:rsidR="00C2739D" w:rsidRDefault="00000000">
    <w:pPr>
      <w:tabs>
        <w:tab w:val="center" w:pos="4153"/>
        <w:tab w:val="right" w:pos="8306"/>
      </w:tabs>
      <w:rPr>
        <w:rFonts w:hint="eastAsia"/>
        <w:sz w:val="18"/>
        <w:szCs w:val="18"/>
      </w:rPr>
    </w:pPr>
    <w:r>
      <w:rPr>
        <w:rFonts w:hint="eastAsia"/>
        <w:sz w:val="18"/>
        <w:szCs w:val="18"/>
      </w:rPr>
      <w:t>收稿日期：</w:t>
    </w:r>
    <w:r>
      <w:rPr>
        <w:sz w:val="18"/>
        <w:szCs w:val="18"/>
      </w:rPr>
      <w:t>2026</w:t>
    </w:r>
    <w:r>
      <w:rPr>
        <w:rFonts w:hint="eastAsia"/>
        <w:sz w:val="18"/>
        <w:szCs w:val="18"/>
      </w:rPr>
      <w:t>年1</w:t>
    </w:r>
    <w:r>
      <w:rPr>
        <w:sz w:val="18"/>
        <w:szCs w:val="18"/>
      </w:rPr>
      <w:t>0</w:t>
    </w:r>
    <w:r>
      <w:rPr>
        <w:rFonts w:hint="eastAsia"/>
        <w:sz w:val="18"/>
        <w:szCs w:val="18"/>
      </w:rPr>
      <w:t>月1</w:t>
    </w:r>
    <w:r>
      <w:rPr>
        <w:sz w:val="18"/>
        <w:szCs w:val="18"/>
      </w:rPr>
      <w:t>3</w:t>
    </w:r>
    <w:r>
      <w:rPr>
        <w:rFonts w:hint="eastAsia"/>
        <w:sz w:val="18"/>
        <w:szCs w:val="18"/>
      </w:rPr>
      <w:t>日</w:t>
    </w:r>
    <w:r>
      <w:rPr>
        <w:sz w:val="18"/>
        <w:szCs w:val="18"/>
      </w:rPr>
      <w:tab/>
    </w:r>
    <w:r>
      <w:rPr>
        <w:rFonts w:hint="eastAsia"/>
        <w:sz w:val="18"/>
        <w:szCs w:val="18"/>
      </w:rPr>
      <w:t>发布日期：</w:t>
    </w:r>
    <w:r>
      <w:rPr>
        <w:sz w:val="18"/>
        <w:szCs w:val="18"/>
      </w:rPr>
      <w:t>2026</w:t>
    </w:r>
    <w:r>
      <w:rPr>
        <w:rFonts w:hint="eastAsia"/>
        <w:sz w:val="18"/>
        <w:szCs w:val="18"/>
      </w:rPr>
      <w:t>年1</w:t>
    </w:r>
    <w:r>
      <w:rPr>
        <w:sz w:val="18"/>
        <w:szCs w:val="18"/>
      </w:rPr>
      <w:t>0</w:t>
    </w:r>
    <w:r>
      <w:rPr>
        <w:rFonts w:hint="eastAsia"/>
        <w:sz w:val="18"/>
        <w:szCs w:val="18"/>
      </w:rPr>
      <w:t>月1</w:t>
    </w:r>
    <w:r>
      <w:rPr>
        <w:sz w:val="18"/>
        <w:szCs w:val="18"/>
      </w:rPr>
      <w:t>5</w:t>
    </w:r>
    <w:r>
      <w:rPr>
        <w:rFonts w:hint="eastAsia"/>
        <w:sz w:val="18"/>
        <w:szCs w:val="18"/>
      </w:rPr>
      <w:t>日</w:t>
    </w:r>
    <w:r>
      <w:rPr>
        <w:sz w:val="18"/>
        <w:szCs w:val="18"/>
      </w:rPr>
      <w:tab/>
    </w:r>
    <w:r>
      <w:rPr>
        <w:rFonts w:hint="eastAsia"/>
        <w:sz w:val="18"/>
        <w:szCs w:val="18"/>
      </w:rPr>
      <w:t>页码：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sz w:val="18"/>
        <w:szCs w:val="18"/>
      </w:rPr>
      <w:t>/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8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A3720" w14:textId="77777777" w:rsidR="001100F4" w:rsidRDefault="001100F4">
      <w:pPr>
        <w:rPr>
          <w:rFonts w:hint="eastAsia"/>
        </w:rPr>
      </w:pPr>
      <w:r>
        <w:separator/>
      </w:r>
    </w:p>
  </w:footnote>
  <w:footnote w:type="continuationSeparator" w:id="0">
    <w:p w14:paraId="337FCC32" w14:textId="77777777" w:rsidR="001100F4" w:rsidRDefault="001100F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2C58" w14:textId="77777777" w:rsidR="00C2739D" w:rsidRDefault="00000000">
    <w:pPr>
      <w:pStyle w:val="af2"/>
      <w:spacing w:before="240" w:after="240"/>
      <w:ind w:firstLine="436"/>
      <w:rPr>
        <w:rFonts w:hint="eastAsia"/>
      </w:rPr>
    </w:pPr>
    <w:r>
      <w:rPr>
        <w:rFonts w:hint="eastAsia"/>
      </w:rPr>
      <w:t>复旦大学出土文献与古文字研究中心网站论文</w:t>
    </w:r>
  </w:p>
  <w:p w14:paraId="438BF9E5" w14:textId="77777777" w:rsidR="00C2739D" w:rsidRDefault="00000000">
    <w:pPr>
      <w:pStyle w:val="af2"/>
      <w:spacing w:before="240" w:after="240"/>
      <w:ind w:firstLine="436"/>
      <w:rPr>
        <w:rFonts w:hint="eastAsia"/>
      </w:rPr>
    </w:pPr>
    <w:r>
      <w:rPr>
        <w:rFonts w:hint="eastAsia"/>
      </w:rPr>
      <w:t>链接：</w:t>
    </w:r>
    <w:r>
      <w:t>http://www.fdgwz.org.cn/Web/Show/13419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D61B6"/>
    <w:multiLevelType w:val="multilevel"/>
    <w:tmpl w:val="4DDD61B6"/>
    <w:lvl w:ilvl="0">
      <w:start w:val="1"/>
      <w:numFmt w:val="decimal"/>
      <w:pStyle w:val="a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95571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024"/>
    <w:rsid w:val="00003788"/>
    <w:rsid w:val="000038DD"/>
    <w:rsid w:val="000069D0"/>
    <w:rsid w:val="00006D1D"/>
    <w:rsid w:val="00011970"/>
    <w:rsid w:val="00012491"/>
    <w:rsid w:val="000133A5"/>
    <w:rsid w:val="00016495"/>
    <w:rsid w:val="0001730A"/>
    <w:rsid w:val="00017F20"/>
    <w:rsid w:val="00021234"/>
    <w:rsid w:val="00022497"/>
    <w:rsid w:val="000269A2"/>
    <w:rsid w:val="00031027"/>
    <w:rsid w:val="00032E60"/>
    <w:rsid w:val="00033997"/>
    <w:rsid w:val="00033F9D"/>
    <w:rsid w:val="00035922"/>
    <w:rsid w:val="00037B38"/>
    <w:rsid w:val="00037D45"/>
    <w:rsid w:val="00041E3D"/>
    <w:rsid w:val="00043973"/>
    <w:rsid w:val="0004553B"/>
    <w:rsid w:val="00050E7C"/>
    <w:rsid w:val="00051CC3"/>
    <w:rsid w:val="00057141"/>
    <w:rsid w:val="0006047C"/>
    <w:rsid w:val="000626A6"/>
    <w:rsid w:val="00062FE9"/>
    <w:rsid w:val="00066107"/>
    <w:rsid w:val="0006648C"/>
    <w:rsid w:val="00073508"/>
    <w:rsid w:val="00076F82"/>
    <w:rsid w:val="00077C36"/>
    <w:rsid w:val="00084150"/>
    <w:rsid w:val="0008479B"/>
    <w:rsid w:val="000860FF"/>
    <w:rsid w:val="0008667C"/>
    <w:rsid w:val="00093C88"/>
    <w:rsid w:val="0009527F"/>
    <w:rsid w:val="000A4A8F"/>
    <w:rsid w:val="000B02C6"/>
    <w:rsid w:val="000B20F1"/>
    <w:rsid w:val="000B3534"/>
    <w:rsid w:val="000B3957"/>
    <w:rsid w:val="000B3E82"/>
    <w:rsid w:val="000B4C47"/>
    <w:rsid w:val="000B5B17"/>
    <w:rsid w:val="000B7803"/>
    <w:rsid w:val="000C306D"/>
    <w:rsid w:val="000C439A"/>
    <w:rsid w:val="000C6DDF"/>
    <w:rsid w:val="000D0719"/>
    <w:rsid w:val="000D135F"/>
    <w:rsid w:val="000D13F8"/>
    <w:rsid w:val="000D5531"/>
    <w:rsid w:val="000D6B61"/>
    <w:rsid w:val="000E2C1A"/>
    <w:rsid w:val="000E2C87"/>
    <w:rsid w:val="000E3AF3"/>
    <w:rsid w:val="000E4237"/>
    <w:rsid w:val="000E738A"/>
    <w:rsid w:val="000E7C8B"/>
    <w:rsid w:val="000F0036"/>
    <w:rsid w:val="000F28A8"/>
    <w:rsid w:val="000F4BED"/>
    <w:rsid w:val="000F5549"/>
    <w:rsid w:val="00102E1C"/>
    <w:rsid w:val="00104E73"/>
    <w:rsid w:val="001100F4"/>
    <w:rsid w:val="00110B5F"/>
    <w:rsid w:val="00116C85"/>
    <w:rsid w:val="0012030A"/>
    <w:rsid w:val="00131D4E"/>
    <w:rsid w:val="001332B7"/>
    <w:rsid w:val="001347BB"/>
    <w:rsid w:val="00140894"/>
    <w:rsid w:val="001433AC"/>
    <w:rsid w:val="0014382E"/>
    <w:rsid w:val="001450B7"/>
    <w:rsid w:val="001500E3"/>
    <w:rsid w:val="00154CEE"/>
    <w:rsid w:val="00155ACA"/>
    <w:rsid w:val="00156D70"/>
    <w:rsid w:val="001641C2"/>
    <w:rsid w:val="00164C7B"/>
    <w:rsid w:val="00167A77"/>
    <w:rsid w:val="00167A7A"/>
    <w:rsid w:val="00170566"/>
    <w:rsid w:val="001706C5"/>
    <w:rsid w:val="001712CA"/>
    <w:rsid w:val="00172F5D"/>
    <w:rsid w:val="001801DC"/>
    <w:rsid w:val="0018778C"/>
    <w:rsid w:val="001938D1"/>
    <w:rsid w:val="00194437"/>
    <w:rsid w:val="00194702"/>
    <w:rsid w:val="001957D4"/>
    <w:rsid w:val="00195BA5"/>
    <w:rsid w:val="00196304"/>
    <w:rsid w:val="0019751F"/>
    <w:rsid w:val="001A02A8"/>
    <w:rsid w:val="001A19B2"/>
    <w:rsid w:val="001A4915"/>
    <w:rsid w:val="001A5188"/>
    <w:rsid w:val="001B293E"/>
    <w:rsid w:val="001B3C4F"/>
    <w:rsid w:val="001B3E07"/>
    <w:rsid w:val="001B4395"/>
    <w:rsid w:val="001B492F"/>
    <w:rsid w:val="001B4FFD"/>
    <w:rsid w:val="001B682E"/>
    <w:rsid w:val="001B710F"/>
    <w:rsid w:val="001C0EEC"/>
    <w:rsid w:val="001C59D5"/>
    <w:rsid w:val="001C5F88"/>
    <w:rsid w:val="001D1713"/>
    <w:rsid w:val="001D2B45"/>
    <w:rsid w:val="001D427D"/>
    <w:rsid w:val="001D4E56"/>
    <w:rsid w:val="001E23A9"/>
    <w:rsid w:val="001E6598"/>
    <w:rsid w:val="001E6D43"/>
    <w:rsid w:val="001F1BFC"/>
    <w:rsid w:val="001F6F0F"/>
    <w:rsid w:val="00201B96"/>
    <w:rsid w:val="00211416"/>
    <w:rsid w:val="00214B92"/>
    <w:rsid w:val="00216AB7"/>
    <w:rsid w:val="002211DE"/>
    <w:rsid w:val="002262DD"/>
    <w:rsid w:val="00230ADF"/>
    <w:rsid w:val="00231125"/>
    <w:rsid w:val="002346A0"/>
    <w:rsid w:val="00237037"/>
    <w:rsid w:val="002372F1"/>
    <w:rsid w:val="00240D78"/>
    <w:rsid w:val="00240EAB"/>
    <w:rsid w:val="00243FD0"/>
    <w:rsid w:val="0024748E"/>
    <w:rsid w:val="0025043C"/>
    <w:rsid w:val="00253015"/>
    <w:rsid w:val="0025637F"/>
    <w:rsid w:val="00257210"/>
    <w:rsid w:val="0027142D"/>
    <w:rsid w:val="002732E6"/>
    <w:rsid w:val="0027743E"/>
    <w:rsid w:val="002819AA"/>
    <w:rsid w:val="0028213F"/>
    <w:rsid w:val="00283EDC"/>
    <w:rsid w:val="0028564F"/>
    <w:rsid w:val="00291D8E"/>
    <w:rsid w:val="00292887"/>
    <w:rsid w:val="00292EE5"/>
    <w:rsid w:val="00294FD3"/>
    <w:rsid w:val="002963F1"/>
    <w:rsid w:val="0029793E"/>
    <w:rsid w:val="002A0E2F"/>
    <w:rsid w:val="002A1C81"/>
    <w:rsid w:val="002A1D71"/>
    <w:rsid w:val="002A5820"/>
    <w:rsid w:val="002A6194"/>
    <w:rsid w:val="002A746C"/>
    <w:rsid w:val="002B32DA"/>
    <w:rsid w:val="002C4C02"/>
    <w:rsid w:val="002C668C"/>
    <w:rsid w:val="002C70BF"/>
    <w:rsid w:val="002C7445"/>
    <w:rsid w:val="002C7CEA"/>
    <w:rsid w:val="002D039D"/>
    <w:rsid w:val="002D4626"/>
    <w:rsid w:val="002D5CCD"/>
    <w:rsid w:val="002D74D8"/>
    <w:rsid w:val="002E2792"/>
    <w:rsid w:val="002E503F"/>
    <w:rsid w:val="002F1FE6"/>
    <w:rsid w:val="002F2D81"/>
    <w:rsid w:val="00300BB1"/>
    <w:rsid w:val="0030510A"/>
    <w:rsid w:val="00311E98"/>
    <w:rsid w:val="00313A1D"/>
    <w:rsid w:val="0031705D"/>
    <w:rsid w:val="00317DBF"/>
    <w:rsid w:val="00317E80"/>
    <w:rsid w:val="00321472"/>
    <w:rsid w:val="00324A0C"/>
    <w:rsid w:val="003254FE"/>
    <w:rsid w:val="00330794"/>
    <w:rsid w:val="00331ABE"/>
    <w:rsid w:val="00331FBE"/>
    <w:rsid w:val="00332FF4"/>
    <w:rsid w:val="00334313"/>
    <w:rsid w:val="0033589E"/>
    <w:rsid w:val="003367D1"/>
    <w:rsid w:val="00347F61"/>
    <w:rsid w:val="003516DF"/>
    <w:rsid w:val="003519B2"/>
    <w:rsid w:val="003541B9"/>
    <w:rsid w:val="00355808"/>
    <w:rsid w:val="00357091"/>
    <w:rsid w:val="0036013B"/>
    <w:rsid w:val="003637BF"/>
    <w:rsid w:val="003657B7"/>
    <w:rsid w:val="00365AA8"/>
    <w:rsid w:val="00373178"/>
    <w:rsid w:val="00375FA4"/>
    <w:rsid w:val="00376418"/>
    <w:rsid w:val="00377962"/>
    <w:rsid w:val="003804C5"/>
    <w:rsid w:val="00380E0F"/>
    <w:rsid w:val="00382F27"/>
    <w:rsid w:val="00384194"/>
    <w:rsid w:val="00390262"/>
    <w:rsid w:val="003914E2"/>
    <w:rsid w:val="00393C80"/>
    <w:rsid w:val="00394082"/>
    <w:rsid w:val="00395D81"/>
    <w:rsid w:val="003A0D1A"/>
    <w:rsid w:val="003B45B0"/>
    <w:rsid w:val="003B5515"/>
    <w:rsid w:val="003C12E0"/>
    <w:rsid w:val="003C3289"/>
    <w:rsid w:val="003C4800"/>
    <w:rsid w:val="003C4D06"/>
    <w:rsid w:val="003C57BB"/>
    <w:rsid w:val="003C62CD"/>
    <w:rsid w:val="003D46B8"/>
    <w:rsid w:val="003D5DF4"/>
    <w:rsid w:val="003D668A"/>
    <w:rsid w:val="003E1354"/>
    <w:rsid w:val="003E1502"/>
    <w:rsid w:val="003E1E5C"/>
    <w:rsid w:val="003E5FD9"/>
    <w:rsid w:val="003E6BB9"/>
    <w:rsid w:val="003F2D79"/>
    <w:rsid w:val="003F5354"/>
    <w:rsid w:val="003F604F"/>
    <w:rsid w:val="00403C1D"/>
    <w:rsid w:val="0040573D"/>
    <w:rsid w:val="00410652"/>
    <w:rsid w:val="004127DD"/>
    <w:rsid w:val="00420CE9"/>
    <w:rsid w:val="00430178"/>
    <w:rsid w:val="0043067E"/>
    <w:rsid w:val="00430CA7"/>
    <w:rsid w:val="00430F52"/>
    <w:rsid w:val="00431BEA"/>
    <w:rsid w:val="00440BE0"/>
    <w:rsid w:val="0044129F"/>
    <w:rsid w:val="00445B35"/>
    <w:rsid w:val="00454220"/>
    <w:rsid w:val="004555EF"/>
    <w:rsid w:val="00456FAD"/>
    <w:rsid w:val="004628E8"/>
    <w:rsid w:val="00466A1C"/>
    <w:rsid w:val="00471E95"/>
    <w:rsid w:val="004756A5"/>
    <w:rsid w:val="00482C36"/>
    <w:rsid w:val="0048364F"/>
    <w:rsid w:val="004838F8"/>
    <w:rsid w:val="00483CD8"/>
    <w:rsid w:val="004860A2"/>
    <w:rsid w:val="004912E7"/>
    <w:rsid w:val="004918C3"/>
    <w:rsid w:val="004975C8"/>
    <w:rsid w:val="004A0388"/>
    <w:rsid w:val="004A1861"/>
    <w:rsid w:val="004A2C87"/>
    <w:rsid w:val="004A73B6"/>
    <w:rsid w:val="004A7E18"/>
    <w:rsid w:val="004B0674"/>
    <w:rsid w:val="004B0D90"/>
    <w:rsid w:val="004B12DE"/>
    <w:rsid w:val="004B405F"/>
    <w:rsid w:val="004B4723"/>
    <w:rsid w:val="004C2990"/>
    <w:rsid w:val="004C4B9F"/>
    <w:rsid w:val="004D1FA3"/>
    <w:rsid w:val="004D4C84"/>
    <w:rsid w:val="004D511D"/>
    <w:rsid w:val="004D57DB"/>
    <w:rsid w:val="004E0A07"/>
    <w:rsid w:val="004E6E8E"/>
    <w:rsid w:val="004F09C9"/>
    <w:rsid w:val="004F11D3"/>
    <w:rsid w:val="004F244C"/>
    <w:rsid w:val="004F4CF4"/>
    <w:rsid w:val="004F62FC"/>
    <w:rsid w:val="00503A9E"/>
    <w:rsid w:val="00503AF8"/>
    <w:rsid w:val="005051B7"/>
    <w:rsid w:val="0051092B"/>
    <w:rsid w:val="00513092"/>
    <w:rsid w:val="0051587D"/>
    <w:rsid w:val="00515C06"/>
    <w:rsid w:val="0051605E"/>
    <w:rsid w:val="005169A1"/>
    <w:rsid w:val="00516D8D"/>
    <w:rsid w:val="00517428"/>
    <w:rsid w:val="00517DAD"/>
    <w:rsid w:val="0052033E"/>
    <w:rsid w:val="0052416F"/>
    <w:rsid w:val="005268F5"/>
    <w:rsid w:val="00526AE6"/>
    <w:rsid w:val="005308E6"/>
    <w:rsid w:val="00531EA3"/>
    <w:rsid w:val="0053295D"/>
    <w:rsid w:val="00535BD2"/>
    <w:rsid w:val="0053723F"/>
    <w:rsid w:val="00541E3D"/>
    <w:rsid w:val="00542D51"/>
    <w:rsid w:val="0054391C"/>
    <w:rsid w:val="00543E96"/>
    <w:rsid w:val="005444A2"/>
    <w:rsid w:val="005465C3"/>
    <w:rsid w:val="00546876"/>
    <w:rsid w:val="005536B1"/>
    <w:rsid w:val="005547BF"/>
    <w:rsid w:val="005549F6"/>
    <w:rsid w:val="00560EBB"/>
    <w:rsid w:val="00562694"/>
    <w:rsid w:val="00564069"/>
    <w:rsid w:val="00570DB1"/>
    <w:rsid w:val="00570E9F"/>
    <w:rsid w:val="00571CEA"/>
    <w:rsid w:val="00572EC4"/>
    <w:rsid w:val="005755E3"/>
    <w:rsid w:val="005816FB"/>
    <w:rsid w:val="00584AEE"/>
    <w:rsid w:val="00586B2B"/>
    <w:rsid w:val="005875DF"/>
    <w:rsid w:val="005935F3"/>
    <w:rsid w:val="00593E4B"/>
    <w:rsid w:val="00594347"/>
    <w:rsid w:val="0059627F"/>
    <w:rsid w:val="005A2D63"/>
    <w:rsid w:val="005A3011"/>
    <w:rsid w:val="005A419C"/>
    <w:rsid w:val="005B29BC"/>
    <w:rsid w:val="005B69A6"/>
    <w:rsid w:val="005C1A21"/>
    <w:rsid w:val="005C1F1C"/>
    <w:rsid w:val="005C51B2"/>
    <w:rsid w:val="005D22B2"/>
    <w:rsid w:val="005D2D14"/>
    <w:rsid w:val="005D2F69"/>
    <w:rsid w:val="005D3AD3"/>
    <w:rsid w:val="005E2C50"/>
    <w:rsid w:val="005E45B5"/>
    <w:rsid w:val="005E5DB1"/>
    <w:rsid w:val="005F05E8"/>
    <w:rsid w:val="005F3E33"/>
    <w:rsid w:val="0060101E"/>
    <w:rsid w:val="006014CB"/>
    <w:rsid w:val="00602939"/>
    <w:rsid w:val="00610E9E"/>
    <w:rsid w:val="00612AE2"/>
    <w:rsid w:val="006166C7"/>
    <w:rsid w:val="00617AB7"/>
    <w:rsid w:val="00620A4F"/>
    <w:rsid w:val="00620F72"/>
    <w:rsid w:val="00621D7A"/>
    <w:rsid w:val="0062260A"/>
    <w:rsid w:val="00623408"/>
    <w:rsid w:val="006241F3"/>
    <w:rsid w:val="006245DA"/>
    <w:rsid w:val="0062642B"/>
    <w:rsid w:val="0063183B"/>
    <w:rsid w:val="0063231F"/>
    <w:rsid w:val="00634446"/>
    <w:rsid w:val="00634CBD"/>
    <w:rsid w:val="0063501D"/>
    <w:rsid w:val="00635CF4"/>
    <w:rsid w:val="00635FA4"/>
    <w:rsid w:val="00640B39"/>
    <w:rsid w:val="00644D5B"/>
    <w:rsid w:val="00650E61"/>
    <w:rsid w:val="0065256A"/>
    <w:rsid w:val="006526E4"/>
    <w:rsid w:val="00666D65"/>
    <w:rsid w:val="0066715B"/>
    <w:rsid w:val="00672EC8"/>
    <w:rsid w:val="00673C78"/>
    <w:rsid w:val="006778A0"/>
    <w:rsid w:val="00682D5D"/>
    <w:rsid w:val="00686575"/>
    <w:rsid w:val="00690307"/>
    <w:rsid w:val="006907C4"/>
    <w:rsid w:val="00693A5D"/>
    <w:rsid w:val="006A0C48"/>
    <w:rsid w:val="006A1563"/>
    <w:rsid w:val="006A1B0D"/>
    <w:rsid w:val="006A34B2"/>
    <w:rsid w:val="006A3D5C"/>
    <w:rsid w:val="006A3F90"/>
    <w:rsid w:val="006A5FF2"/>
    <w:rsid w:val="006B0F0D"/>
    <w:rsid w:val="006B1CF9"/>
    <w:rsid w:val="006B47EE"/>
    <w:rsid w:val="006B6EEA"/>
    <w:rsid w:val="006B7475"/>
    <w:rsid w:val="006C41B9"/>
    <w:rsid w:val="006C5096"/>
    <w:rsid w:val="006C6BAA"/>
    <w:rsid w:val="006D3921"/>
    <w:rsid w:val="006D408B"/>
    <w:rsid w:val="006E0E0C"/>
    <w:rsid w:val="006E2F87"/>
    <w:rsid w:val="006E6474"/>
    <w:rsid w:val="006E760F"/>
    <w:rsid w:val="006E7B7B"/>
    <w:rsid w:val="006F28BC"/>
    <w:rsid w:val="006F300C"/>
    <w:rsid w:val="006F52F5"/>
    <w:rsid w:val="006F79DD"/>
    <w:rsid w:val="007002F8"/>
    <w:rsid w:val="007007CC"/>
    <w:rsid w:val="00701226"/>
    <w:rsid w:val="0070713C"/>
    <w:rsid w:val="007103F0"/>
    <w:rsid w:val="00713580"/>
    <w:rsid w:val="007138A4"/>
    <w:rsid w:val="007141FD"/>
    <w:rsid w:val="00715D6B"/>
    <w:rsid w:val="007166DE"/>
    <w:rsid w:val="007204C1"/>
    <w:rsid w:val="00724062"/>
    <w:rsid w:val="00726471"/>
    <w:rsid w:val="007317E0"/>
    <w:rsid w:val="00734046"/>
    <w:rsid w:val="0073487E"/>
    <w:rsid w:val="00740478"/>
    <w:rsid w:val="00740BC5"/>
    <w:rsid w:val="00742DDD"/>
    <w:rsid w:val="007430E0"/>
    <w:rsid w:val="00747A38"/>
    <w:rsid w:val="0075360F"/>
    <w:rsid w:val="007606F5"/>
    <w:rsid w:val="0076174E"/>
    <w:rsid w:val="007708C6"/>
    <w:rsid w:val="00771D41"/>
    <w:rsid w:val="007721C4"/>
    <w:rsid w:val="0077379F"/>
    <w:rsid w:val="00773918"/>
    <w:rsid w:val="00775AF2"/>
    <w:rsid w:val="00781023"/>
    <w:rsid w:val="007810E0"/>
    <w:rsid w:val="007850CB"/>
    <w:rsid w:val="007A7F1F"/>
    <w:rsid w:val="007B0257"/>
    <w:rsid w:val="007B0B09"/>
    <w:rsid w:val="007B0D07"/>
    <w:rsid w:val="007B0E2D"/>
    <w:rsid w:val="007B1A80"/>
    <w:rsid w:val="007B29FD"/>
    <w:rsid w:val="007C00C2"/>
    <w:rsid w:val="007C4028"/>
    <w:rsid w:val="007C6D48"/>
    <w:rsid w:val="007D1AEF"/>
    <w:rsid w:val="007D5FCD"/>
    <w:rsid w:val="007D776B"/>
    <w:rsid w:val="007F45BF"/>
    <w:rsid w:val="0080242C"/>
    <w:rsid w:val="00805018"/>
    <w:rsid w:val="00807BBC"/>
    <w:rsid w:val="008114A2"/>
    <w:rsid w:val="00811640"/>
    <w:rsid w:val="00811B04"/>
    <w:rsid w:val="00813ADC"/>
    <w:rsid w:val="00814362"/>
    <w:rsid w:val="008145F2"/>
    <w:rsid w:val="008216FA"/>
    <w:rsid w:val="00823499"/>
    <w:rsid w:val="00827BEE"/>
    <w:rsid w:val="008316D6"/>
    <w:rsid w:val="00831C58"/>
    <w:rsid w:val="00831E6C"/>
    <w:rsid w:val="0083260A"/>
    <w:rsid w:val="0083342E"/>
    <w:rsid w:val="008368CB"/>
    <w:rsid w:val="00841AC0"/>
    <w:rsid w:val="00841C43"/>
    <w:rsid w:val="00844552"/>
    <w:rsid w:val="0085243E"/>
    <w:rsid w:val="00852FB6"/>
    <w:rsid w:val="00852FD1"/>
    <w:rsid w:val="008554FB"/>
    <w:rsid w:val="00857AC9"/>
    <w:rsid w:val="00865714"/>
    <w:rsid w:val="00866978"/>
    <w:rsid w:val="00866FD9"/>
    <w:rsid w:val="0087434A"/>
    <w:rsid w:val="0088006E"/>
    <w:rsid w:val="008839BB"/>
    <w:rsid w:val="00883E9F"/>
    <w:rsid w:val="00884DD1"/>
    <w:rsid w:val="00886963"/>
    <w:rsid w:val="008875BA"/>
    <w:rsid w:val="00896D6E"/>
    <w:rsid w:val="0089710F"/>
    <w:rsid w:val="008A3266"/>
    <w:rsid w:val="008A7F84"/>
    <w:rsid w:val="008B1838"/>
    <w:rsid w:val="008B201B"/>
    <w:rsid w:val="008B7347"/>
    <w:rsid w:val="008B7DE7"/>
    <w:rsid w:val="008C0398"/>
    <w:rsid w:val="008C1BEA"/>
    <w:rsid w:val="008C4C09"/>
    <w:rsid w:val="008C4EF3"/>
    <w:rsid w:val="008C5A22"/>
    <w:rsid w:val="008C6FD3"/>
    <w:rsid w:val="008C7A92"/>
    <w:rsid w:val="008D30E6"/>
    <w:rsid w:val="008D3A53"/>
    <w:rsid w:val="008D3B25"/>
    <w:rsid w:val="008D40CC"/>
    <w:rsid w:val="008D7BDB"/>
    <w:rsid w:val="008E49CB"/>
    <w:rsid w:val="008E5D6E"/>
    <w:rsid w:val="008E6624"/>
    <w:rsid w:val="008F2F2E"/>
    <w:rsid w:val="008F4C76"/>
    <w:rsid w:val="008F5C80"/>
    <w:rsid w:val="008F65AF"/>
    <w:rsid w:val="00903942"/>
    <w:rsid w:val="00904443"/>
    <w:rsid w:val="00905A67"/>
    <w:rsid w:val="00917582"/>
    <w:rsid w:val="0091798A"/>
    <w:rsid w:val="00920906"/>
    <w:rsid w:val="00920BC8"/>
    <w:rsid w:val="00923D4F"/>
    <w:rsid w:val="009263C8"/>
    <w:rsid w:val="00933EFE"/>
    <w:rsid w:val="0093759B"/>
    <w:rsid w:val="00941801"/>
    <w:rsid w:val="00941B6B"/>
    <w:rsid w:val="009429E7"/>
    <w:rsid w:val="009477D9"/>
    <w:rsid w:val="00950E20"/>
    <w:rsid w:val="00951E3D"/>
    <w:rsid w:val="0095432F"/>
    <w:rsid w:val="009568AB"/>
    <w:rsid w:val="00962238"/>
    <w:rsid w:val="00962DFC"/>
    <w:rsid w:val="00964805"/>
    <w:rsid w:val="00970316"/>
    <w:rsid w:val="00970D12"/>
    <w:rsid w:val="00971027"/>
    <w:rsid w:val="0097125F"/>
    <w:rsid w:val="00977A96"/>
    <w:rsid w:val="00980CC8"/>
    <w:rsid w:val="00982B3A"/>
    <w:rsid w:val="00986333"/>
    <w:rsid w:val="0098705C"/>
    <w:rsid w:val="00987883"/>
    <w:rsid w:val="009911B7"/>
    <w:rsid w:val="00992297"/>
    <w:rsid w:val="00994CD0"/>
    <w:rsid w:val="00995D4E"/>
    <w:rsid w:val="00995DB3"/>
    <w:rsid w:val="009A0FAD"/>
    <w:rsid w:val="009A569F"/>
    <w:rsid w:val="009A6158"/>
    <w:rsid w:val="009A75E4"/>
    <w:rsid w:val="009C4773"/>
    <w:rsid w:val="009C5916"/>
    <w:rsid w:val="009C7D0F"/>
    <w:rsid w:val="009D27AC"/>
    <w:rsid w:val="009E12C0"/>
    <w:rsid w:val="009E1F4B"/>
    <w:rsid w:val="009E50C6"/>
    <w:rsid w:val="009E63D4"/>
    <w:rsid w:val="009F4D40"/>
    <w:rsid w:val="009F5A14"/>
    <w:rsid w:val="00A00A18"/>
    <w:rsid w:val="00A01321"/>
    <w:rsid w:val="00A02166"/>
    <w:rsid w:val="00A026E4"/>
    <w:rsid w:val="00A04D48"/>
    <w:rsid w:val="00A0577E"/>
    <w:rsid w:val="00A06EEC"/>
    <w:rsid w:val="00A072DD"/>
    <w:rsid w:val="00A16D1C"/>
    <w:rsid w:val="00A303C4"/>
    <w:rsid w:val="00A318D8"/>
    <w:rsid w:val="00A33350"/>
    <w:rsid w:val="00A35CE6"/>
    <w:rsid w:val="00A43B2B"/>
    <w:rsid w:val="00A442B6"/>
    <w:rsid w:val="00A4525C"/>
    <w:rsid w:val="00A52734"/>
    <w:rsid w:val="00A553B6"/>
    <w:rsid w:val="00A60907"/>
    <w:rsid w:val="00A60B6E"/>
    <w:rsid w:val="00A626FC"/>
    <w:rsid w:val="00A63856"/>
    <w:rsid w:val="00A64354"/>
    <w:rsid w:val="00A64CC3"/>
    <w:rsid w:val="00A710B2"/>
    <w:rsid w:val="00A71884"/>
    <w:rsid w:val="00A72999"/>
    <w:rsid w:val="00A73FD8"/>
    <w:rsid w:val="00A7444E"/>
    <w:rsid w:val="00A76F1D"/>
    <w:rsid w:val="00A76F5B"/>
    <w:rsid w:val="00A8129E"/>
    <w:rsid w:val="00A84561"/>
    <w:rsid w:val="00A84BF3"/>
    <w:rsid w:val="00A87B29"/>
    <w:rsid w:val="00AA2818"/>
    <w:rsid w:val="00AA4359"/>
    <w:rsid w:val="00AA4F68"/>
    <w:rsid w:val="00AA543B"/>
    <w:rsid w:val="00AA5ACA"/>
    <w:rsid w:val="00AA6604"/>
    <w:rsid w:val="00AA7065"/>
    <w:rsid w:val="00AB2B64"/>
    <w:rsid w:val="00AB5249"/>
    <w:rsid w:val="00AC25D9"/>
    <w:rsid w:val="00AC4C6A"/>
    <w:rsid w:val="00AD02E2"/>
    <w:rsid w:val="00AD0AB7"/>
    <w:rsid w:val="00AD0F5C"/>
    <w:rsid w:val="00AD2BDD"/>
    <w:rsid w:val="00AD369B"/>
    <w:rsid w:val="00AD48AD"/>
    <w:rsid w:val="00AD5029"/>
    <w:rsid w:val="00AD7B0D"/>
    <w:rsid w:val="00AD7E86"/>
    <w:rsid w:val="00AE20DF"/>
    <w:rsid w:val="00AE29A7"/>
    <w:rsid w:val="00AF246E"/>
    <w:rsid w:val="00AF479D"/>
    <w:rsid w:val="00AF635B"/>
    <w:rsid w:val="00AF75C8"/>
    <w:rsid w:val="00B00EE9"/>
    <w:rsid w:val="00B030E6"/>
    <w:rsid w:val="00B059FD"/>
    <w:rsid w:val="00B07332"/>
    <w:rsid w:val="00B20E51"/>
    <w:rsid w:val="00B23528"/>
    <w:rsid w:val="00B27C68"/>
    <w:rsid w:val="00B313D5"/>
    <w:rsid w:val="00B31DEE"/>
    <w:rsid w:val="00B3372F"/>
    <w:rsid w:val="00B34DD8"/>
    <w:rsid w:val="00B37214"/>
    <w:rsid w:val="00B415AC"/>
    <w:rsid w:val="00B41F47"/>
    <w:rsid w:val="00B43721"/>
    <w:rsid w:val="00B46F77"/>
    <w:rsid w:val="00B47060"/>
    <w:rsid w:val="00B47693"/>
    <w:rsid w:val="00B50CD0"/>
    <w:rsid w:val="00B61F5C"/>
    <w:rsid w:val="00B63ADF"/>
    <w:rsid w:val="00B7298C"/>
    <w:rsid w:val="00B73A04"/>
    <w:rsid w:val="00B75C45"/>
    <w:rsid w:val="00B806B1"/>
    <w:rsid w:val="00B8095D"/>
    <w:rsid w:val="00B831B3"/>
    <w:rsid w:val="00B8604A"/>
    <w:rsid w:val="00B92CC7"/>
    <w:rsid w:val="00B92CE9"/>
    <w:rsid w:val="00B94097"/>
    <w:rsid w:val="00B94272"/>
    <w:rsid w:val="00BA1F2C"/>
    <w:rsid w:val="00BA2BB2"/>
    <w:rsid w:val="00BA32AD"/>
    <w:rsid w:val="00BA4771"/>
    <w:rsid w:val="00BA4E68"/>
    <w:rsid w:val="00BA5289"/>
    <w:rsid w:val="00BA6421"/>
    <w:rsid w:val="00BA67C7"/>
    <w:rsid w:val="00BB017B"/>
    <w:rsid w:val="00BB6F3D"/>
    <w:rsid w:val="00BC126B"/>
    <w:rsid w:val="00BC49BB"/>
    <w:rsid w:val="00BC7189"/>
    <w:rsid w:val="00BD0F3E"/>
    <w:rsid w:val="00BD4E67"/>
    <w:rsid w:val="00BD750D"/>
    <w:rsid w:val="00BE12D1"/>
    <w:rsid w:val="00BE148F"/>
    <w:rsid w:val="00BE5AA8"/>
    <w:rsid w:val="00BE74C5"/>
    <w:rsid w:val="00BF358E"/>
    <w:rsid w:val="00BF370B"/>
    <w:rsid w:val="00BF5F1D"/>
    <w:rsid w:val="00C00F31"/>
    <w:rsid w:val="00C01C0A"/>
    <w:rsid w:val="00C029DF"/>
    <w:rsid w:val="00C037A6"/>
    <w:rsid w:val="00C03F8A"/>
    <w:rsid w:val="00C200D7"/>
    <w:rsid w:val="00C217A0"/>
    <w:rsid w:val="00C223C3"/>
    <w:rsid w:val="00C24A2E"/>
    <w:rsid w:val="00C25CFC"/>
    <w:rsid w:val="00C26E43"/>
    <w:rsid w:val="00C2739D"/>
    <w:rsid w:val="00C30600"/>
    <w:rsid w:val="00C32F13"/>
    <w:rsid w:val="00C36956"/>
    <w:rsid w:val="00C40577"/>
    <w:rsid w:val="00C405CB"/>
    <w:rsid w:val="00C410F4"/>
    <w:rsid w:val="00C41BDD"/>
    <w:rsid w:val="00C43658"/>
    <w:rsid w:val="00C46047"/>
    <w:rsid w:val="00C52B1A"/>
    <w:rsid w:val="00C540E0"/>
    <w:rsid w:val="00C601E8"/>
    <w:rsid w:val="00C63492"/>
    <w:rsid w:val="00C639B5"/>
    <w:rsid w:val="00C673BD"/>
    <w:rsid w:val="00C7337F"/>
    <w:rsid w:val="00C7545C"/>
    <w:rsid w:val="00C75C1A"/>
    <w:rsid w:val="00C86742"/>
    <w:rsid w:val="00C86E98"/>
    <w:rsid w:val="00C90543"/>
    <w:rsid w:val="00C935B4"/>
    <w:rsid w:val="00C9386D"/>
    <w:rsid w:val="00C94789"/>
    <w:rsid w:val="00C9729E"/>
    <w:rsid w:val="00CA455C"/>
    <w:rsid w:val="00CB0024"/>
    <w:rsid w:val="00CB3F3F"/>
    <w:rsid w:val="00CC33AB"/>
    <w:rsid w:val="00CC51D6"/>
    <w:rsid w:val="00CC537A"/>
    <w:rsid w:val="00CC6F6E"/>
    <w:rsid w:val="00CD12D8"/>
    <w:rsid w:val="00CD3AD6"/>
    <w:rsid w:val="00CE1F09"/>
    <w:rsid w:val="00CE7A2C"/>
    <w:rsid w:val="00CF2087"/>
    <w:rsid w:val="00CF2835"/>
    <w:rsid w:val="00CF2D53"/>
    <w:rsid w:val="00CF3432"/>
    <w:rsid w:val="00CF55D5"/>
    <w:rsid w:val="00CF5EB2"/>
    <w:rsid w:val="00CF736F"/>
    <w:rsid w:val="00D00583"/>
    <w:rsid w:val="00D12835"/>
    <w:rsid w:val="00D14104"/>
    <w:rsid w:val="00D15896"/>
    <w:rsid w:val="00D202FA"/>
    <w:rsid w:val="00D208AF"/>
    <w:rsid w:val="00D216E9"/>
    <w:rsid w:val="00D24914"/>
    <w:rsid w:val="00D326D7"/>
    <w:rsid w:val="00D33111"/>
    <w:rsid w:val="00D4023B"/>
    <w:rsid w:val="00D40B52"/>
    <w:rsid w:val="00D50E87"/>
    <w:rsid w:val="00D51572"/>
    <w:rsid w:val="00D53655"/>
    <w:rsid w:val="00D54453"/>
    <w:rsid w:val="00D54B65"/>
    <w:rsid w:val="00D556BF"/>
    <w:rsid w:val="00D60710"/>
    <w:rsid w:val="00D61798"/>
    <w:rsid w:val="00D62CB1"/>
    <w:rsid w:val="00D67634"/>
    <w:rsid w:val="00D71F81"/>
    <w:rsid w:val="00D726F9"/>
    <w:rsid w:val="00D756A9"/>
    <w:rsid w:val="00D765DA"/>
    <w:rsid w:val="00D84579"/>
    <w:rsid w:val="00D850D5"/>
    <w:rsid w:val="00D859D5"/>
    <w:rsid w:val="00D85C5E"/>
    <w:rsid w:val="00D91E89"/>
    <w:rsid w:val="00D94761"/>
    <w:rsid w:val="00D94D4A"/>
    <w:rsid w:val="00DA17FB"/>
    <w:rsid w:val="00DA2027"/>
    <w:rsid w:val="00DA469D"/>
    <w:rsid w:val="00DB1A8E"/>
    <w:rsid w:val="00DB2818"/>
    <w:rsid w:val="00DB5957"/>
    <w:rsid w:val="00DB652D"/>
    <w:rsid w:val="00DB74DD"/>
    <w:rsid w:val="00DC2A33"/>
    <w:rsid w:val="00DC5C27"/>
    <w:rsid w:val="00DC74C5"/>
    <w:rsid w:val="00DD0C90"/>
    <w:rsid w:val="00DD24BF"/>
    <w:rsid w:val="00DD491C"/>
    <w:rsid w:val="00DE03E4"/>
    <w:rsid w:val="00DE20EE"/>
    <w:rsid w:val="00DE2591"/>
    <w:rsid w:val="00DE4754"/>
    <w:rsid w:val="00DE5345"/>
    <w:rsid w:val="00DE5AD0"/>
    <w:rsid w:val="00DE6887"/>
    <w:rsid w:val="00DE6920"/>
    <w:rsid w:val="00DF05E9"/>
    <w:rsid w:val="00DF0F4C"/>
    <w:rsid w:val="00E014C1"/>
    <w:rsid w:val="00E01E6C"/>
    <w:rsid w:val="00E03097"/>
    <w:rsid w:val="00E03B22"/>
    <w:rsid w:val="00E0585D"/>
    <w:rsid w:val="00E06AC8"/>
    <w:rsid w:val="00E0700B"/>
    <w:rsid w:val="00E10BC9"/>
    <w:rsid w:val="00E12ACD"/>
    <w:rsid w:val="00E14E4A"/>
    <w:rsid w:val="00E166E9"/>
    <w:rsid w:val="00E2162E"/>
    <w:rsid w:val="00E23B96"/>
    <w:rsid w:val="00E27BC2"/>
    <w:rsid w:val="00E330F9"/>
    <w:rsid w:val="00E3579F"/>
    <w:rsid w:val="00E37814"/>
    <w:rsid w:val="00E415C5"/>
    <w:rsid w:val="00E42543"/>
    <w:rsid w:val="00E4260F"/>
    <w:rsid w:val="00E46E79"/>
    <w:rsid w:val="00E51572"/>
    <w:rsid w:val="00E520D0"/>
    <w:rsid w:val="00E53B98"/>
    <w:rsid w:val="00E74B97"/>
    <w:rsid w:val="00E74D97"/>
    <w:rsid w:val="00E768A0"/>
    <w:rsid w:val="00E770D4"/>
    <w:rsid w:val="00E8039B"/>
    <w:rsid w:val="00E8091B"/>
    <w:rsid w:val="00E84361"/>
    <w:rsid w:val="00E84A0C"/>
    <w:rsid w:val="00E90438"/>
    <w:rsid w:val="00E91058"/>
    <w:rsid w:val="00E95B02"/>
    <w:rsid w:val="00EA236B"/>
    <w:rsid w:val="00EA3753"/>
    <w:rsid w:val="00EA75F6"/>
    <w:rsid w:val="00EA7776"/>
    <w:rsid w:val="00EA7FBC"/>
    <w:rsid w:val="00EB3041"/>
    <w:rsid w:val="00EB330F"/>
    <w:rsid w:val="00EB7229"/>
    <w:rsid w:val="00EC15D3"/>
    <w:rsid w:val="00EC3366"/>
    <w:rsid w:val="00EC4B8E"/>
    <w:rsid w:val="00EC60F9"/>
    <w:rsid w:val="00EC7693"/>
    <w:rsid w:val="00ED01D0"/>
    <w:rsid w:val="00ED2E6F"/>
    <w:rsid w:val="00ED4220"/>
    <w:rsid w:val="00ED4287"/>
    <w:rsid w:val="00ED7DB3"/>
    <w:rsid w:val="00EE0429"/>
    <w:rsid w:val="00EE0568"/>
    <w:rsid w:val="00EE4142"/>
    <w:rsid w:val="00EE528D"/>
    <w:rsid w:val="00EE6C33"/>
    <w:rsid w:val="00EE6DB8"/>
    <w:rsid w:val="00EF0E85"/>
    <w:rsid w:val="00EF2B6D"/>
    <w:rsid w:val="00EF302F"/>
    <w:rsid w:val="00F001B7"/>
    <w:rsid w:val="00F00938"/>
    <w:rsid w:val="00F02015"/>
    <w:rsid w:val="00F06B67"/>
    <w:rsid w:val="00F10AFC"/>
    <w:rsid w:val="00F232AB"/>
    <w:rsid w:val="00F27D53"/>
    <w:rsid w:val="00F31282"/>
    <w:rsid w:val="00F322A5"/>
    <w:rsid w:val="00F32502"/>
    <w:rsid w:val="00F34E9E"/>
    <w:rsid w:val="00F34EBF"/>
    <w:rsid w:val="00F36F17"/>
    <w:rsid w:val="00F448C4"/>
    <w:rsid w:val="00F459C2"/>
    <w:rsid w:val="00F53292"/>
    <w:rsid w:val="00F5440A"/>
    <w:rsid w:val="00F54627"/>
    <w:rsid w:val="00F56484"/>
    <w:rsid w:val="00F5784F"/>
    <w:rsid w:val="00F6326B"/>
    <w:rsid w:val="00F66363"/>
    <w:rsid w:val="00F66FE5"/>
    <w:rsid w:val="00F70568"/>
    <w:rsid w:val="00F73ABB"/>
    <w:rsid w:val="00F74311"/>
    <w:rsid w:val="00F74BDA"/>
    <w:rsid w:val="00F76B2A"/>
    <w:rsid w:val="00F77362"/>
    <w:rsid w:val="00F80228"/>
    <w:rsid w:val="00F803F6"/>
    <w:rsid w:val="00F805FB"/>
    <w:rsid w:val="00F856E5"/>
    <w:rsid w:val="00F96BFC"/>
    <w:rsid w:val="00FA3C18"/>
    <w:rsid w:val="00FA72F5"/>
    <w:rsid w:val="00FB45B2"/>
    <w:rsid w:val="00FB6C12"/>
    <w:rsid w:val="00FC044C"/>
    <w:rsid w:val="00FC0AB0"/>
    <w:rsid w:val="00FC1005"/>
    <w:rsid w:val="00FC4A76"/>
    <w:rsid w:val="00FD3E77"/>
    <w:rsid w:val="00FD71AB"/>
    <w:rsid w:val="00FD7850"/>
    <w:rsid w:val="00FE080D"/>
    <w:rsid w:val="00FE20AC"/>
    <w:rsid w:val="00FF0AE3"/>
    <w:rsid w:val="081B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E37B75"/>
  <w15:docId w15:val="{F3A1F3E1-383B-40EA-933F-8EAC4251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/>
    <w:lsdException w:name="endnote reference" w:uiPriority="0" w:unhideWhenUsed="1" w:qFormat="1"/>
    <w:lsdException w:name="endnote text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rFonts w:ascii="宋体" w:hAnsi="宋体"/>
      <w:kern w:val="2"/>
      <w:sz w:val="24"/>
      <w:szCs w:val="22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kern w:val="0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widowControl/>
      <w:spacing w:before="280" w:after="290" w:line="376" w:lineRule="auto"/>
      <w:jc w:val="left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paragraph" w:styleId="5">
    <w:name w:val="heading 5"/>
    <w:basedOn w:val="a0"/>
    <w:next w:val="a0"/>
    <w:link w:val="51"/>
    <w:uiPriority w:val="9"/>
    <w:semiHidden/>
    <w:unhideWhenUsed/>
    <w:qFormat/>
    <w:pPr>
      <w:keepNext/>
      <w:keepLines/>
      <w:widowControl/>
      <w:spacing w:before="280" w:after="290" w:line="376" w:lineRule="auto"/>
      <w:jc w:val="left"/>
      <w:outlineLvl w:val="4"/>
    </w:pPr>
    <w:rPr>
      <w:rFonts w:cs="宋体"/>
      <w:b/>
      <w:bCs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uiPriority w:val="35"/>
    <w:unhideWhenUsed/>
    <w:qFormat/>
    <w:rPr>
      <w:rFonts w:ascii="Cambria" w:eastAsia="黑体" w:hAnsi="Cambria"/>
      <w:sz w:val="20"/>
      <w:szCs w:val="20"/>
    </w:rPr>
  </w:style>
  <w:style w:type="paragraph" w:styleId="a5">
    <w:name w:val="annotation text"/>
    <w:basedOn w:val="a0"/>
    <w:link w:val="a6"/>
    <w:uiPriority w:val="99"/>
    <w:semiHidden/>
    <w:unhideWhenUsed/>
    <w:qFormat/>
    <w:pPr>
      <w:widowControl/>
      <w:jc w:val="left"/>
    </w:pPr>
    <w:rPr>
      <w:rFonts w:cs="宋体"/>
      <w:kern w:val="0"/>
      <w:szCs w:val="24"/>
    </w:rPr>
  </w:style>
  <w:style w:type="paragraph" w:styleId="a7">
    <w:name w:val="Body Text"/>
    <w:basedOn w:val="a0"/>
    <w:link w:val="a8"/>
    <w:pPr>
      <w:spacing w:after="120"/>
    </w:pPr>
    <w:rPr>
      <w:rFonts w:ascii="Calibri" w:hAnsi="Calibri"/>
      <w:kern w:val="0"/>
      <w:sz w:val="20"/>
      <w:szCs w:val="20"/>
    </w:rPr>
  </w:style>
  <w:style w:type="paragraph" w:styleId="a9">
    <w:name w:val="Body Text Indent"/>
    <w:basedOn w:val="a0"/>
    <w:link w:val="aa"/>
    <w:pPr>
      <w:spacing w:after="120"/>
      <w:ind w:leftChars="200" w:left="420"/>
    </w:pPr>
    <w:rPr>
      <w:rFonts w:ascii="Times New Roman" w:hAnsi="Times New Roman"/>
      <w:sz w:val="21"/>
      <w:szCs w:val="24"/>
    </w:rPr>
  </w:style>
  <w:style w:type="paragraph" w:styleId="21">
    <w:name w:val="List 2"/>
    <w:basedOn w:val="a0"/>
    <w:pPr>
      <w:ind w:leftChars="200" w:left="100" w:hangingChars="200" w:hanging="200"/>
    </w:pPr>
    <w:rPr>
      <w:rFonts w:ascii="Times New Roman" w:hAnsi="Times New Roman"/>
      <w:sz w:val="21"/>
      <w:szCs w:val="24"/>
    </w:rPr>
  </w:style>
  <w:style w:type="paragraph" w:styleId="ab">
    <w:name w:val="Date"/>
    <w:basedOn w:val="a0"/>
    <w:next w:val="a0"/>
    <w:link w:val="ac"/>
    <w:uiPriority w:val="99"/>
    <w:semiHidden/>
    <w:unhideWhenUsed/>
    <w:pPr>
      <w:ind w:leftChars="2500" w:left="100"/>
    </w:pPr>
  </w:style>
  <w:style w:type="paragraph" w:styleId="ad">
    <w:name w:val="endnote text"/>
    <w:basedOn w:val="a0"/>
    <w:link w:val="11"/>
    <w:unhideWhenUsed/>
    <w:qFormat/>
    <w:pPr>
      <w:snapToGrid w:val="0"/>
      <w:jc w:val="left"/>
    </w:pPr>
  </w:style>
  <w:style w:type="paragraph" w:styleId="ae">
    <w:name w:val="Balloon Text"/>
    <w:basedOn w:val="a0"/>
    <w:link w:val="af"/>
    <w:uiPriority w:val="99"/>
    <w:semiHidden/>
    <w:unhideWhenUsed/>
    <w:qFormat/>
    <w:rPr>
      <w:sz w:val="18"/>
      <w:szCs w:val="18"/>
    </w:rPr>
  </w:style>
  <w:style w:type="paragraph" w:styleId="af0">
    <w:name w:val="footer"/>
    <w:basedOn w:val="a0"/>
    <w:link w:val="af1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PMingLiU" w:hAnsi="Times New Roman"/>
      <w:sz w:val="20"/>
      <w:szCs w:val="20"/>
      <w:lang w:eastAsia="zh-TW"/>
    </w:rPr>
  </w:style>
  <w:style w:type="paragraph" w:styleId="af2">
    <w:name w:val="header"/>
    <w:basedOn w:val="a0"/>
    <w:link w:val="af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4">
    <w:name w:val="Subtitle"/>
    <w:basedOn w:val="a0"/>
    <w:next w:val="a0"/>
    <w:link w:val="af5"/>
    <w:uiPriority w:val="11"/>
    <w:qFormat/>
    <w:pPr>
      <w:spacing w:before="240" w:after="60" w:line="312" w:lineRule="auto"/>
      <w:jc w:val="center"/>
      <w:outlineLvl w:val="1"/>
    </w:pPr>
    <w:rPr>
      <w:rFonts w:ascii="Arial" w:hAnsi="Arial"/>
      <w:b/>
      <w:bCs/>
      <w:kern w:val="28"/>
      <w:szCs w:val="32"/>
    </w:rPr>
  </w:style>
  <w:style w:type="paragraph" w:styleId="af6">
    <w:name w:val="footnote text"/>
    <w:basedOn w:val="a0"/>
    <w:link w:val="12"/>
    <w:uiPriority w:val="99"/>
    <w:qFormat/>
    <w:pPr>
      <w:snapToGrid w:val="0"/>
      <w:jc w:val="left"/>
    </w:pPr>
    <w:rPr>
      <w:rFonts w:ascii="Times New Roman" w:eastAsia="PMingLiU" w:hAnsi="Times New Roman"/>
      <w:sz w:val="20"/>
      <w:szCs w:val="20"/>
      <w:lang w:eastAsia="zh-TW"/>
    </w:rPr>
  </w:style>
  <w:style w:type="paragraph" w:styleId="af7">
    <w:name w:val="Normal (Web)"/>
    <w:basedOn w:val="a0"/>
    <w:uiPriority w:val="99"/>
    <w:unhideWhenUsed/>
    <w:qFormat/>
    <w:pPr>
      <w:widowControl/>
      <w:spacing w:before="100" w:beforeAutospacing="1" w:after="100" w:afterAutospacing="1"/>
      <w:jc w:val="left"/>
    </w:pPr>
    <w:rPr>
      <w:rFonts w:cs="宋体"/>
      <w:kern w:val="0"/>
      <w:szCs w:val="24"/>
    </w:rPr>
  </w:style>
  <w:style w:type="paragraph" w:styleId="af8">
    <w:name w:val="Title"/>
    <w:basedOn w:val="a0"/>
    <w:next w:val="a0"/>
    <w:link w:val="13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f9">
    <w:name w:val="annotation subject"/>
    <w:basedOn w:val="a5"/>
    <w:next w:val="a5"/>
    <w:link w:val="afa"/>
    <w:uiPriority w:val="99"/>
    <w:semiHidden/>
    <w:unhideWhenUsed/>
    <w:qFormat/>
    <w:rPr>
      <w:b/>
      <w:bCs/>
    </w:rPr>
  </w:style>
  <w:style w:type="table" w:styleId="afb">
    <w:name w:val="Table Grid"/>
    <w:basedOn w:val="a2"/>
    <w:qFormat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uiPriority w:val="22"/>
    <w:qFormat/>
    <w:rPr>
      <w:b/>
    </w:rPr>
  </w:style>
  <w:style w:type="character" w:styleId="afd">
    <w:name w:val="endnote reference"/>
    <w:unhideWhenUsed/>
    <w:qFormat/>
    <w:rPr>
      <w:vertAlign w:val="superscript"/>
    </w:rPr>
  </w:style>
  <w:style w:type="character" w:styleId="afe">
    <w:name w:val="page number"/>
  </w:style>
  <w:style w:type="character" w:styleId="aff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ff0">
    <w:name w:val="Emphasis"/>
    <w:uiPriority w:val="20"/>
    <w:qFormat/>
    <w:rPr>
      <w:i/>
      <w:iCs/>
    </w:rPr>
  </w:style>
  <w:style w:type="character" w:styleId="aff1">
    <w:name w:val="Hyperlink"/>
    <w:uiPriority w:val="99"/>
    <w:unhideWhenUsed/>
    <w:qFormat/>
    <w:rPr>
      <w:color w:val="0563C1"/>
      <w:u w:val="single"/>
    </w:rPr>
  </w:style>
  <w:style w:type="character" w:styleId="aff2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styleId="aff3">
    <w:name w:val="footnote reference"/>
    <w:qFormat/>
    <w:rPr>
      <w:vertAlign w:val="superscript"/>
    </w:rPr>
  </w:style>
  <w:style w:type="paragraph" w:customStyle="1" w:styleId="aff4">
    <w:name w:val="網文引用"/>
    <w:basedOn w:val="a0"/>
    <w:link w:val="Char"/>
    <w:qFormat/>
    <w:pPr>
      <w:tabs>
        <w:tab w:val="left" w:pos="397"/>
      </w:tabs>
      <w:overflowPunct w:val="0"/>
      <w:topLinePunct/>
      <w:autoSpaceDE w:val="0"/>
      <w:autoSpaceDN w:val="0"/>
      <w:adjustRightInd w:val="0"/>
      <w:spacing w:beforeLines="150" w:before="150" w:afterLines="150" w:after="150" w:line="480" w:lineRule="auto"/>
      <w:ind w:left="420" w:firstLineChars="200" w:firstLine="200"/>
      <w:contextualSpacing/>
      <w:textAlignment w:val="baseline"/>
    </w:pPr>
    <w:rPr>
      <w:rFonts w:ascii="楷体" w:eastAsia="楷体" w:hAnsi="楷体"/>
      <w:spacing w:val="4"/>
      <w:kern w:val="0"/>
      <w:lang w:eastAsia="zh-TW"/>
    </w:rPr>
  </w:style>
  <w:style w:type="character" w:customStyle="1" w:styleId="Char0">
    <w:name w:val="脚注文本 Char"/>
    <w:uiPriority w:val="99"/>
    <w:rPr>
      <w:rFonts w:ascii="宋体"/>
      <w:kern w:val="2"/>
      <w:sz w:val="18"/>
      <w:szCs w:val="18"/>
    </w:rPr>
  </w:style>
  <w:style w:type="character" w:customStyle="1" w:styleId="af1">
    <w:name w:val="页脚 字符"/>
    <w:link w:val="af0"/>
    <w:uiPriority w:val="99"/>
    <w:qFormat/>
    <w:rPr>
      <w:rFonts w:ascii="Times New Roman" w:eastAsia="PMingLiU" w:hAnsi="Times New Roman"/>
      <w:kern w:val="2"/>
      <w:lang w:eastAsia="zh-TW"/>
    </w:rPr>
  </w:style>
  <w:style w:type="paragraph" w:customStyle="1" w:styleId="aff5">
    <w:name w:val="網文正文頂格"/>
    <w:basedOn w:val="aff6"/>
    <w:qFormat/>
    <w:pPr>
      <w:ind w:firstLineChars="0" w:firstLine="0"/>
      <w:jc w:val="left"/>
    </w:pPr>
  </w:style>
  <w:style w:type="paragraph" w:customStyle="1" w:styleId="aff6">
    <w:name w:val="網文正文"/>
    <w:basedOn w:val="a0"/>
    <w:link w:val="Char1"/>
    <w:qFormat/>
    <w:pPr>
      <w:spacing w:line="480" w:lineRule="auto"/>
      <w:ind w:firstLineChars="200" w:firstLine="200"/>
      <w:textAlignment w:val="center"/>
    </w:pPr>
    <w:rPr>
      <w:sz w:val="28"/>
    </w:rPr>
  </w:style>
  <w:style w:type="character" w:customStyle="1" w:styleId="12">
    <w:name w:val="脚注文本 字符1"/>
    <w:link w:val="af6"/>
    <w:uiPriority w:val="99"/>
    <w:semiHidden/>
    <w:locked/>
    <w:rPr>
      <w:rFonts w:ascii="Times New Roman" w:eastAsia="PMingLiU" w:hAnsi="Times New Roman"/>
      <w:kern w:val="2"/>
      <w:lang w:eastAsia="zh-TW"/>
    </w:rPr>
  </w:style>
  <w:style w:type="paragraph" w:customStyle="1" w:styleId="aff7">
    <w:name w:val="網文標題"/>
    <w:basedOn w:val="a0"/>
    <w:link w:val="Char2"/>
    <w:qFormat/>
    <w:pPr>
      <w:jc w:val="center"/>
    </w:pPr>
    <w:rPr>
      <w:rFonts w:ascii="黑体"/>
      <w:b/>
      <w:sz w:val="32"/>
      <w:szCs w:val="44"/>
    </w:rPr>
  </w:style>
  <w:style w:type="character" w:customStyle="1" w:styleId="Char2">
    <w:name w:val="網文標題 Char"/>
    <w:link w:val="aff7"/>
    <w:qFormat/>
    <w:rPr>
      <w:rFonts w:ascii="黑体"/>
      <w:b/>
      <w:kern w:val="2"/>
      <w:sz w:val="32"/>
      <w:szCs w:val="44"/>
    </w:rPr>
  </w:style>
  <w:style w:type="paragraph" w:customStyle="1" w:styleId="aff8">
    <w:name w:val="網文作者"/>
    <w:basedOn w:val="a0"/>
    <w:link w:val="Char3"/>
    <w:qFormat/>
    <w:pPr>
      <w:jc w:val="center"/>
    </w:pPr>
    <w:rPr>
      <w:b/>
      <w:sz w:val="28"/>
      <w:lang w:eastAsia="zh-TW"/>
    </w:rPr>
  </w:style>
  <w:style w:type="character" w:customStyle="1" w:styleId="Char3">
    <w:name w:val="網文作者 Char"/>
    <w:link w:val="aff8"/>
    <w:qFormat/>
    <w:rPr>
      <w:rFonts w:ascii="宋体" w:hAnsi="宋体"/>
      <w:b/>
      <w:kern w:val="2"/>
      <w:sz w:val="28"/>
      <w:szCs w:val="22"/>
      <w:lang w:eastAsia="zh-TW"/>
    </w:rPr>
  </w:style>
  <w:style w:type="character" w:customStyle="1" w:styleId="Char1">
    <w:name w:val="網文正文 Char"/>
    <w:link w:val="aff6"/>
    <w:qFormat/>
    <w:rPr>
      <w:rFonts w:ascii="宋体" w:hAnsi="宋体"/>
      <w:kern w:val="2"/>
      <w:sz w:val="28"/>
      <w:szCs w:val="22"/>
    </w:rPr>
  </w:style>
  <w:style w:type="character" w:customStyle="1" w:styleId="Char">
    <w:name w:val="網文引用 Char"/>
    <w:link w:val="aff4"/>
    <w:qFormat/>
    <w:rPr>
      <w:rFonts w:ascii="楷体" w:eastAsia="楷体" w:hAnsi="楷体"/>
      <w:spacing w:val="4"/>
      <w:sz w:val="24"/>
      <w:szCs w:val="22"/>
      <w:lang w:eastAsia="zh-TW"/>
    </w:rPr>
  </w:style>
  <w:style w:type="character" w:customStyle="1" w:styleId="11">
    <w:name w:val="尾注文本 字符1"/>
    <w:link w:val="ad"/>
    <w:uiPriority w:val="99"/>
    <w:rPr>
      <w:rFonts w:ascii="宋体" w:hAnsi="宋体"/>
      <w:kern w:val="2"/>
      <w:sz w:val="24"/>
      <w:szCs w:val="22"/>
    </w:rPr>
  </w:style>
  <w:style w:type="character" w:customStyle="1" w:styleId="af3">
    <w:name w:val="页眉 字符"/>
    <w:link w:val="af2"/>
    <w:uiPriority w:val="99"/>
    <w:qFormat/>
    <w:rPr>
      <w:rFonts w:ascii="宋体" w:hAnsi="宋体"/>
      <w:kern w:val="2"/>
      <w:sz w:val="18"/>
      <w:szCs w:val="18"/>
    </w:rPr>
  </w:style>
  <w:style w:type="character" w:customStyle="1" w:styleId="st1">
    <w:name w:val="st1"/>
    <w:qFormat/>
  </w:style>
  <w:style w:type="paragraph" w:customStyle="1" w:styleId="110">
    <w:name w:val="标题 11"/>
    <w:basedOn w:val="a0"/>
    <w:next w:val="a0"/>
    <w:uiPriority w:val="9"/>
    <w:qFormat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customStyle="1" w:styleId="210">
    <w:name w:val="标题 21"/>
    <w:basedOn w:val="a0"/>
    <w:next w:val="a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customStyle="1" w:styleId="31">
    <w:name w:val="标题 31"/>
    <w:basedOn w:val="a0"/>
    <w:next w:val="a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character" w:customStyle="1" w:styleId="10">
    <w:name w:val="标题 1 字符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link w:val="3"/>
    <w:uiPriority w:val="9"/>
    <w:qFormat/>
    <w:rPr>
      <w:b/>
      <w:bCs/>
      <w:sz w:val="32"/>
      <w:szCs w:val="32"/>
    </w:rPr>
  </w:style>
  <w:style w:type="paragraph" w:customStyle="1" w:styleId="14">
    <w:name w:val="无间隔1"/>
    <w:next w:val="aff9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styleId="aff9">
    <w:name w:val="No Spacing"/>
    <w:uiPriority w:val="1"/>
    <w:qFormat/>
    <w:pPr>
      <w:widowControl w:val="0"/>
      <w:jc w:val="both"/>
    </w:pPr>
    <w:rPr>
      <w:rFonts w:ascii="宋体" w:hAnsi="宋体"/>
      <w:kern w:val="2"/>
      <w:sz w:val="24"/>
      <w:szCs w:val="22"/>
    </w:rPr>
  </w:style>
  <w:style w:type="paragraph" w:customStyle="1" w:styleId="15">
    <w:name w:val="批注框文本1"/>
    <w:basedOn w:val="a0"/>
    <w:next w:val="ae"/>
    <w:link w:val="Char4"/>
    <w:uiPriority w:val="99"/>
    <w:semiHidden/>
    <w:unhideWhenUsed/>
    <w:rPr>
      <w:rFonts w:ascii="Calibri" w:hAnsi="Calibri"/>
      <w:kern w:val="0"/>
      <w:sz w:val="18"/>
      <w:szCs w:val="18"/>
    </w:rPr>
  </w:style>
  <w:style w:type="character" w:customStyle="1" w:styleId="Char4">
    <w:name w:val="批注框文本 Char"/>
    <w:link w:val="15"/>
    <w:uiPriority w:val="99"/>
    <w:semiHidden/>
    <w:rPr>
      <w:sz w:val="18"/>
      <w:szCs w:val="18"/>
    </w:rPr>
  </w:style>
  <w:style w:type="paragraph" w:customStyle="1" w:styleId="16">
    <w:name w:val="列出段落1"/>
    <w:basedOn w:val="a0"/>
    <w:next w:val="affa"/>
    <w:uiPriority w:val="34"/>
    <w:qFormat/>
    <w:pPr>
      <w:spacing w:after="120" w:line="276" w:lineRule="auto"/>
      <w:ind w:firstLineChars="200" w:firstLine="420"/>
    </w:pPr>
    <w:rPr>
      <w:rFonts w:ascii="Calibri" w:hAnsi="Calibri"/>
      <w:sz w:val="21"/>
    </w:rPr>
  </w:style>
  <w:style w:type="paragraph" w:styleId="affa">
    <w:name w:val="List Paragraph"/>
    <w:basedOn w:val="a0"/>
    <w:uiPriority w:val="34"/>
    <w:qFormat/>
    <w:pPr>
      <w:ind w:firstLineChars="200" w:firstLine="420"/>
    </w:pPr>
  </w:style>
  <w:style w:type="character" w:customStyle="1" w:styleId="1Char1">
    <w:name w:val="标题 1 Char1"/>
    <w:uiPriority w:val="9"/>
    <w:rPr>
      <w:rFonts w:ascii="宋体" w:hAnsi="宋体"/>
      <w:b/>
      <w:bCs/>
      <w:kern w:val="44"/>
      <w:sz w:val="44"/>
      <w:szCs w:val="44"/>
    </w:rPr>
  </w:style>
  <w:style w:type="character" w:customStyle="1" w:styleId="2Char1">
    <w:name w:val="标题 2 Char1"/>
    <w:uiPriority w:val="9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1">
    <w:name w:val="标题 3 Char1"/>
    <w:uiPriority w:val="9"/>
    <w:semiHidden/>
    <w:rPr>
      <w:rFonts w:ascii="宋体" w:hAnsi="宋体"/>
      <w:b/>
      <w:bCs/>
      <w:kern w:val="2"/>
      <w:sz w:val="32"/>
      <w:szCs w:val="32"/>
    </w:rPr>
  </w:style>
  <w:style w:type="character" w:customStyle="1" w:styleId="af">
    <w:name w:val="批注框文本 字符"/>
    <w:link w:val="ae"/>
    <w:uiPriority w:val="99"/>
    <w:semiHidden/>
    <w:qFormat/>
    <w:rPr>
      <w:rFonts w:ascii="宋体" w:hAnsi="宋体"/>
      <w:kern w:val="2"/>
      <w:sz w:val="18"/>
      <w:szCs w:val="18"/>
    </w:rPr>
  </w:style>
  <w:style w:type="character" w:customStyle="1" w:styleId="apple-converted-space">
    <w:name w:val="apple-converted-space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paragraph" w:customStyle="1" w:styleId="Char10">
    <w:name w:val="Char1"/>
    <w:basedOn w:val="a0"/>
    <w:rPr>
      <w:rFonts w:ascii="Tahoma" w:hAnsi="Tahoma"/>
      <w:szCs w:val="20"/>
    </w:rPr>
  </w:style>
  <w:style w:type="character" w:customStyle="1" w:styleId="postbody1">
    <w:name w:val="postbody1"/>
    <w:rPr>
      <w:sz w:val="11"/>
      <w:szCs w:val="11"/>
    </w:rPr>
  </w:style>
  <w:style w:type="character" w:customStyle="1" w:styleId="hot">
    <w:name w:val="hot"/>
    <w:basedOn w:val="a1"/>
  </w:style>
  <w:style w:type="character" w:customStyle="1" w:styleId="note">
    <w:name w:val="note"/>
    <w:rPr>
      <w:color w:val="800080"/>
      <w:sz w:val="20"/>
      <w:szCs w:val="20"/>
    </w:rPr>
  </w:style>
  <w:style w:type="character" w:customStyle="1" w:styleId="CharChar7">
    <w:name w:val="Char Char7"/>
    <w:semiHidden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8">
    <w:name w:val="正文文本 字符"/>
    <w:link w:val="a7"/>
    <w:rPr>
      <w:lang w:val="en-US" w:eastAsia="zh-CN"/>
    </w:rPr>
  </w:style>
  <w:style w:type="character" w:customStyle="1" w:styleId="byline1">
    <w:name w:val="byline1"/>
    <w:rPr>
      <w:color w:val="408080"/>
      <w:sz w:val="32"/>
      <w:szCs w:val="32"/>
    </w:rPr>
  </w:style>
  <w:style w:type="character" w:customStyle="1" w:styleId="Hyperlink0">
    <w:name w:val="Hyperlink.0"/>
    <w:rPr>
      <w:rFonts w:ascii="DFKai-SB" w:eastAsia="DFKai-SB" w:hAnsi="DFKai-SB" w:cs="DFKai-SB"/>
      <w:sz w:val="22"/>
      <w:szCs w:val="22"/>
      <w:lang w:val="zh-TW" w:eastAsia="zh-TW"/>
    </w:rPr>
  </w:style>
  <w:style w:type="character" w:customStyle="1" w:styleId="affb">
    <w:name w:val="尾注文本 字符"/>
    <w:link w:val="17"/>
    <w:rPr>
      <w:kern w:val="2"/>
      <w:sz w:val="21"/>
      <w:szCs w:val="24"/>
    </w:rPr>
  </w:style>
  <w:style w:type="paragraph" w:customStyle="1" w:styleId="17">
    <w:name w:val="尾注文本1"/>
    <w:basedOn w:val="a0"/>
    <w:next w:val="ad"/>
    <w:link w:val="affb"/>
    <w:uiPriority w:val="99"/>
    <w:semiHidden/>
    <w:unhideWhenUsed/>
    <w:pPr>
      <w:snapToGrid w:val="0"/>
      <w:jc w:val="left"/>
    </w:pPr>
    <w:rPr>
      <w:rFonts w:ascii="Calibri" w:hAnsi="Calibri"/>
      <w:sz w:val="21"/>
      <w:szCs w:val="24"/>
    </w:rPr>
  </w:style>
  <w:style w:type="character" w:customStyle="1" w:styleId="affc">
    <w:name w:val="脚注文本 字符"/>
    <w:uiPriority w:val="99"/>
    <w:qFormat/>
    <w:rPr>
      <w:sz w:val="20"/>
      <w:szCs w:val="20"/>
    </w:rPr>
  </w:style>
  <w:style w:type="paragraph" w:customStyle="1" w:styleId="affd">
    <w:name w:val="注文"/>
    <w:basedOn w:val="a0"/>
    <w:qFormat/>
    <w:pPr>
      <w:ind w:leftChars="405" w:left="1155" w:hangingChars="10" w:hanging="21"/>
    </w:pPr>
    <w:rPr>
      <w:rFonts w:ascii="Calibri" w:hAnsi="Calibri"/>
      <w:color w:val="92D050"/>
      <w:sz w:val="21"/>
      <w:szCs w:val="21"/>
    </w:rPr>
  </w:style>
  <w:style w:type="paragraph" w:customStyle="1" w:styleId="affe">
    <w:name w:val="小標"/>
    <w:basedOn w:val="a0"/>
    <w:qFormat/>
    <w:pPr>
      <w:ind w:leftChars="53" w:left="708" w:hangingChars="200" w:hanging="560"/>
    </w:pPr>
    <w:rPr>
      <w:rFonts w:ascii="Calibri" w:hAnsi="Calibri"/>
      <w:sz w:val="21"/>
      <w:szCs w:val="24"/>
    </w:rPr>
  </w:style>
  <w:style w:type="character" w:customStyle="1" w:styleId="ac">
    <w:name w:val="日期 字符"/>
    <w:link w:val="ab"/>
    <w:uiPriority w:val="99"/>
    <w:semiHidden/>
    <w:rPr>
      <w:rFonts w:ascii="宋体" w:hAnsi="宋体"/>
      <w:kern w:val="2"/>
      <w:sz w:val="24"/>
      <w:szCs w:val="22"/>
    </w:rPr>
  </w:style>
  <w:style w:type="character" w:customStyle="1" w:styleId="Char5">
    <w:name w:val="尾注文本 Char"/>
    <w:rPr>
      <w:kern w:val="2"/>
      <w:sz w:val="21"/>
      <w:szCs w:val="24"/>
    </w:rPr>
  </w:style>
  <w:style w:type="character" w:customStyle="1" w:styleId="fontstyle01">
    <w:name w:val="fontstyle01"/>
    <w:basedOn w:val="a1"/>
    <w:rPr>
      <w:rFonts w:ascii="TimesNewRomanPS-BoldMT" w:hAnsi="TimesNewRomanPS-BoldMT" w:hint="default"/>
      <w:b/>
      <w:bCs/>
      <w:color w:val="000000"/>
      <w:sz w:val="36"/>
      <w:szCs w:val="36"/>
    </w:rPr>
  </w:style>
  <w:style w:type="character" w:customStyle="1" w:styleId="fontstyle11">
    <w:name w:val="fontstyle11"/>
    <w:basedOn w:val="a1"/>
    <w:rPr>
      <w:rFonts w:ascii="宋体" w:eastAsia="宋体" w:hAnsi="宋体" w:hint="eastAsia"/>
      <w:color w:val="000000"/>
      <w:sz w:val="36"/>
      <w:szCs w:val="36"/>
    </w:rPr>
  </w:style>
  <w:style w:type="character" w:customStyle="1" w:styleId="fontstyle21">
    <w:name w:val="fontstyle21"/>
    <w:basedOn w:val="a1"/>
    <w:rPr>
      <w:rFonts w:ascii="Batang" w:eastAsia="Batang" w:hint="eastAsia"/>
      <w:color w:val="000000"/>
      <w:sz w:val="24"/>
      <w:szCs w:val="24"/>
    </w:rPr>
  </w:style>
  <w:style w:type="character" w:customStyle="1" w:styleId="fontstyle31">
    <w:name w:val="fontstyle31"/>
    <w:basedOn w:val="a1"/>
    <w:rPr>
      <w:rFonts w:ascii="New Gulim" w:hAnsi="New Gulim" w:hint="default"/>
      <w:color w:val="000000"/>
      <w:sz w:val="24"/>
      <w:szCs w:val="24"/>
    </w:rPr>
  </w:style>
  <w:style w:type="character" w:customStyle="1" w:styleId="afff">
    <w:name w:val="标题 字符"/>
    <w:basedOn w:val="a1"/>
    <w:uiPriority w:val="1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3">
    <w:name w:val="标题 字符1"/>
    <w:link w:val="af8"/>
    <w:rPr>
      <w:rFonts w:ascii="Cambria" w:hAnsi="Cambria"/>
      <w:b/>
      <w:bCs/>
      <w:kern w:val="2"/>
      <w:sz w:val="32"/>
      <w:szCs w:val="32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Reference12345678">
    <w:name w:val="WW-Endnote Reference12345678"/>
    <w:rPr>
      <w:vertAlign w:val="superscript"/>
    </w:rPr>
  </w:style>
  <w:style w:type="paragraph" w:customStyle="1" w:styleId="ListHeading">
    <w:name w:val="List Heading"/>
    <w:basedOn w:val="a0"/>
    <w:next w:val="a0"/>
    <w:pPr>
      <w:widowControl/>
      <w:suppressAutoHyphens/>
      <w:jc w:val="left"/>
    </w:pPr>
    <w:rPr>
      <w:rFonts w:ascii="Times New Roman" w:eastAsia="Times New Roman" w:hAnsi="Times New Roman"/>
      <w:kern w:val="1"/>
      <w:szCs w:val="24"/>
      <w:lang w:eastAsia="ar-SA"/>
    </w:rPr>
  </w:style>
  <w:style w:type="paragraph" w:customStyle="1" w:styleId="Quotations">
    <w:name w:val="Quotations"/>
    <w:basedOn w:val="a0"/>
    <w:pPr>
      <w:widowControl/>
      <w:suppressAutoHyphens/>
      <w:spacing w:after="283"/>
      <w:ind w:left="567" w:right="567"/>
      <w:jc w:val="left"/>
    </w:pPr>
    <w:rPr>
      <w:rFonts w:ascii="Times New Roman" w:eastAsia="Times New Roman" w:hAnsi="Times New Roman"/>
      <w:kern w:val="1"/>
      <w:szCs w:val="24"/>
      <w:lang w:eastAsia="ar-SA"/>
    </w:rPr>
  </w:style>
  <w:style w:type="paragraph" w:customStyle="1" w:styleId="Pa61">
    <w:name w:val="Pa6+1"/>
    <w:basedOn w:val="a0"/>
    <w:next w:val="a0"/>
    <w:pPr>
      <w:widowControl/>
      <w:suppressAutoHyphens/>
      <w:spacing w:line="281" w:lineRule="atLeast"/>
      <w:jc w:val="left"/>
    </w:pPr>
    <w:rPr>
      <w:rFonts w:ascii="Times New Roman" w:hAnsi="Times New Roman" w:cs="Mangal"/>
      <w:kern w:val="1"/>
      <w:szCs w:val="24"/>
      <w:lang w:eastAsia="ar-SA"/>
    </w:rPr>
  </w:style>
  <w:style w:type="character" w:customStyle="1" w:styleId="divimport1">
    <w:name w:val="divimport1"/>
    <w:basedOn w:val="a1"/>
    <w:rPr>
      <w:rFonts w:ascii="宋体" w:eastAsia="宋体" w:hAnsi="宋体" w:hint="eastAsia"/>
      <w:sz w:val="21"/>
      <w:szCs w:val="21"/>
      <w:shd w:val="clear" w:color="auto" w:fill="FCFCFC"/>
    </w:rPr>
  </w:style>
  <w:style w:type="paragraph" w:customStyle="1" w:styleId="CharCharChar1">
    <w:name w:val="脚注文本 Char Char Char1"/>
    <w:basedOn w:val="a0"/>
    <w:next w:val="af6"/>
    <w:unhideWhenUsed/>
    <w:pPr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8">
    <w:name w:val="超链接1"/>
    <w:basedOn w:val="a1"/>
    <w:uiPriority w:val="99"/>
    <w:unhideWhenUsed/>
    <w:rPr>
      <w:color w:val="0000FF"/>
      <w:u w:val="single"/>
    </w:rPr>
  </w:style>
  <w:style w:type="paragraph" w:customStyle="1" w:styleId="19">
    <w:name w:val="页眉1"/>
    <w:basedOn w:val="a0"/>
    <w:next w:val="af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customStyle="1" w:styleId="1a">
    <w:name w:val="页脚1"/>
    <w:basedOn w:val="a0"/>
    <w:next w:val="af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customStyle="1" w:styleId="CharCharCharCharCharCharChar">
    <w:name w:val="Char Char Char Char Char Char Char"/>
    <w:basedOn w:val="a0"/>
    <w:rPr>
      <w:rFonts w:ascii="Tahoma" w:hAnsi="Tahoma"/>
      <w:bCs/>
      <w:szCs w:val="20"/>
    </w:rPr>
  </w:style>
  <w:style w:type="paragraph" w:customStyle="1" w:styleId="CharCharCharCharCharCharChar6">
    <w:name w:val="Char Char Char Char Char Char Char6"/>
    <w:basedOn w:val="a0"/>
    <w:rPr>
      <w:rFonts w:ascii="Tahoma" w:hAnsi="Tahoma"/>
      <w:bCs/>
      <w:szCs w:val="20"/>
    </w:rPr>
  </w:style>
  <w:style w:type="paragraph" w:customStyle="1" w:styleId="CharCharCharCharCharCharChar5">
    <w:name w:val="Char Char Char Char Char Char Char5"/>
    <w:basedOn w:val="a0"/>
    <w:rPr>
      <w:rFonts w:ascii="Tahoma" w:hAnsi="Tahoma"/>
      <w:bCs/>
      <w:szCs w:val="20"/>
    </w:rPr>
  </w:style>
  <w:style w:type="paragraph" w:customStyle="1" w:styleId="CharCharCharCharCharCharChar4">
    <w:name w:val="Char Char Char Char Char Char Char4"/>
    <w:basedOn w:val="a0"/>
    <w:rPr>
      <w:rFonts w:ascii="Tahoma" w:hAnsi="Tahoma"/>
      <w:bCs/>
      <w:szCs w:val="20"/>
    </w:rPr>
  </w:style>
  <w:style w:type="paragraph" w:customStyle="1" w:styleId="CharCharCharCharCharCharChar3">
    <w:name w:val="Char Char Char Char Char Char Char3"/>
    <w:basedOn w:val="a0"/>
    <w:rPr>
      <w:rFonts w:ascii="Tahoma" w:hAnsi="Tahoma"/>
      <w:bCs/>
      <w:szCs w:val="20"/>
    </w:rPr>
  </w:style>
  <w:style w:type="paragraph" w:customStyle="1" w:styleId="CharCharCharCharCharCharChar2">
    <w:name w:val="Char Char Char Char Char Char Char2"/>
    <w:basedOn w:val="a0"/>
    <w:rPr>
      <w:rFonts w:ascii="Tahoma" w:hAnsi="Tahoma"/>
      <w:bCs/>
      <w:szCs w:val="20"/>
    </w:rPr>
  </w:style>
  <w:style w:type="paragraph" w:customStyle="1" w:styleId="CharCharCharCharCharCharChar1">
    <w:name w:val="Char Char Char Char Char Char Char1"/>
    <w:basedOn w:val="a0"/>
    <w:rPr>
      <w:rFonts w:ascii="Tahoma" w:hAnsi="Tahoma"/>
      <w:bCs/>
      <w:szCs w:val="20"/>
    </w:rPr>
  </w:style>
  <w:style w:type="character" w:customStyle="1" w:styleId="firstpagedate1">
    <w:name w:val="firstpagedate1"/>
    <w:rPr>
      <w:rFonts w:ascii="ˎ̥" w:hAnsi="ˎ̥" w:hint="default"/>
      <w:color w:val="5AAA5A"/>
      <w:sz w:val="18"/>
      <w:szCs w:val="18"/>
    </w:rPr>
  </w:style>
  <w:style w:type="character" w:customStyle="1" w:styleId="firstpagedate">
    <w:name w:val="firstpagedate"/>
    <w:basedOn w:val="a1"/>
  </w:style>
  <w:style w:type="character" w:customStyle="1" w:styleId="1b">
    <w:name w:val="访问过的超链接1"/>
    <w:basedOn w:val="a1"/>
    <w:uiPriority w:val="99"/>
    <w:semiHidden/>
    <w:unhideWhenUsed/>
    <w:rPr>
      <w:color w:val="800080"/>
      <w:u w:val="single"/>
    </w:rPr>
  </w:style>
  <w:style w:type="character" w:customStyle="1" w:styleId="1c">
    <w:name w:val="未处理的提及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正文文本缩进 字符"/>
    <w:basedOn w:val="a1"/>
    <w:link w:val="a9"/>
    <w:rPr>
      <w:rFonts w:ascii="Times New Roman" w:hAnsi="Times New Roman"/>
      <w:kern w:val="2"/>
      <w:sz w:val="21"/>
      <w:szCs w:val="24"/>
    </w:rPr>
  </w:style>
  <w:style w:type="paragraph" w:customStyle="1" w:styleId="1d">
    <w:name w:val="列表段落1"/>
    <w:basedOn w:val="a0"/>
    <w:next w:val="affa"/>
    <w:uiPriority w:val="34"/>
    <w:qFormat/>
    <w:pPr>
      <w:ind w:firstLineChars="200" w:firstLine="420"/>
    </w:pPr>
    <w:rPr>
      <w:rFonts w:asciiTheme="minorHAnsi" w:eastAsiaTheme="minorEastAsia" w:hAnsiTheme="minorHAnsi" w:cstheme="minorBidi"/>
      <w:bCs/>
      <w:sz w:val="21"/>
      <w:szCs w:val="21"/>
    </w:rPr>
  </w:style>
  <w:style w:type="character" w:customStyle="1" w:styleId="1e">
    <w:name w:val="批注框文本 字符1"/>
    <w:basedOn w:val="a1"/>
    <w:uiPriority w:val="99"/>
    <w:semiHidden/>
    <w:rPr>
      <w:sz w:val="18"/>
      <w:szCs w:val="18"/>
    </w:rPr>
  </w:style>
  <w:style w:type="character" w:customStyle="1" w:styleId="1f">
    <w:name w:val="页眉 字符1"/>
    <w:basedOn w:val="a1"/>
    <w:uiPriority w:val="99"/>
    <w:rPr>
      <w:sz w:val="18"/>
      <w:szCs w:val="18"/>
    </w:rPr>
  </w:style>
  <w:style w:type="character" w:customStyle="1" w:styleId="1f0">
    <w:name w:val="页脚 字符1"/>
    <w:basedOn w:val="a1"/>
    <w:uiPriority w:val="99"/>
    <w:rPr>
      <w:sz w:val="18"/>
      <w:szCs w:val="18"/>
    </w:rPr>
  </w:style>
  <w:style w:type="character" w:customStyle="1" w:styleId="swbf">
    <w:name w:val="swbf"/>
    <w:basedOn w:val="a1"/>
    <w:qFormat/>
  </w:style>
  <w:style w:type="character" w:customStyle="1" w:styleId="ywyy">
    <w:name w:val="ywyy"/>
    <w:basedOn w:val="a1"/>
    <w:qFormat/>
  </w:style>
  <w:style w:type="character" w:customStyle="1" w:styleId="swdz">
    <w:name w:val="swdz"/>
    <w:basedOn w:val="a1"/>
    <w:qFormat/>
  </w:style>
  <w:style w:type="character" w:customStyle="1" w:styleId="40">
    <w:name w:val="标题 4 字符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uiPriority w:val="9"/>
    <w:semiHidden/>
    <w:qFormat/>
    <w:rPr>
      <w:rFonts w:ascii="宋体" w:hAnsi="宋体"/>
      <w:b/>
      <w:bCs/>
      <w:kern w:val="2"/>
      <w:sz w:val="28"/>
      <w:szCs w:val="28"/>
    </w:rPr>
  </w:style>
  <w:style w:type="character" w:customStyle="1" w:styleId="a6">
    <w:name w:val="批注文字 字符"/>
    <w:basedOn w:val="a1"/>
    <w:link w:val="a5"/>
    <w:uiPriority w:val="99"/>
    <w:semiHidden/>
    <w:qFormat/>
    <w:rPr>
      <w:rFonts w:ascii="宋体" w:hAnsi="宋体" w:cs="宋体"/>
      <w:sz w:val="24"/>
      <w:szCs w:val="24"/>
    </w:rPr>
  </w:style>
  <w:style w:type="character" w:customStyle="1" w:styleId="afa">
    <w:name w:val="批注主题 字符"/>
    <w:basedOn w:val="a6"/>
    <w:link w:val="af9"/>
    <w:uiPriority w:val="99"/>
    <w:semiHidden/>
    <w:qFormat/>
    <w:rPr>
      <w:rFonts w:ascii="宋体" w:hAnsi="宋体" w:cs="宋体"/>
      <w:b/>
      <w:bCs/>
      <w:sz w:val="24"/>
      <w:szCs w:val="24"/>
    </w:rPr>
  </w:style>
  <w:style w:type="character" w:customStyle="1" w:styleId="afff0">
    <w:name w:val="造字"/>
    <w:qFormat/>
    <w:rPr>
      <w:rFonts w:ascii="经典繁超宋" w:eastAsia="宋体-方正超大字符集"/>
      <w:sz w:val="32"/>
      <w:szCs w:val="52"/>
      <w:lang w:eastAsia="zh-CN"/>
    </w:rPr>
  </w:style>
  <w:style w:type="character" w:customStyle="1" w:styleId="111">
    <w:name w:val="未处理的提及1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1">
    <w:name w:val="标题 5 字符1"/>
    <w:basedOn w:val="a1"/>
    <w:link w:val="5"/>
    <w:uiPriority w:val="9"/>
    <w:semiHidden/>
    <w:qFormat/>
    <w:rPr>
      <w:rFonts w:ascii="宋体" w:hAnsi="宋体" w:cs="宋体"/>
      <w:b/>
      <w:bCs/>
      <w:sz w:val="28"/>
      <w:szCs w:val="28"/>
    </w:rPr>
  </w:style>
  <w:style w:type="character" w:customStyle="1" w:styleId="afff1">
    <w:name w:val="反切"/>
    <w:qFormat/>
    <w:rPr>
      <w:rFonts w:ascii="宋体" w:eastAsia="宋体-方正超大字符集" w:hAnsi="宋体"/>
      <w:color w:val="800000"/>
      <w:sz w:val="15"/>
      <w:szCs w:val="15"/>
    </w:rPr>
  </w:style>
  <w:style w:type="character" w:customStyle="1" w:styleId="afff2">
    <w:name w:val="控呇湮佽恅苤蚼 红色"/>
    <w:qFormat/>
    <w:rPr>
      <w:rFonts w:ascii="控呇湮佽恅苤蚼" w:eastAsia="控呇湮佽恅苤蚼" w:hAnsi="控呇湮佽恅苤蚼"/>
      <w:color w:val="FF0000"/>
    </w:rPr>
  </w:style>
  <w:style w:type="character" w:customStyle="1" w:styleId="fieldname">
    <w:name w:val="fieldname"/>
    <w:basedOn w:val="a1"/>
    <w:qFormat/>
  </w:style>
  <w:style w:type="character" w:customStyle="1" w:styleId="fieldvalue">
    <w:name w:val="fieldvalue"/>
    <w:basedOn w:val="a1"/>
    <w:qFormat/>
  </w:style>
  <w:style w:type="character" w:customStyle="1" w:styleId="number">
    <w:name w:val="number"/>
    <w:qFormat/>
    <w:rPr>
      <w:color w:val="0033FF"/>
    </w:rPr>
  </w:style>
  <w:style w:type="character" w:customStyle="1" w:styleId="lzspan">
    <w:name w:val="lzspan"/>
    <w:qFormat/>
  </w:style>
  <w:style w:type="character" w:customStyle="1" w:styleId="af5">
    <w:name w:val="副标题 字符"/>
    <w:basedOn w:val="a1"/>
    <w:link w:val="af4"/>
    <w:uiPriority w:val="11"/>
    <w:qFormat/>
    <w:rPr>
      <w:rFonts w:ascii="Arial" w:hAnsi="Arial"/>
      <w:b/>
      <w:bCs/>
      <w:kern w:val="28"/>
      <w:sz w:val="24"/>
      <w:szCs w:val="32"/>
    </w:rPr>
  </w:style>
  <w:style w:type="paragraph" w:customStyle="1" w:styleId="a">
    <w:name w:val="論著"/>
    <w:basedOn w:val="affa"/>
    <w:link w:val="afff3"/>
    <w:qFormat/>
    <w:pPr>
      <w:numPr>
        <w:numId w:val="1"/>
      </w:numPr>
      <w:wordWrap w:val="0"/>
      <w:spacing w:line="360" w:lineRule="auto"/>
      <w:ind w:left="420" w:firstLineChars="0" w:hanging="420"/>
    </w:pPr>
    <w:rPr>
      <w:szCs w:val="28"/>
    </w:rPr>
  </w:style>
  <w:style w:type="character" w:customStyle="1" w:styleId="afff3">
    <w:name w:val="論著 字符"/>
    <w:basedOn w:val="a1"/>
    <w:link w:val="a"/>
    <w:qFormat/>
    <w:rPr>
      <w:rFonts w:ascii="宋体" w:hAnsi="宋体"/>
      <w:kern w:val="2"/>
      <w:sz w:val="24"/>
      <w:szCs w:val="28"/>
    </w:rPr>
  </w:style>
  <w:style w:type="character" w:customStyle="1" w:styleId="nyfontcontent">
    <w:name w:val="ny_font_content"/>
    <w:basedOn w:val="a1"/>
    <w:qFormat/>
  </w:style>
  <w:style w:type="character" w:customStyle="1" w:styleId="22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zi21">
    <w:name w:val="zi21"/>
    <w:basedOn w:val="a1"/>
    <w:qFormat/>
    <w:rPr>
      <w:rFonts w:ascii="KaiXinSong" w:eastAsia="KaiXinSong" w:hAnsi="KaiXinSong" w:hint="eastAsia"/>
    </w:rPr>
  </w:style>
  <w:style w:type="paragraph" w:customStyle="1" w:styleId="afff4">
    <w:name w:val="样式"/>
    <w:qFormat/>
    <w:pPr>
      <w:widowControl w:val="0"/>
      <w:autoSpaceDE w:val="0"/>
      <w:autoSpaceDN w:val="0"/>
      <w:adjustRightInd w:val="0"/>
    </w:pPr>
    <w:rPr>
      <w:rFonts w:ascii="宋体" w:hAnsi="Times New Roman" w:cs="宋体"/>
      <w:sz w:val="24"/>
      <w:szCs w:val="24"/>
    </w:rPr>
  </w:style>
  <w:style w:type="table" w:customStyle="1" w:styleId="1f1">
    <w:name w:val="网格型1"/>
    <w:basedOn w:val="a2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tooltip">
    <w:name w:val="title-tooltip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image" Target="media/image16.png"/><Relationship Id="rId7" Type="http://schemas.openxmlformats.org/officeDocument/2006/relationships/image" Target="media/image1.png"/><Relationship Id="rId2" Type="http://schemas.openxmlformats.org/officeDocument/2006/relationships/image" Target="media/image15.png"/><Relationship Id="rId1" Type="http://schemas.openxmlformats.org/officeDocument/2006/relationships/image" Target="media/image3.png"/><Relationship Id="rId6" Type="http://schemas.openxmlformats.org/officeDocument/2006/relationships/image" Target="media/image19.png"/><Relationship Id="rId5" Type="http://schemas.openxmlformats.org/officeDocument/2006/relationships/image" Target="media/image18.png"/><Relationship Id="rId4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C2666-F1E7-49F1-8454-8994EE92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1018</Words>
  <Characters>5803</Characters>
  <Application>Microsoft Office Word</Application>
  <DocSecurity>0</DocSecurity>
  <Lines>48</Lines>
  <Paragraphs>13</Paragraphs>
  <ScaleCrop>false</ScaleCrop>
  <Company>GWZ</Company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復旦大學出土文獻與古文字研究中心</dc:title>
  <dc:subject>復旦大學出土文獻與古文字研究中心</dc:subject>
  <dc:creator>gwz</dc:creator>
  <cp:lastModifiedBy>shirley S</cp:lastModifiedBy>
  <cp:revision>302</cp:revision>
  <dcterms:created xsi:type="dcterms:W3CDTF">2018-01-27T09:07:00Z</dcterms:created>
  <dcterms:modified xsi:type="dcterms:W3CDTF">2026-10-15T13:17:00Z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309ff620ad76616861290f234b7f9af256d5ee33649d63cb7ce801945e0e44d0</vt:lpwstr>
  </property>
  <property fmtid="{D5CDD505-2E9C-101B-9397-08002B2CF9AE}" pid="3" name="KSOTemplateDocerSaveRecord">
    <vt:lpwstr>eyJoZGlkIjoiMzEwNTM5NzYwMDRjMzkwZTVkZjY2ODkwMGIxNGU0OTUiLCJ1c2VySWQiOiIxMzUyNzAyNjA2In0=</vt:lpwstr>
  </property>
  <property fmtid="{D5CDD505-2E9C-101B-9397-08002B2CF9AE}" pid="4" name="KSOProductBuildVer">
    <vt:lpwstr>2052-12.1.0.28505</vt:lpwstr>
  </property>
  <property fmtid="{D5CDD505-2E9C-101B-9397-08002B2CF9AE}" pid="5" name="ICV">
    <vt:lpwstr>169A72C30E4243619A1A917FA6EC4082_12</vt:lpwstr>
  </property>
</Properties>
</file>