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E1290" w14:textId="77777777" w:rsidR="00EB6C9F" w:rsidRDefault="00EB6C9F">
      <w:pPr>
        <w:pStyle w:val="aff4"/>
        <w:ind w:firstLineChars="0" w:firstLine="0"/>
        <w:rPr>
          <w:rFonts w:hint="eastAsia"/>
        </w:rPr>
      </w:pPr>
    </w:p>
    <w:p w14:paraId="428AEE1C" w14:textId="77777777" w:rsidR="00EB6C9F" w:rsidRDefault="00000000">
      <w:pPr>
        <w:pStyle w:val="aff7"/>
        <w:rPr>
          <w:rFonts w:hint="eastAsia"/>
        </w:rPr>
      </w:pPr>
      <w:r>
        <w:rPr>
          <w:rFonts w:hint="eastAsia"/>
        </w:rPr>
        <w:t>説宋代著録金文舊釋“𢇻”等之字及虢姜簋的“禪”字並論</w:t>
      </w:r>
      <w:r>
        <w:rPr>
          <w:rFonts w:hint="eastAsia"/>
        </w:rPr>
        <w:t>TAN</w:t>
      </w:r>
      <w:r>
        <w:rPr>
          <w:rFonts w:hint="eastAsia"/>
        </w:rPr>
        <w:t>域中的一個詞族</w:t>
      </w:r>
    </w:p>
    <w:p w14:paraId="66DD932B" w14:textId="77777777" w:rsidR="00EB6C9F" w:rsidRDefault="00EB6C9F">
      <w:pPr>
        <w:pStyle w:val="aff7"/>
        <w:rPr>
          <w:rFonts w:hint="eastAsia"/>
        </w:rPr>
      </w:pPr>
    </w:p>
    <w:p w14:paraId="5D63C125" w14:textId="77777777" w:rsidR="00EB6C9F" w:rsidRDefault="00000000">
      <w:pPr>
        <w:pStyle w:val="aff8"/>
        <w:rPr>
          <w:rFonts w:hint="eastAsia"/>
        </w:rPr>
      </w:pPr>
      <w:r>
        <w:rPr>
          <w:rFonts w:hint="eastAsia"/>
        </w:rPr>
        <w:t>（首發）</w:t>
      </w:r>
    </w:p>
    <w:p w14:paraId="56F59131" w14:textId="77777777" w:rsidR="00EB6C9F" w:rsidRDefault="00EB6C9F">
      <w:pPr>
        <w:rPr>
          <w:rFonts w:hint="eastAsia"/>
        </w:rPr>
      </w:pPr>
    </w:p>
    <w:p w14:paraId="25CFDC18" w14:textId="77777777" w:rsidR="00EB6C9F" w:rsidRDefault="00000000">
      <w:pPr>
        <w:pStyle w:val="aff8"/>
        <w:rPr>
          <w:rFonts w:hint="eastAsia"/>
        </w:rPr>
      </w:pPr>
      <w:r>
        <w:rPr>
          <w:rFonts w:hint="eastAsia"/>
        </w:rPr>
        <w:t>費文彬</w:t>
      </w:r>
    </w:p>
    <w:p w14:paraId="323B4FA6" w14:textId="77777777" w:rsidR="00EB6C9F" w:rsidRDefault="00EB6C9F">
      <w:pPr>
        <w:jc w:val="center"/>
        <w:rPr>
          <w:rFonts w:hint="eastAsia"/>
        </w:rPr>
      </w:pPr>
    </w:p>
    <w:p w14:paraId="286B5F5C" w14:textId="77777777" w:rsidR="00EB6C9F" w:rsidRDefault="00000000">
      <w:pPr>
        <w:pStyle w:val="aff4"/>
        <w:ind w:firstLine="562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一、説宋代著録金文舊釋“𢇻”等之字</w:t>
      </w:r>
    </w:p>
    <w:p w14:paraId="3A360DE9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宋代著録金文中存在一種字形：</w:t>
      </w:r>
    </w:p>
    <w:p w14:paraId="46C0740B" w14:textId="77777777" w:rsidR="00EB6C9F" w:rsidRDefault="00EB6C9F">
      <w:pPr>
        <w:pStyle w:val="aff4"/>
        <w:ind w:firstLine="560"/>
        <w:rPr>
          <w:rFonts w:hint="eastAsia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EB6C9F" w14:paraId="204DA471" w14:textId="77777777">
        <w:tc>
          <w:tcPr>
            <w:tcW w:w="2765" w:type="dxa"/>
            <w:vAlign w:val="center"/>
          </w:tcPr>
          <w:p w14:paraId="6030A003" w14:textId="77777777" w:rsidR="00EB6C9F" w:rsidRDefault="00000000">
            <w:pPr>
              <w:pStyle w:val="aff4"/>
              <w:ind w:firstLine="56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4D83084" wp14:editId="54CA269F">
                  <wp:extent cx="419735" cy="478155"/>
                  <wp:effectExtent l="0" t="0" r="12065" b="4445"/>
                  <wp:docPr id="20977680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7680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6A388677" wp14:editId="158B61DE">
                  <wp:extent cx="383540" cy="465455"/>
                  <wp:effectExtent l="0" t="0" r="22860" b="17145"/>
                  <wp:docPr id="15775127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5127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14:paraId="44778102" w14:textId="77777777" w:rsidR="00EB6C9F" w:rsidRDefault="00000000">
            <w:pPr>
              <w:pStyle w:val="aff4"/>
              <w:ind w:firstLine="56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F3644F0" wp14:editId="7FFF6301">
                  <wp:extent cx="314960" cy="574675"/>
                  <wp:effectExtent l="0" t="0" r="15240" b="9525"/>
                  <wp:docPr id="14953359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33590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57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766" w:type="dxa"/>
            <w:vAlign w:val="center"/>
          </w:tcPr>
          <w:p w14:paraId="379D1579" w14:textId="77777777" w:rsidR="00EB6C9F" w:rsidRDefault="00000000">
            <w:pPr>
              <w:pStyle w:val="aff4"/>
              <w:ind w:firstLine="56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38629EF" wp14:editId="4D036002">
                  <wp:extent cx="378460" cy="533400"/>
                  <wp:effectExtent l="0" t="0" r="2540" b="0"/>
                  <wp:docPr id="18878438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84380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C9F" w14:paraId="7D5D34E1" w14:textId="77777777">
        <w:tc>
          <w:tcPr>
            <w:tcW w:w="2765" w:type="dxa"/>
            <w:vAlign w:val="center"/>
          </w:tcPr>
          <w:p w14:paraId="5DAA4297" w14:textId="77777777" w:rsidR="00EB6C9F" w:rsidRDefault="00000000">
            <w:pPr>
              <w:pStyle w:val="aff4"/>
              <w:ind w:firstLine="560"/>
              <w:rPr>
                <w:rFonts w:hint="eastAsia"/>
              </w:rPr>
            </w:pPr>
            <w:r>
              <w:rPr>
                <w:rFonts w:hint="eastAsia"/>
              </w:rPr>
              <w:t>蔡簋（集成4340）</w:t>
            </w:r>
          </w:p>
        </w:tc>
        <w:tc>
          <w:tcPr>
            <w:tcW w:w="2765" w:type="dxa"/>
            <w:vAlign w:val="center"/>
          </w:tcPr>
          <w:p w14:paraId="67C975E4" w14:textId="77777777" w:rsidR="00EB6C9F" w:rsidRDefault="00000000">
            <w:pPr>
              <w:pStyle w:val="aff4"/>
              <w:ind w:firstLine="560"/>
              <w:rPr>
                <w:rFonts w:hint="eastAsia"/>
              </w:rPr>
            </w:pPr>
            <w:r>
              <w:rPr>
                <w:rFonts w:hint="eastAsia"/>
              </w:rPr>
              <w:t>牧簋（集成4343</w:t>
            </w:r>
            <w:r>
              <w:t>）</w:t>
            </w:r>
          </w:p>
        </w:tc>
        <w:tc>
          <w:tcPr>
            <w:tcW w:w="2766" w:type="dxa"/>
            <w:vAlign w:val="center"/>
          </w:tcPr>
          <w:p w14:paraId="36BCA045" w14:textId="77777777" w:rsidR="00EB6C9F" w:rsidRDefault="00000000">
            <w:pPr>
              <w:pStyle w:val="aff4"/>
              <w:ind w:firstLine="560"/>
              <w:rPr>
                <w:rFonts w:hint="eastAsia"/>
              </w:rPr>
            </w:pPr>
            <w:r>
              <w:rPr>
                <w:rFonts w:hint="eastAsia"/>
              </w:rPr>
              <w:t>𫮩盨（集成4469）</w:t>
            </w:r>
            <w:r>
              <w:rPr>
                <w:rStyle w:val="afd"/>
                <w:rFonts w:hint="eastAsia"/>
              </w:rPr>
              <w:endnoteReference w:id="1"/>
            </w:r>
          </w:p>
        </w:tc>
      </w:tr>
    </w:tbl>
    <w:p w14:paraId="7BC29651" w14:textId="77777777" w:rsidR="00EB6C9F" w:rsidRDefault="00EB6C9F">
      <w:pPr>
        <w:pStyle w:val="aff4"/>
        <w:ind w:firstLine="560"/>
        <w:rPr>
          <w:rFonts w:hint="eastAsia"/>
        </w:rPr>
      </w:pPr>
    </w:p>
    <w:p w14:paraId="730DA7EB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觀察四者，除蔡簋“厂”作“广”，無中間一横，𫮩盨“厂”與下“矢”形相連之外，其他特徵都極爲相似，我們姑且認爲四者當是一字，下文統一以△表示。其器具體辭例分别如下：</w:t>
      </w:r>
    </w:p>
    <w:p w14:paraId="6DEFE45F" w14:textId="77777777" w:rsidR="00EB6C9F" w:rsidRDefault="00EB6C9F">
      <w:pPr>
        <w:ind w:firstLineChars="200" w:firstLine="480"/>
        <w:rPr>
          <w:rFonts w:hint="eastAsia"/>
        </w:rPr>
      </w:pPr>
    </w:p>
    <w:p w14:paraId="2718F00C" w14:textId="77777777" w:rsidR="00EB6C9F" w:rsidRDefault="00000000">
      <w:pPr>
        <w:pStyle w:val="aff5"/>
        <w:spacing w:before="540" w:after="540"/>
        <w:ind w:firstLine="496"/>
        <w:rPr>
          <w:rFonts w:hint="eastAsia"/>
        </w:rPr>
      </w:pPr>
      <w:r>
        <w:rPr>
          <w:rFonts w:hint="eastAsia"/>
        </w:rPr>
        <w:lastRenderedPageBreak/>
        <w:t>1.出入姜氏令（命），氒（厥）又（有）見又（有）即令（命），氒（厥）非先告蔡，母（毋）敢△又（有）入告。女（汝）母（毋）弗善效（教）姜氏人，勿使敢又（有）△止從（縱）獄。</w:t>
      </w:r>
    </w:p>
    <w:p w14:paraId="02BDC69E" w14:textId="77777777" w:rsidR="00EB6C9F" w:rsidRDefault="00000000">
      <w:pPr>
        <w:pStyle w:val="aff5"/>
        <w:spacing w:before="540" w:after="540"/>
        <w:ind w:firstLine="496"/>
        <w:jc w:val="right"/>
        <w:rPr>
          <w:rFonts w:hint="eastAsia"/>
        </w:rPr>
      </w:pPr>
      <w:r>
        <w:rPr>
          <w:rFonts w:hint="eastAsia"/>
        </w:rPr>
        <w:t>（蔡簋，集成4340，西周晚期）</w:t>
      </w:r>
    </w:p>
    <w:p w14:paraId="45794F19" w14:textId="77777777" w:rsidR="00EB6C9F" w:rsidRDefault="00000000">
      <w:pPr>
        <w:pStyle w:val="aff5"/>
        <w:spacing w:before="540" w:after="540"/>
        <w:ind w:firstLine="496"/>
        <w:rPr>
          <w:rFonts w:hint="eastAsia"/>
        </w:rPr>
      </w:pPr>
      <w:r>
        <w:rPr>
          <w:rFonts w:hint="eastAsia"/>
        </w:rPr>
        <w:t>2.不用先王乍（作）井（刑），亦多虐庶民，氒（厥）訊庶右（有）𬖨</w:t>
      </w:r>
      <w:r>
        <w:t>（</w:t>
      </w:r>
      <w:r>
        <w:rPr>
          <w:rFonts w:hint="eastAsia"/>
        </w:rPr>
        <w:t>戾</w:t>
      </w:r>
      <w:r>
        <w:t>）</w:t>
      </w:r>
      <w:r>
        <w:rPr>
          <w:rStyle w:val="afd"/>
          <w:rFonts w:hint="eastAsia"/>
        </w:rPr>
        <w:endnoteReference w:id="2"/>
      </w:r>
      <w:r>
        <w:t>，不井（</w:t>
      </w:r>
      <w:r>
        <w:rPr>
          <w:rFonts w:hint="eastAsia"/>
        </w:rPr>
        <w:t>刑</w:t>
      </w:r>
      <w:r>
        <w:t>）不中，</w:t>
      </w:r>
      <w:r>
        <w:rPr>
          <w:rFonts w:hint="eastAsia"/>
        </w:rPr>
        <w:t>廼△</w:t>
      </w:r>
      <w:r>
        <w:t>之耤</w:t>
      </w:r>
      <w:r>
        <w:rPr>
          <w:rFonts w:hint="eastAsia"/>
        </w:rPr>
        <w:t>（作）夗（怨）</w:t>
      </w:r>
      <w:r>
        <w:rPr>
          <w:rStyle w:val="afd"/>
          <w:rFonts w:hint="eastAsia"/>
        </w:rPr>
        <w:endnoteReference w:id="3"/>
      </w:r>
      <w:r>
        <w:rPr>
          <w:rFonts w:hint="eastAsia"/>
        </w:rPr>
        <w:t>。</w:t>
      </w:r>
    </w:p>
    <w:p w14:paraId="59DC58A9" w14:textId="77777777" w:rsidR="00EB6C9F" w:rsidRDefault="00000000">
      <w:pPr>
        <w:pStyle w:val="aff5"/>
        <w:spacing w:before="540" w:after="540"/>
        <w:ind w:firstLine="496"/>
        <w:jc w:val="right"/>
        <w:rPr>
          <w:rFonts w:hint="eastAsia"/>
        </w:rPr>
      </w:pPr>
      <w:r>
        <w:rPr>
          <w:rFonts w:hint="eastAsia"/>
        </w:rPr>
        <w:t>（牧簋，集成4343，西周晚期）</w:t>
      </w:r>
    </w:p>
    <w:p w14:paraId="75422F6C" w14:textId="77777777" w:rsidR="00EB6C9F" w:rsidRDefault="00000000">
      <w:pPr>
        <w:pStyle w:val="aff5"/>
        <w:spacing w:before="540" w:after="540"/>
        <w:ind w:firstLine="496"/>
        <w:rPr>
          <w:rFonts w:hint="eastAsia"/>
        </w:rPr>
      </w:pPr>
      <w:r>
        <w:rPr>
          <w:rFonts w:hint="eastAsia"/>
        </w:rPr>
        <w:t>3.善效（教）乃友内（入）𫴎</w:t>
      </w:r>
      <w:r>
        <w:t>（辟），勿事（使）</w:t>
      </w:r>
      <w:r>
        <w:rPr>
          <w:rFonts w:hint="eastAsia"/>
        </w:rPr>
        <w:t>虣</w:t>
      </w:r>
      <w:r>
        <w:t>（暴）虐從（縱）獄，</w:t>
      </w:r>
      <w:r>
        <w:rPr>
          <w:rFonts w:hint="eastAsia"/>
        </w:rPr>
        <w:t>𭆲</w:t>
      </w:r>
      <w:r>
        <w:t>（</w:t>
      </w:r>
      <w:r>
        <w:rPr>
          <w:rFonts w:hint="eastAsia"/>
        </w:rPr>
        <w:t>洵</w:t>
      </w:r>
      <w:r>
        <w:t>）奪</w:t>
      </w:r>
      <w:r>
        <w:rPr>
          <w:rFonts w:hint="eastAsia"/>
        </w:rPr>
        <w:t>𠭯（沮）</w:t>
      </w:r>
      <w:r>
        <w:t>行道</w:t>
      </w:r>
      <w:r>
        <w:rPr>
          <w:rFonts w:hint="eastAsia"/>
        </w:rPr>
        <w:t>，氒（厥）非正命。</w:t>
      </w:r>
      <w:r>
        <w:rPr>
          <w:rStyle w:val="afd"/>
          <w:rFonts w:hint="eastAsia"/>
        </w:rPr>
        <w:endnoteReference w:id="4"/>
      </w:r>
      <w:r>
        <w:rPr>
          <w:rFonts w:hint="eastAsia"/>
        </w:rPr>
        <w:t>廼（乃）</w:t>
      </w:r>
      <w:r>
        <w:t>敢</w:t>
      </w:r>
      <w:bookmarkStart w:id="0" w:name="_Hlk208736955"/>
      <w:r>
        <w:rPr>
          <w:rFonts w:hint="eastAsia"/>
        </w:rPr>
        <w:t>△</w:t>
      </w:r>
      <w:r>
        <w:rPr>
          <w:noProof/>
        </w:rPr>
        <w:drawing>
          <wp:inline distT="0" distB="0" distL="0" distR="0" wp14:anchorId="158710AF" wp14:editId="7997C8E3">
            <wp:extent cx="132715" cy="132715"/>
            <wp:effectExtent l="0" t="0" r="635" b="635"/>
            <wp:docPr id="2004945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4572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t>訊</w:t>
      </w:r>
      <w:r>
        <w:rPr>
          <w:rFonts w:hint="eastAsia"/>
        </w:rPr>
        <w:t>）</w:t>
      </w:r>
      <w:bookmarkEnd w:id="0"/>
      <w:r>
        <w:t>人，則隹（唯）輔</w:t>
      </w:r>
      <w:r>
        <w:rPr>
          <w:rFonts w:hint="eastAsia"/>
        </w:rPr>
        <w:t>。</w:t>
      </w:r>
      <w:r>
        <w:rPr>
          <w:rStyle w:val="afd"/>
          <w:rFonts w:hint="eastAsia"/>
        </w:rPr>
        <w:endnoteReference w:id="5"/>
      </w:r>
    </w:p>
    <w:p w14:paraId="07222EE2" w14:textId="77777777" w:rsidR="00EB6C9F" w:rsidRDefault="00000000">
      <w:pPr>
        <w:pStyle w:val="aff5"/>
        <w:spacing w:before="540" w:after="540"/>
        <w:ind w:firstLine="496"/>
        <w:jc w:val="right"/>
        <w:rPr>
          <w:rFonts w:hint="eastAsia"/>
        </w:rPr>
      </w:pPr>
      <w:r>
        <w:t>（</w:t>
      </w:r>
      <w:r>
        <w:rPr>
          <w:rFonts w:hint="eastAsia"/>
        </w:rPr>
        <w:t>𫮩盨，集成4469，西周晚期</w:t>
      </w:r>
      <w:r>
        <w:t>）</w:t>
      </w:r>
    </w:p>
    <w:p w14:paraId="456D5643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過去，此字的釋讀有以下種意見：（1）釋“侯”，如薛尚功</w:t>
      </w:r>
      <w:r>
        <w:rPr>
          <w:rStyle w:val="afd"/>
          <w:rFonts w:hint="eastAsia"/>
        </w:rPr>
        <w:endnoteReference w:id="6"/>
      </w:r>
      <w:r>
        <w:rPr>
          <w:rFonts w:hint="eastAsia"/>
        </w:rPr>
        <w:t>釋蔡簋、牧簋字，吕大臨</w:t>
      </w:r>
      <w:r>
        <w:rPr>
          <w:rStyle w:val="afd"/>
          <w:rFonts w:hint="eastAsia"/>
        </w:rPr>
        <w:endnoteReference w:id="7"/>
      </w:r>
      <w:r>
        <w:rPr>
          <w:rFonts w:hint="eastAsia"/>
        </w:rPr>
        <w:t>釋牧簋字等；（2）釋“矢”，如薛尚功</w:t>
      </w:r>
      <w:r>
        <w:rPr>
          <w:rStyle w:val="afd"/>
          <w:rFonts w:hint="eastAsia"/>
        </w:rPr>
        <w:endnoteReference w:id="8"/>
      </w:r>
      <w:r>
        <w:rPr>
          <w:rFonts w:hint="eastAsia"/>
        </w:rPr>
        <w:t>釋𫮩盨字等；（3）釋“疾”，如吕大臨</w:t>
      </w:r>
      <w:r>
        <w:rPr>
          <w:rStyle w:val="afd"/>
          <w:rFonts w:hint="eastAsia"/>
        </w:rPr>
        <w:endnoteReference w:id="9"/>
      </w:r>
      <w:r>
        <w:rPr>
          <w:rFonts w:hint="eastAsia"/>
        </w:rPr>
        <w:t>釋𫮩盨字等；（4）釋“𢇻”，如《銘圖》釋文、謝明文</w:t>
      </w:r>
      <w:r>
        <w:rPr>
          <w:rStyle w:val="afd"/>
          <w:rFonts w:hint="eastAsia"/>
        </w:rPr>
        <w:endnoteReference w:id="10"/>
      </w:r>
      <w:r>
        <w:rPr>
          <w:rFonts w:hint="eastAsia"/>
        </w:rPr>
        <w:t>等。</w:t>
      </w:r>
    </w:p>
    <w:p w14:paraId="0E933118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以上意見中，宋人釋“侯”者顯然注意到了該字形與“𥎦（侯）”的相似性，然而就蔡簋△字存在从“广”的情況，西周金文之中卻並不能找不到一個从“广”的“𥎦”字，並且就由商代甲骨文至春秋金</w:t>
      </w:r>
      <w:r>
        <w:rPr>
          <w:rFonts w:hint="eastAsia"/>
        </w:rPr>
        <w:lastRenderedPageBreak/>
        <w:t>文都存在“</w:t>
      </w:r>
      <w:r>
        <w:rPr>
          <w:rFonts w:hint="eastAsia"/>
          <w:noProof/>
        </w:rPr>
        <w:drawing>
          <wp:inline distT="0" distB="0" distL="0" distR="0" wp14:anchorId="4F0298F6" wp14:editId="31B2EFCF">
            <wp:extent cx="138430" cy="132715"/>
            <wp:effectExtent l="0" t="0" r="0" b="635"/>
            <wp:docPr id="10326894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89475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37" cy="13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>”形的“𥎦”字來看，當時人顯然對“𥎦”上所从並非“厂”是非常清楚的，更不會偶然將“厂”形换爲“广”。而若以宋人摹識有誤爲論，如果並非△字上方“广”形明顯，摹者爲何不將此字與其他的“𥎦”字統一，反而重見兩次。況且，同篇銘文中尚有从“厂”作的“</w:t>
      </w:r>
      <w:r>
        <w:rPr>
          <w:noProof/>
        </w:rPr>
        <w:drawing>
          <wp:inline distT="0" distB="0" distL="0" distR="0" wp14:anchorId="38A694E4" wp14:editId="69AACD9C">
            <wp:extent cx="102870" cy="132715"/>
            <wp:effectExtent l="0" t="0" r="0" b="635"/>
            <wp:docPr id="478308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0817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345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”字，其與从“广”作“</w:t>
      </w:r>
      <w:r>
        <w:rPr>
          <w:noProof/>
        </w:rPr>
        <w:drawing>
          <wp:inline distT="0" distB="0" distL="0" distR="0" wp14:anchorId="589ED142" wp14:editId="5FCEA6EB">
            <wp:extent cx="106680" cy="132715"/>
            <wp:effectExtent l="0" t="0" r="7620" b="635"/>
            <wp:docPr id="1939651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5146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734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”等字差異顯著，且這種从“厂”作的“㕇”字尚見于農卣（集成5424，西周中期）作“</w:t>
      </w:r>
      <w:r>
        <w:rPr>
          <w:rFonts w:hint="eastAsia"/>
          <w:noProof/>
        </w:rPr>
        <w:drawing>
          <wp:inline distT="0" distB="0" distL="0" distR="0" wp14:anchorId="15E66C53" wp14:editId="43D675A8">
            <wp:extent cx="138430" cy="132715"/>
            <wp:effectExtent l="0" t="0" r="0" b="635"/>
            <wp:docPr id="154770787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07875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37" cy="13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>”，可見並非誤摹。</w:t>
      </w:r>
    </w:p>
    <w:p w14:paraId="3FCF16A6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《銘圖》等將𫮩盨並不作“广”的△字隸作“𢇻”，或許也是爲與“𥎦（侯）”字相分别。從字形上看，“𢇻”固然是嚴謹且不易混淆的隸定方式，然而除字形之外卻給出没有更多的釋讀思路。在西周金文中，△字在此三器之外再不易得，然而數量有限的宋代金石著録竟然頻繁地出現了四次，此字應當存在更好的釋讀方式。</w:t>
      </w:r>
    </w:p>
    <w:p w14:paraId="06A4A93D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余念姿曾將𫮩盨的“△</w:t>
      </w:r>
      <w:r>
        <w:rPr>
          <w:noProof/>
        </w:rPr>
        <w:drawing>
          <wp:inline distT="0" distB="0" distL="0" distR="0" wp14:anchorId="156C8F24" wp14:editId="00BC1B25">
            <wp:extent cx="132715" cy="132715"/>
            <wp:effectExtent l="0" t="0" r="635" b="635"/>
            <wp:docPr id="982885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8589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t>訊</w:t>
      </w:r>
      <w:r>
        <w:rPr>
          <w:rFonts w:hint="eastAsia"/>
        </w:rPr>
        <w:t>）”與五年琱生簋（集成4292）的“</w:t>
      </w:r>
      <w:r>
        <w:rPr>
          <w:noProof/>
        </w:rPr>
        <w:drawing>
          <wp:inline distT="0" distB="0" distL="0" distR="0" wp14:anchorId="4B69FD5C" wp14:editId="3C297EA0">
            <wp:extent cx="132715" cy="132715"/>
            <wp:effectExtent l="0" t="0" r="635" b="635"/>
            <wp:docPr id="465341720" name="图片 1" descr="画着卡通人物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41720" name="图片 1" descr="画着卡通人物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t>訊</w:t>
      </w:r>
      <w:r>
        <w:rPr>
          <w:rFonts w:hint="eastAsia"/>
        </w:rPr>
        <w:t>）𪠊”相聯繫。</w:t>
      </w:r>
      <w:r>
        <w:rPr>
          <w:rStyle w:val="afd"/>
          <w:rFonts w:hint="eastAsia"/>
        </w:rPr>
        <w:endnoteReference w:id="11"/>
      </w:r>
      <w:r>
        <w:rPr>
          <w:rFonts w:hint="eastAsia"/>
        </w:rPr>
        <w:t>關于後者，裘錫圭先生已指出“訊”當屬上“余既訊”句，與下“𪠊”字並不相連。</w:t>
      </w:r>
      <w:r>
        <w:rPr>
          <w:rStyle w:val="afd"/>
          <w:rFonts w:hint="eastAsia"/>
        </w:rPr>
        <w:endnoteReference w:id="12"/>
      </w:r>
      <w:r>
        <w:rPr>
          <w:rFonts w:hint="eastAsia"/>
        </w:rPr>
        <w:t>儘管如此，余氏將△聯繫“𪠊”仍然是十分富有創見的。</w:t>
      </w:r>
    </w:p>
    <w:p w14:paraId="75FD2ED9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可以觀察到，三器四△字“矢”形上部均爲填實肥厚狀，這與《歷代鐘鼎彝器款識法帖》其餘的“矢”字的處理並不相同，如遲父鐘（集</w:t>
      </w:r>
      <w:r>
        <w:rPr>
          <w:rFonts w:hint="eastAsia"/>
        </w:rPr>
        <w:lastRenderedPageBreak/>
        <w:t>成103）“侯”字作“</w:t>
      </w:r>
      <w:r>
        <w:rPr>
          <w:noProof/>
        </w:rPr>
        <w:drawing>
          <wp:inline distT="0" distB="0" distL="0" distR="0" wp14:anchorId="1EEB9B04" wp14:editId="4FA6A897">
            <wp:extent cx="87630" cy="132715"/>
            <wp:effectExtent l="0" t="0" r="7620" b="635"/>
            <wp:docPr id="1721931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3113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855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”，晋姜鼎（集成2826）“侯”字作“</w:t>
      </w:r>
      <w:r>
        <w:rPr>
          <w:noProof/>
        </w:rPr>
        <w:drawing>
          <wp:inline distT="0" distB="0" distL="0" distR="0" wp14:anchorId="479E9547" wp14:editId="29D19844">
            <wp:extent cx="86995" cy="132715"/>
            <wp:effectExtent l="0" t="0" r="8255" b="635"/>
            <wp:docPr id="96202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266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441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”，禹鼎（集成2834）“侯”字作“</w:t>
      </w:r>
      <w:r>
        <w:rPr>
          <w:noProof/>
        </w:rPr>
        <w:drawing>
          <wp:inline distT="0" distB="0" distL="0" distR="0" wp14:anchorId="68CB2984" wp14:editId="55048B5D">
            <wp:extent cx="78105" cy="132715"/>
            <wp:effectExtent l="0" t="0" r="0" b="635"/>
            <wp:docPr id="1535367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6779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236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”等，</w:t>
      </w:r>
      <w:r>
        <w:rPr>
          <w:rStyle w:val="afd"/>
          <w:rFonts w:hint="eastAsia"/>
        </w:rPr>
        <w:endnoteReference w:id="13"/>
      </w:r>
      <w:r>
        <w:rPr>
          <w:rFonts w:hint="eastAsia"/>
        </w:rPr>
        <w:t>其“矢”形上部均爲兩瘦筆，與此大不相類。我們可以合理推測，所謂“矢”形上部的肥筆實爲“日”形或“口”形與“矢”上兩畫的誤摹。或許宋人以其形狀怪異，又爲迎合自己“侯”的釋法，故將這種“日”形或“口”形填實並與“矢”上兩畫連綴。事實上，真正的肥筆反而很難在宋人摹本間體現，如《法帖》“才”字均作“</w:t>
      </w:r>
      <w:r>
        <w:rPr>
          <w:noProof/>
        </w:rPr>
        <w:drawing>
          <wp:inline distT="0" distB="0" distL="0" distR="0" wp14:anchorId="2A634388" wp14:editId="3D227C97">
            <wp:extent cx="97155" cy="132715"/>
            <wp:effectExtent l="0" t="0" r="0" b="635"/>
            <wp:docPr id="18378052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0521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19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”之類，《考古圖》均作“</w:t>
      </w:r>
      <w:r>
        <w:rPr>
          <w:rFonts w:hint="eastAsia"/>
          <w:noProof/>
        </w:rPr>
        <w:drawing>
          <wp:inline distT="0" distB="0" distL="0" distR="0" wp14:anchorId="6F1291EE" wp14:editId="367558F0">
            <wp:extent cx="134620" cy="132715"/>
            <wp:effectExtent l="0" t="0" r="0" b="635"/>
            <wp:docPr id="19124888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488811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31" cy="13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>
        <w:rPr>
          <w:rFonts w:hint="eastAsia"/>
          <w:noProof/>
        </w:rPr>
        <w:drawing>
          <wp:inline distT="0" distB="0" distL="0" distR="0" wp14:anchorId="4EE1C43B" wp14:editId="4631EB7E">
            <wp:extent cx="142875" cy="132715"/>
            <wp:effectExtent l="0" t="0" r="0" b="635"/>
            <wp:docPr id="8710866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86640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15" cy="13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>”等，皆不體現其肥筆。而且就金文“𪠊”的字形來看，蔡簋和牧簋字中的不同“矢”形正與“𪠊”的兩種字形可以對應，如霸姬盤（考報2</w:t>
      </w:r>
      <w:r>
        <w:t>018</w:t>
      </w:r>
      <w:r>
        <w:rPr>
          <w:rFonts w:hint="eastAsia"/>
        </w:rPr>
        <w:t>(</w:t>
      </w:r>
      <w:r>
        <w:t>2)239</w:t>
      </w:r>
      <w:r>
        <w:rPr>
          <w:rFonts w:hint="eastAsia"/>
        </w:rPr>
        <w:t>頁）作“</w:t>
      </w:r>
      <w:r>
        <w:rPr>
          <w:rFonts w:hint="eastAsia"/>
          <w:noProof/>
        </w:rPr>
        <w:drawing>
          <wp:inline distT="0" distB="0" distL="0" distR="0" wp14:anchorId="0424155F" wp14:editId="775493C2">
            <wp:extent cx="106045" cy="132715"/>
            <wp:effectExtent l="0" t="0" r="8255" b="635"/>
            <wp:docPr id="1" name="图片 1" descr="C:\Users\Administrator\Documents\WeChat Files\wxid_mvs3zh3vtml922\FileStorage\Temp\cb0de5b946f0107664d8bb70f8f3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WeChat Files\wxid_mvs3zh3vtml922\FileStorage\Temp\cb0de5b946f0107664d8bb70f8f390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66" cy="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”，叔多父盤（銘圖1</w:t>
      </w:r>
      <w:r>
        <w:t>4532</w:t>
      </w:r>
      <w:r>
        <w:rPr>
          <w:rFonts w:hint="eastAsia"/>
        </w:rPr>
        <w:t>）作“</w:t>
      </w:r>
      <w:r>
        <w:rPr>
          <w:rFonts w:hint="eastAsia"/>
          <w:noProof/>
        </w:rPr>
        <w:drawing>
          <wp:inline distT="0" distB="0" distL="0" distR="0" wp14:anchorId="02B566CD" wp14:editId="04357A8D">
            <wp:extent cx="111760" cy="132715"/>
            <wp:effectExtent l="0" t="0" r="2540" b="635"/>
            <wp:docPr id="2" name="图片 2" descr="C:\Users\Administrator\Documents\WeChat Files\wxid_mvs3zh3vtml922\FileStorage\Temp\611f2a46676d62fc5bfa5fbdccf1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WeChat Files\wxid_mvs3zh3vtml922\FileStorage\Temp\611f2a46676d62fc5bfa5fbdccf1a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135" cy="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”。就此來看，△或即“𪠊”字。</w:t>
      </w:r>
    </w:p>
    <w:p w14:paraId="0CFB22B0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周忠兵曾聯繫古文字材料將“𪠊”釋爲“廛”，</w:t>
      </w:r>
      <w:r>
        <w:rPr>
          <w:rStyle w:val="afd"/>
          <w:rFonts w:hint="eastAsia"/>
        </w:rPr>
        <w:endnoteReference w:id="14"/>
      </w:r>
      <w:r>
        <w:rPr>
          <w:rFonts w:hint="eastAsia"/>
        </w:rPr>
        <w:t>裘錫圭先生更申此説，結合帥鼎（集成2774）等五器文例，認爲此字記録的是表｛繼續，繼承｝義的｛蟬｝，</w:t>
      </w:r>
      <w:r>
        <w:rPr>
          <w:rStyle w:val="afd"/>
          <w:rFonts w:hint="eastAsia"/>
        </w:rPr>
        <w:endnoteReference w:id="15"/>
      </w:r>
      <w:r>
        <w:rPr>
          <w:rFonts w:hint="eastAsia"/>
        </w:rPr>
        <w:t>文從字順。此外，將此字釋爲“𪠊”也利于解釋蔡簋字形从“广”的原因。《説文·广部》：“廛，一畝半，一家之居。”《孟子·滕文公上》：“願受一廛而爲氓。”從字形上看，“𪠊”本或即爲｛廛｝所造，在此“厂”與“广”的表意功能一致，都是“民居”之形，故可以互易。</w:t>
      </w:r>
    </w:p>
    <w:p w14:paraId="196E6420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lastRenderedPageBreak/>
        <w:t>從文義上看，將此字釋“𪠊”也是合適的。</w:t>
      </w:r>
    </w:p>
    <w:p w14:paraId="3B03DD37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上述三器文中，蔡簋的“△止”與牧簋的“△</w:t>
      </w:r>
      <w:r>
        <w:t>之</w:t>
      </w:r>
      <w:r>
        <w:rPr>
          <w:rFonts w:hint="eastAsia"/>
        </w:rPr>
        <w:t>”相類。前者“止”字作“</w:t>
      </w:r>
      <w:r>
        <w:rPr>
          <w:noProof/>
        </w:rPr>
        <w:drawing>
          <wp:inline distT="0" distB="0" distL="0" distR="0" wp14:anchorId="12AB2FEC" wp14:editId="4C5A19C9">
            <wp:extent cx="131445" cy="132715"/>
            <wp:effectExtent l="0" t="0" r="1905" b="635"/>
            <wp:docPr id="854099920" name="图片 1" descr="图片包含 地毯, 布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99920" name="图片 1" descr="图片包含 地毯, 布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1812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  <w:r>
        <w:t>小克鼎</w:t>
      </w:r>
      <w:r>
        <w:rPr>
          <w:rFonts w:hint="eastAsia"/>
        </w:rPr>
        <w:t>（集成2799）“之”作“</w:t>
      </w:r>
      <w:r>
        <w:rPr>
          <w:rFonts w:hint="eastAsia"/>
          <w:noProof/>
        </w:rPr>
        <w:drawing>
          <wp:inline distT="0" distB="0" distL="0" distR="0" wp14:anchorId="379C134B" wp14:editId="799CE92D">
            <wp:extent cx="139065" cy="132715"/>
            <wp:effectExtent l="0" t="0" r="0" b="635"/>
            <wp:docPr id="956050124" name="图片 7" descr="&amp;32.EB37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50124" name="图片 7" descr="&amp;32.EB37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87" cy="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r>
        <w:t>毛公鼎</w:t>
      </w:r>
      <w:r>
        <w:rPr>
          <w:rFonts w:hint="eastAsia"/>
        </w:rPr>
        <w:t>（</w:t>
      </w:r>
      <w:r>
        <w:t>集成2841</w:t>
      </w:r>
      <w:r>
        <w:rPr>
          <w:rFonts w:hint="eastAsia"/>
        </w:rPr>
        <w:t>）作“</w:t>
      </w:r>
      <w:r>
        <w:rPr>
          <w:rFonts w:hint="eastAsia"/>
          <w:noProof/>
        </w:rPr>
        <w:drawing>
          <wp:inline distT="0" distB="0" distL="0" distR="0" wp14:anchorId="13AA67C0" wp14:editId="0B5AE2BB">
            <wp:extent cx="139065" cy="132715"/>
            <wp:effectExtent l="0" t="0" r="0" b="635"/>
            <wp:docPr id="292395589" name="图片 8" descr="&amp;32.EB39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95589" name="图片 8" descr="&amp;32.EB39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87" cy="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”，比較三者字形，對讀牧簋文例，蔡簋的所謂“止”字當是“之”字誤摹。</w:t>
      </w:r>
    </w:p>
    <w:p w14:paraId="1E4A6CA9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所謂“𪠊（廛－蟬）之”即“續之”或“因之”，類似現代漢語中的“繼續”。《左傳·莊公八年》：“襄公絀之，二人因之以作亂。”這裏的“因之”也即“繼續襄公絀之的動作”。蔡簋提到“善教姜氏人，勿使敢有△之縱獄”，姜氏人從前“縱獄”，故需要被“善教”，之後才能不“蟬之縱獄”，也即不再濫施刑獄。至于前文的“△有入告”，也當理解爲周王委任蔡“出入姜氏命”，不要與從前一樣繼續由人直接“入告”姜氏。這種△被用作副詞，表示｛再／又｝，平行的例子如表示｛繼承／延續｝義的｛仍｝、｛更｝、｛復｝虚化爲副詞的｛再／又｝。</w:t>
      </w:r>
    </w:p>
    <w:p w14:paraId="28375587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牧簋的“△</w:t>
      </w:r>
      <w:r>
        <w:t>之</w:t>
      </w:r>
      <w:r>
        <w:rPr>
          <w:rFonts w:hint="eastAsia"/>
        </w:rPr>
        <w:t>作怨”，意即“繼續讓人怨憤”，其“讓人怨憤”的具體措施也即前文的“不用先王作井刑”等等，繼續這些舉措也就是“蟬之”了。𫮩盨的“敢△</w:t>
      </w:r>
      <w:r>
        <w:t>訊人</w:t>
      </w:r>
      <w:r>
        <w:rPr>
          <w:rFonts w:hint="eastAsia"/>
        </w:rPr>
        <w:t>”也可以理解爲“敢繼續審問犯人”。句首的“廼”表假設，與下句“則”搭配使用。傳世文獻中有這種用</w:t>
      </w:r>
      <w:r>
        <w:rPr>
          <w:rFonts w:hint="eastAsia"/>
        </w:rPr>
        <w:lastRenderedPageBreak/>
        <w:t>法，如《書·費誓》：“乃越逐，不復，汝則有常刑。”《孟子·公孫丑上》：“乃所願，則學孔子也。”“乃敢蟬訊人，則唯輔”也就是“如果還敢繼續審問犯人的話，那麽就好好輔佐周王（也即認真工作）”。“繼續審問”的行爲主體是𫮩的友（同事），他們“暴虐縱獄”，也就曾經參與過審問工作，所以這裹才説“繼續”。</w:t>
      </w:r>
    </w:p>
    <w:p w14:paraId="6DD8F67B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儘管如此，將“𢇻”字的“矢”形上部視爲“日”或“口”形填實缺乏相關對照證據，將“𢇻”釋爲“廛”放入文本也缺乏必然性。筆者學識水平有限，無法解決這些問題，姑置拙論于此，以俟博識者批評指正。</w:t>
      </w:r>
    </w:p>
    <w:p w14:paraId="3774AFBD" w14:textId="77777777" w:rsidR="00EB6C9F" w:rsidRDefault="00000000">
      <w:pPr>
        <w:pStyle w:val="aff4"/>
        <w:ind w:firstLine="562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二、説虢姜簋的“禪”字</w:t>
      </w:r>
    </w:p>
    <w:p w14:paraId="1286C499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宋代著録虢姜簋（集成4182，西周晚期）中有如下句子：</w:t>
      </w:r>
    </w:p>
    <w:p w14:paraId="5730DA60" w14:textId="77777777" w:rsidR="00EB6C9F" w:rsidRDefault="00000000">
      <w:pPr>
        <w:pStyle w:val="aff5"/>
        <w:spacing w:before="540" w:after="540"/>
        <w:ind w:firstLine="496"/>
        <w:rPr>
          <w:rFonts w:hint="eastAsia"/>
        </w:rPr>
      </w:pPr>
      <w:r>
        <w:rPr>
          <w:rFonts w:hint="eastAsia"/>
          <w:lang w:eastAsia="zh-CN"/>
        </w:rPr>
        <w:t>虢姜乍（作）寶𱀵（尊）𣪘（簋），用禪追孝于皇考叀中（仲），𣄨（祈）丐康𬋴、屯（純）右（祐）、通录（禄）、永令（命）。</w:t>
      </w:r>
    </w:p>
    <w:p w14:paraId="083688F1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其中的“禪”字，于省吾、郭沫若以爲取｛祭｝義，</w:t>
      </w:r>
      <w:r>
        <w:rPr>
          <w:rStyle w:val="afd"/>
        </w:rPr>
        <w:endnoteReference w:id="16"/>
      </w:r>
      <w:r>
        <w:rPr>
          <w:rFonts w:hint="eastAsia"/>
        </w:rPr>
        <w:t>張亞初讀爲｛祈｝。</w:t>
      </w:r>
      <w:r>
        <w:rPr>
          <w:rStyle w:val="afd"/>
        </w:rPr>
        <w:endnoteReference w:id="17"/>
      </w:r>
      <w:r>
        <w:rPr>
          <w:rFonts w:hint="eastAsia"/>
        </w:rPr>
        <w:t>賈海生則反對這兩種説法，其依據如下：（1）已適女子爲生父製器祭祀違背周禮，而虢國“必是恪守周禮的典範”，根據禮制推測，“禪”當是指爲壇而祭；（2）殷周金文中並没有“追孝”前加</w:t>
      </w:r>
      <w:r>
        <w:rPr>
          <w:rFonts w:hint="eastAsia"/>
        </w:rPr>
        <w:lastRenderedPageBreak/>
        <w:t>表示｛祭｝的詞的文例，且｛祭｝與“追孝”犯複；（3）《説文》“禪”字“从示，單聲”，單聲與斤聲迥隔，且下文有“𣄨”讀爲“祈”，兩字大異。</w:t>
      </w:r>
      <w:r>
        <w:rPr>
          <w:rStyle w:val="afd"/>
        </w:rPr>
        <w:endnoteReference w:id="18"/>
      </w:r>
    </w:p>
    <w:p w14:paraId="2F3046E4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這些説法都有不小的迷惑性，需要一一辯證。就賈氏第一點而言，我們都已熟知《禮記》等書的成書年代以及它對于西周禮制的歪曲，以傳世文獻推測西周禮制，這無疑是十分有風險的，況且論説虢國“必是恪守周禮的典範”，無論作者所謂“周禮</w:t>
      </w:r>
      <w:r>
        <w:t>”</w:t>
      </w:r>
      <w:r>
        <w:rPr>
          <w:rFonts w:hint="eastAsia"/>
        </w:rPr>
        <w:t>是傳世文獻幻想的還是西周實際存在的，這種説法也缺乏證據，過于武斷。再者，“皇考叀仲”也未必是虢姜的生父。陳昭容女士曾以金文没有用于稱呼丈夫父親的｛舅｝字爲論，結合其餘出嫁女性爲夫家先祖祭祀的情況，認爲所謂“皇考”實際上是指虢姜的公公。</w:t>
      </w:r>
      <w:r>
        <w:rPr>
          <w:rStyle w:val="afd"/>
          <w:rFonts w:hint="eastAsia"/>
        </w:rPr>
        <w:endnoteReference w:id="19"/>
      </w:r>
      <w:r>
        <w:rPr>
          <w:rFonts w:hint="eastAsia"/>
        </w:rPr>
        <w:t>我們知道，金文中存在以“姑公”稱呼夫家父母的做法，如胡叔胡姬簋（集成4062-4067）、遲盨（集成4436）“用</w:t>
      </w:r>
      <w:r>
        <w:t>享孝于其姑公</w:t>
      </w:r>
      <w:r>
        <w:rPr>
          <w:rFonts w:hint="eastAsia"/>
        </w:rPr>
        <w:t>”等。可能有人以此反駁陳説，認爲金文中存在對于丈夫父親的稱謂，然而我們難以找到單獨以“公”稱丈夫父親的辭例，這種“公”恐怕還是先秦對于男子的敬稱，與“姑”連稱方特指爲丈夫的父親。如此，虢姜的製器祭祀對象並非自己的生父，也就談不上違反所謂“西周禮制”，更不必以此論説爲壇而祭。</w:t>
      </w:r>
    </w:p>
    <w:p w14:paraId="6A1C5B4A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其論據的第二點也存在問題。金文中存在于“追孝”前加｛祭｝</w:t>
      </w:r>
      <w:r>
        <w:rPr>
          <w:rFonts w:hint="eastAsia"/>
        </w:rPr>
        <w:lastRenderedPageBreak/>
        <w:t>的文例，虢季鐘（資料庫NA0001-NA0006，春秋早期）：“虢季乍（作）寶，用</w:t>
      </w:r>
      <w:r>
        <w:t>享追孝于其皇考</w:t>
      </w:r>
      <w:r>
        <w:rPr>
          <w:rFonts w:hint="eastAsia"/>
        </w:rPr>
        <w:t>。”至于犯複問題，《爾雅·釋詁下》：“享，孝也。”“享”、“孝”同義，古人並置，根本不存在所謂“犯複”。</w:t>
      </w:r>
      <w:r>
        <w:rPr>
          <w:rStyle w:val="afd"/>
          <w:rFonts w:hint="eastAsia"/>
        </w:rPr>
        <w:endnoteReference w:id="20"/>
      </w:r>
      <w:r>
        <w:rPr>
          <w:rFonts w:hint="eastAsia"/>
        </w:rPr>
        <w:t>當然，這並非直接就可以説“禪”必然取｛祭｝義。</w:t>
      </w:r>
    </w:p>
    <w:p w14:paraId="5CE70424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其第三點，儘管表述方式有以古律今的弊病，但確實指出了“禪”字讀爲｛祈｝的可能性較小。金文中雖然存在讀｛祈｝的“𬀚”字，見于仲柟父鬲（集成746，西周中期）等器，但金文大量存在以“㫃”爲“旂”的情況，這種“𬀚”實際上是以“㫃”爲聲，“單”在此只是意符。且從文例上看，張亞初讀“禪”爲“祈”也是不合適的，金文｛祈｝的賓語幾乎都是福祜，“祈追孝”的類似表達前所未見。</w:t>
      </w:r>
    </w:p>
    <w:p w14:paraId="2596C640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就此看來，賈氏與張氏的意見都不可取，那麽郭沫若的意見如何？我們認爲也是存在問題的。如賈氏已經指出的，“禪”的｛祭｝義並非泛指所有祭祀，從詞源上看，實際來自其｛除地｝義。</w:t>
      </w:r>
      <w:r>
        <w:rPr>
          <w:rStyle w:val="afd"/>
          <w:rFonts w:hint="eastAsia"/>
        </w:rPr>
        <w:endnoteReference w:id="21"/>
      </w:r>
      <w:r>
        <w:rPr>
          <w:rFonts w:hint="eastAsia"/>
        </w:rPr>
        <w:t>我們都知曉“單”、“旦”聲系可通，清華簡《金縢》的“壇”（舊多隸作“</w:t>
      </w:r>
      <w:r>
        <w:rPr>
          <w:noProof/>
        </w:rPr>
        <w:drawing>
          <wp:inline distT="0" distB="0" distL="0" distR="0" wp14:anchorId="38B8D954" wp14:editId="26764A9A">
            <wp:extent cx="132715" cy="132715"/>
            <wp:effectExtent l="0" t="0" r="635" b="635"/>
            <wp:docPr id="525858795" name="图片 1" descr="图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58795" name="图片 1" descr="图标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”）今本直作“墠”。簡牘中存在傳世文獻中常見的“除壇”説法，清華簡《五紀》（49）：“夫是古（故）㕨（凡）攻祝、齋𠉦（宿）、祭祀、</w:t>
      </w:r>
      <w:r>
        <w:rPr>
          <w:noProof/>
        </w:rPr>
        <w:drawing>
          <wp:inline distT="0" distB="0" distL="0" distR="0" wp14:anchorId="2318BCAE" wp14:editId="070B24AC">
            <wp:extent cx="132715" cy="132715"/>
            <wp:effectExtent l="0" t="0" r="635" b="635"/>
            <wp:docPr id="1032784491" name="图片 1" descr="图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84491" name="图片 1" descr="图标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（壇）敘（除）、工（貢）事。”另外，郭店簡《成之聞之》（28）：“及其尃（敷）長而厚大也，則聖人不可由與墠之。”其中的“墠”</w:t>
      </w:r>
      <w:r>
        <w:rPr>
          <w:rFonts w:hint="eastAsia"/>
        </w:rPr>
        <w:lastRenderedPageBreak/>
        <w:t>也取｛除｝義。表示｛免衣｝的“袒”、《玉篇》訓“裸體”的“</w:t>
      </w:r>
      <w:r>
        <w:t>䡀</w:t>
      </w:r>
      <w:r>
        <w:rPr>
          <w:rFonts w:hint="eastAsia"/>
        </w:rPr>
        <w:t>”、訓“</w:t>
      </w:r>
      <w:r>
        <w:t>拂也</w:t>
      </w:r>
      <w:r>
        <w:rPr>
          <w:rFonts w:hint="eastAsia"/>
        </w:rPr>
        <w:t>”的“担”（或作“撣”）也應與該詞同源。並且，我們並不能在“禪”所在的TAN域中找到更多表示｛祭｝的詞了，那麽“禪”的｛祭｝義幾乎必然來自｛除地｝義了。既然如此，作器者爲何不選擇泛指｛祭｝的“享”等字眼，而偏偏選用單指｛除地｝而言的“禪”字來引申泛指呢？如果並非泛指祭祀而言，那麽我們上文已經論證過所謂“爲壇而祭”的不可靠了。如此，郭説一樣不可取。</w:t>
      </w:r>
    </w:p>
    <w:p w14:paraId="244051AE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我們注意到這樣一種文例：</w:t>
      </w:r>
    </w:p>
    <w:p w14:paraId="528A3E2D" w14:textId="77777777" w:rsidR="00EB6C9F" w:rsidRDefault="00EB6C9F">
      <w:pPr>
        <w:rPr>
          <w:rFonts w:hint="eastAsia"/>
        </w:rPr>
      </w:pPr>
    </w:p>
    <w:p w14:paraId="1C802682" w14:textId="77777777" w:rsidR="00EB6C9F" w:rsidRDefault="00000000">
      <w:pPr>
        <w:pStyle w:val="aff5"/>
        <w:spacing w:before="540" w:after="540"/>
        <w:ind w:firstLine="496"/>
        <w:rPr>
          <w:rFonts w:hint="eastAsia"/>
        </w:rPr>
      </w:pPr>
      <w:r>
        <w:rPr>
          <w:rFonts w:hint="eastAsia"/>
        </w:rPr>
        <w:t>余用卲（昭）追孝于皇……</w:t>
      </w:r>
    </w:p>
    <w:p w14:paraId="7B51FAC0" w14:textId="77777777" w:rsidR="00EB6C9F" w:rsidRDefault="00000000">
      <w:pPr>
        <w:pStyle w:val="aff5"/>
        <w:spacing w:before="540" w:after="540"/>
        <w:ind w:firstLine="496"/>
        <w:jc w:val="right"/>
        <w:rPr>
          <w:rFonts w:hint="eastAsia"/>
        </w:rPr>
      </w:pPr>
      <w:r>
        <w:rPr>
          <w:rFonts w:hint="eastAsia"/>
        </w:rPr>
        <w:t>（戎生鐘，資料庫NA1617，西周晚期）</w:t>
      </w:r>
    </w:p>
    <w:p w14:paraId="130D9A6E" w14:textId="77777777" w:rsidR="00EB6C9F" w:rsidRDefault="00EB6C9F">
      <w:pPr>
        <w:rPr>
          <w:rFonts w:hint="eastAsia"/>
        </w:rPr>
      </w:pPr>
    </w:p>
    <w:p w14:paraId="0BEA190C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其中將“卲”冠于“追孝”之前。這種將“追孝”與“卲”並提的文例有很多，試舉幾例：</w:t>
      </w:r>
    </w:p>
    <w:p w14:paraId="2ECFA5D8" w14:textId="77777777" w:rsidR="00EB6C9F" w:rsidRDefault="00000000">
      <w:pPr>
        <w:pStyle w:val="aff5"/>
        <w:spacing w:before="540" w:after="540"/>
        <w:ind w:firstLine="496"/>
        <w:rPr>
          <w:rFonts w:hint="eastAsia"/>
        </w:rPr>
      </w:pPr>
      <w:r>
        <w:rPr>
          <w:rFonts w:hint="eastAsia"/>
        </w:rPr>
        <w:t>1.用追孝于己白（伯），用</w:t>
      </w:r>
      <w:r>
        <w:t>享大宗，用濼（樂）好</w:t>
      </w:r>
      <w:r>
        <w:rPr>
          <w:rFonts w:hint="eastAsia"/>
        </w:rPr>
        <w:t>𡧊</w:t>
      </w:r>
      <w:r>
        <w:t>（賓），虘眔</w:t>
      </w:r>
      <w:r>
        <w:rPr>
          <w:rFonts w:hint="eastAsia"/>
        </w:rPr>
        <w:t>（洎）</w:t>
      </w:r>
      <w:r>
        <w:t>蔡姬永寶，用卲</w:t>
      </w:r>
      <w:r>
        <w:rPr>
          <w:rFonts w:hint="eastAsia"/>
        </w:rPr>
        <w:t>（昭）</w:t>
      </w:r>
      <w:r>
        <w:t>大宗。</w:t>
      </w:r>
    </w:p>
    <w:p w14:paraId="6F1A2A0E" w14:textId="77777777" w:rsidR="00EB6C9F" w:rsidRDefault="00000000">
      <w:pPr>
        <w:pStyle w:val="aff5"/>
        <w:spacing w:before="540" w:after="540"/>
        <w:ind w:firstLine="496"/>
        <w:jc w:val="right"/>
        <w:rPr>
          <w:rFonts w:hint="eastAsia"/>
        </w:rPr>
      </w:pPr>
      <w:r>
        <w:rPr>
          <w:rFonts w:hint="eastAsia"/>
        </w:rPr>
        <w:t>（虘鐘，集成88，西周中期）</w:t>
      </w:r>
    </w:p>
    <w:p w14:paraId="59CC4C14" w14:textId="77777777" w:rsidR="00EB6C9F" w:rsidRDefault="00000000">
      <w:pPr>
        <w:pStyle w:val="aff5"/>
        <w:spacing w:before="540" w:after="540"/>
        <w:ind w:firstLine="496"/>
        <w:rPr>
          <w:rFonts w:hint="eastAsia"/>
        </w:rPr>
      </w:pPr>
      <w:r>
        <w:rPr>
          <w:rFonts w:hint="eastAsia"/>
        </w:rPr>
        <w:lastRenderedPageBreak/>
        <w:t>2.追孝于高且（祖）辛公、文且（祖）乙公、皇考丁公，龢金𫓞</w:t>
      </w:r>
      <w:r>
        <w:t>（林）鐘，用卲</w:t>
      </w:r>
      <w:r>
        <w:rPr>
          <w:rFonts w:hint="eastAsia"/>
        </w:rPr>
        <w:t>（昭）</w:t>
      </w:r>
      <w:r>
        <w:t>各</w:t>
      </w:r>
      <w:r>
        <w:rPr>
          <w:rFonts w:hint="eastAsia"/>
        </w:rPr>
        <w:t>（格）</w:t>
      </w:r>
      <w:r>
        <w:t>喜侃樂前文人</w:t>
      </w:r>
      <w:r>
        <w:rPr>
          <w:rFonts w:hint="eastAsia"/>
        </w:rPr>
        <w:t>。</w:t>
      </w:r>
    </w:p>
    <w:p w14:paraId="0D8F71D0" w14:textId="77777777" w:rsidR="00EB6C9F" w:rsidRDefault="00000000">
      <w:pPr>
        <w:pStyle w:val="aff5"/>
        <w:spacing w:before="540" w:after="540"/>
        <w:ind w:firstLine="496"/>
        <w:jc w:val="right"/>
        <w:rPr>
          <w:rFonts w:hint="eastAsia"/>
        </w:rPr>
      </w:pPr>
      <w:r>
        <w:rPr>
          <w:rFonts w:hint="eastAsia"/>
        </w:rPr>
        <w:t>（𤼈鐘，集成246，西周中期）</w:t>
      </w:r>
    </w:p>
    <w:p w14:paraId="530DE42C" w14:textId="77777777" w:rsidR="00EB6C9F" w:rsidRDefault="00000000">
      <w:pPr>
        <w:pStyle w:val="aff5"/>
        <w:spacing w:before="540" w:after="540"/>
        <w:ind w:firstLine="496"/>
        <w:rPr>
          <w:rFonts w:hint="eastAsia"/>
        </w:rPr>
      </w:pPr>
      <w:r>
        <w:rPr>
          <w:rFonts w:hint="eastAsia"/>
        </w:rPr>
        <w:t>3.用追孝、</w:t>
      </w:r>
      <w:r>
        <w:rPr>
          <w:noProof/>
        </w:rPr>
        <w:drawing>
          <wp:inline distT="0" distB="0" distL="0" distR="0" wp14:anchorId="518A9C92" wp14:editId="4DA56ED2">
            <wp:extent cx="132715" cy="132715"/>
            <wp:effectExtent l="0" t="0" r="635" b="635"/>
            <wp:docPr id="1980832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32643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（敦）</w:t>
      </w:r>
      <w:r>
        <w:t>祀</w:t>
      </w:r>
      <w:r>
        <w:rPr>
          <w:rFonts w:hint="eastAsia"/>
        </w:rPr>
        <w:t>、</w:t>
      </w:r>
      <w:r>
        <w:t>卲</w:t>
      </w:r>
      <w:r>
        <w:rPr>
          <w:rFonts w:hint="eastAsia"/>
        </w:rPr>
        <w:t>（昭）</w:t>
      </w:r>
      <w:r>
        <w:t>各</w:t>
      </w:r>
      <w:r>
        <w:rPr>
          <w:rFonts w:hint="eastAsia"/>
        </w:rPr>
        <w:t>（格）</w:t>
      </w:r>
      <w:r>
        <w:t>樂大神</w:t>
      </w:r>
      <w:r>
        <w:rPr>
          <w:rFonts w:hint="eastAsia"/>
        </w:rPr>
        <w:t>。</w:t>
      </w:r>
    </w:p>
    <w:p w14:paraId="56F73AE2" w14:textId="77777777" w:rsidR="00EB6C9F" w:rsidRDefault="00000000">
      <w:pPr>
        <w:pStyle w:val="aff5"/>
        <w:spacing w:before="540" w:after="540"/>
        <w:ind w:firstLine="496"/>
        <w:jc w:val="right"/>
        <w:rPr>
          <w:rFonts w:hint="eastAsia"/>
        </w:rPr>
      </w:pPr>
      <w:r>
        <w:rPr>
          <w:rFonts w:hint="eastAsia"/>
        </w:rPr>
        <w:t>（𤼈鐘，集成247，西周中期）</w:t>
      </w:r>
    </w:p>
    <w:p w14:paraId="659AD434" w14:textId="77777777" w:rsidR="00EB6C9F" w:rsidRDefault="00000000">
      <w:pPr>
        <w:pStyle w:val="aff5"/>
        <w:spacing w:before="540" w:after="540"/>
        <w:ind w:firstLine="496"/>
        <w:rPr>
          <w:rFonts w:hint="eastAsia"/>
        </w:rPr>
      </w:pPr>
      <w:r>
        <w:rPr>
          <w:rFonts w:hint="eastAsia"/>
        </w:rPr>
        <w:t>4.用追孝、卲（昭）各（格）、喜侃前文人。</w:t>
      </w:r>
    </w:p>
    <w:p w14:paraId="7FCBC280" w14:textId="77777777" w:rsidR="00EB6C9F" w:rsidRDefault="00000000">
      <w:pPr>
        <w:pStyle w:val="aff5"/>
        <w:spacing w:before="540" w:after="540"/>
        <w:ind w:firstLine="496"/>
        <w:jc w:val="right"/>
        <w:rPr>
          <w:rFonts w:hint="eastAsia"/>
        </w:rPr>
      </w:pPr>
      <w:r>
        <w:rPr>
          <w:rFonts w:hint="eastAsia"/>
        </w:rPr>
        <w:t>（逑鐘，資料庫NA0772，西周晚期）</w:t>
      </w:r>
    </w:p>
    <w:p w14:paraId="46F1B31E" w14:textId="77777777" w:rsidR="00EB6C9F" w:rsidRDefault="00EB6C9F">
      <w:pPr>
        <w:rPr>
          <w:rFonts w:hint="eastAsia"/>
        </w:rPr>
      </w:pPr>
    </w:p>
    <w:p w14:paraId="4171613C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以此觀之，這種當與“卲各”之“卲”同義。陳英杰通過大量辭例分析認爲，這種“卲”實際上即是｛昭明，昭彰｝之義。</w:t>
      </w:r>
      <w:r>
        <w:rPr>
          <w:rStyle w:val="afd"/>
          <w:rFonts w:hint="eastAsia"/>
        </w:rPr>
        <w:endnoteReference w:id="22"/>
      </w:r>
      <w:r>
        <w:rPr>
          <w:rFonts w:hint="eastAsia"/>
        </w:rPr>
        <w:t>我們認爲這種看法是合理的。那麽TAN域中是否存在一個類似的詞呢？答案是肯定的。《易·繫辭下》：“夫《易》彰往而察來，而微顯闡幽。”韓康伯注：“闡，明也。”《慧琳音義》卷八十七“咸闡”注引韓康伯注《周易》：“闡，揚也。”又《廣雅·釋詁四》：“僤，明也。”又《淮南子·天文》：“太陰在卯，歲名曰‘單閼’。”高誘注：“單，讀明揚之明。”由此，我們認爲，虢姜簋“禪”所記録的正是表示｛明揚彰顯｝的｛闡｝一詞，所謂“禪追孝”也即“追孝昭格”之義。</w:t>
      </w:r>
    </w:p>
    <w:p w14:paraId="35AC24BF" w14:textId="77777777" w:rsidR="00EB6C9F" w:rsidRDefault="00000000">
      <w:pPr>
        <w:pStyle w:val="aff4"/>
        <w:ind w:firstLine="562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三、論</w:t>
      </w:r>
      <w:r>
        <w:rPr>
          <w:b/>
          <w:bCs/>
        </w:rPr>
        <w:t>TAN域中的一個詞族</w:t>
      </w:r>
    </w:p>
    <w:p w14:paraId="280A8715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lastRenderedPageBreak/>
        <w:t>如果繼續探討TAN域與“卲／昭”所在的TAU域的關係，我們可以發現兩者存在一種平行的對應關係。我們略舉一些例子：</w:t>
      </w:r>
    </w:p>
    <w:p w14:paraId="36ED0659" w14:textId="77777777" w:rsidR="00EB6C9F" w:rsidRDefault="00EB6C9F">
      <w:pPr>
        <w:rPr>
          <w:rFonts w:hint="eastAsia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129"/>
        <w:gridCol w:w="3544"/>
        <w:gridCol w:w="3623"/>
      </w:tblGrid>
      <w:tr w:rsidR="00EB6C9F" w14:paraId="3581DD73" w14:textId="77777777">
        <w:tc>
          <w:tcPr>
            <w:tcW w:w="1129" w:type="dxa"/>
            <w:vAlign w:val="center"/>
          </w:tcPr>
          <w:p w14:paraId="3E195661" w14:textId="77777777" w:rsidR="00EB6C9F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詞義</w:t>
            </w:r>
          </w:p>
        </w:tc>
        <w:tc>
          <w:tcPr>
            <w:tcW w:w="3544" w:type="dxa"/>
            <w:vAlign w:val="center"/>
          </w:tcPr>
          <w:p w14:paraId="6D139D1B" w14:textId="77777777" w:rsidR="00EB6C9F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i/>
                <w:iCs/>
              </w:rPr>
              <w:t>TAU</w:t>
            </w:r>
            <w:r>
              <w:rPr>
                <w:rFonts w:hint="eastAsia"/>
              </w:rPr>
              <w:t>域</w:t>
            </w:r>
          </w:p>
        </w:tc>
        <w:tc>
          <w:tcPr>
            <w:tcW w:w="3623" w:type="dxa"/>
            <w:vAlign w:val="center"/>
          </w:tcPr>
          <w:p w14:paraId="247EF4CB" w14:textId="77777777" w:rsidR="00EB6C9F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i/>
                <w:iCs/>
              </w:rPr>
              <w:t>TAN</w:t>
            </w:r>
            <w:r>
              <w:rPr>
                <w:rFonts w:hint="eastAsia"/>
              </w:rPr>
              <w:t>域</w:t>
            </w:r>
          </w:p>
        </w:tc>
      </w:tr>
      <w:tr w:rsidR="00EB6C9F" w14:paraId="73191EDF" w14:textId="77777777">
        <w:tc>
          <w:tcPr>
            <w:tcW w:w="1129" w:type="dxa"/>
            <w:vAlign w:val="center"/>
          </w:tcPr>
          <w:p w14:paraId="5219461D" w14:textId="77777777" w:rsidR="00EB6C9F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｛明｝</w:t>
            </w:r>
          </w:p>
        </w:tc>
        <w:tc>
          <w:tcPr>
            <w:tcW w:w="3544" w:type="dxa"/>
            <w:vAlign w:val="center"/>
          </w:tcPr>
          <w:p w14:paraId="2EA3AF5C" w14:textId="77777777" w:rsidR="00EB6C9F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《爾雅·釋詁下》：“昭，光也。”</w:t>
            </w:r>
          </w:p>
          <w:p w14:paraId="588B3AAE" w14:textId="77777777" w:rsidR="00EB6C9F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《詩·大雅·既醉》：“君子萬年，介爾昭明。”</w:t>
            </w:r>
          </w:p>
        </w:tc>
        <w:tc>
          <w:tcPr>
            <w:tcW w:w="3623" w:type="dxa"/>
            <w:vAlign w:val="center"/>
          </w:tcPr>
          <w:p w14:paraId="70571261" w14:textId="77777777" w:rsidR="00EB6C9F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《廣雅·釋詁四》：“僤，明也。”</w:t>
            </w:r>
          </w:p>
          <w:p w14:paraId="57690607" w14:textId="77777777" w:rsidR="00EB6C9F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《易·繫辭下》：“夫《易》彰往而察來，而微顯闡幽。”</w:t>
            </w:r>
          </w:p>
        </w:tc>
      </w:tr>
      <w:tr w:rsidR="00EB6C9F" w14:paraId="555A6A2D" w14:textId="77777777">
        <w:tc>
          <w:tcPr>
            <w:tcW w:w="1129" w:type="dxa"/>
            <w:vAlign w:val="center"/>
          </w:tcPr>
          <w:p w14:paraId="25C2332B" w14:textId="77777777" w:rsidR="00EB6C9F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｛揚｝</w:t>
            </w:r>
          </w:p>
        </w:tc>
        <w:tc>
          <w:tcPr>
            <w:tcW w:w="3544" w:type="dxa"/>
            <w:vAlign w:val="center"/>
          </w:tcPr>
          <w:p w14:paraId="2631D0AA" w14:textId="77777777" w:rsidR="00EB6C9F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《爾雅·釋詁下》：“昭，見也。”</w:t>
            </w:r>
          </w:p>
          <w:p w14:paraId="601ECDA4" w14:textId="77777777" w:rsidR="00EB6C9F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《左傳·桓公二年》：“故昭令德以示子孫。”</w:t>
            </w:r>
          </w:p>
        </w:tc>
        <w:tc>
          <w:tcPr>
            <w:tcW w:w="3623" w:type="dxa"/>
            <w:vAlign w:val="center"/>
          </w:tcPr>
          <w:p w14:paraId="18C3FC26" w14:textId="77777777" w:rsidR="00EB6C9F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《慧琳音義》卷八十七“咸闡”注引韓康伯注《周易》：“闡，揚也。”</w:t>
            </w:r>
          </w:p>
          <w:p w14:paraId="31AD030A" w14:textId="77777777" w:rsidR="00EB6C9F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《吕氏春秋·決勝》：“隱則勝闡矣，微則勝顯矣。”</w:t>
            </w:r>
          </w:p>
        </w:tc>
      </w:tr>
      <w:tr w:rsidR="00EB6C9F" w14:paraId="2DB26AAF" w14:textId="77777777">
        <w:tc>
          <w:tcPr>
            <w:tcW w:w="1129" w:type="dxa"/>
            <w:vAlign w:val="center"/>
          </w:tcPr>
          <w:p w14:paraId="08A82E7F" w14:textId="77777777" w:rsidR="00EB6C9F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｛繼｝</w:t>
            </w:r>
          </w:p>
        </w:tc>
        <w:tc>
          <w:tcPr>
            <w:tcW w:w="3544" w:type="dxa"/>
            <w:vAlign w:val="center"/>
          </w:tcPr>
          <w:p w14:paraId="370C7210" w14:textId="77777777" w:rsidR="00EB6C9F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《爾雅·釋詁上》：“紹，繼也。”</w:t>
            </w:r>
          </w:p>
          <w:p w14:paraId="7380A4EE" w14:textId="77777777" w:rsidR="00EB6C9F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《書·盤庚上》：“紹復先王之大業。”</w:t>
            </w:r>
          </w:p>
        </w:tc>
        <w:tc>
          <w:tcPr>
            <w:tcW w:w="3623" w:type="dxa"/>
            <w:vAlign w:val="center"/>
          </w:tcPr>
          <w:p w14:paraId="2944257D" w14:textId="77777777" w:rsidR="00EB6C9F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《方言》卷一：“蟬，續也。”</w:t>
            </w:r>
          </w:p>
          <w:p w14:paraId="365EFCF6" w14:textId="77777777" w:rsidR="00EB6C9F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《集韻·𤣗韻》：“𧾍，循也。”</w:t>
            </w:r>
          </w:p>
          <w:p w14:paraId="751B26F5" w14:textId="77777777" w:rsidR="00EB6C9F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《方言》卷十二：“躔，循也。”</w:t>
            </w:r>
          </w:p>
        </w:tc>
      </w:tr>
    </w:tbl>
    <w:p w14:paraId="30B381C9" w14:textId="77777777" w:rsidR="00EB6C9F" w:rsidRDefault="00EB6C9F">
      <w:pPr>
        <w:rPr>
          <w:rFonts w:hint="eastAsia"/>
        </w:rPr>
      </w:pPr>
    </w:p>
    <w:p w14:paraId="7186B70F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參考TAU域的“昭”，如果在TAN域内尋找｛光明｝，那麽很容易聯想到這種詞義應當來自“旦”。我們上文提到表示｛除地｝的“墠”、表示｛免衣｝的“袒”和表示｛拂｝的“撣”，它們核心義也可理解爲｛裸露｝。“墠”是使土地裸露，“袒”是使身體裸露，“撣”是使被灰塵遮蓋的物體裸露。這種｛裸露｝義大約也來自｛光｝，也即“使某見于光”，這也可以解釋“昭”訓“見也”的緣故。此外，TAN域存在訓｛厚大｝的“單”“亶”等字。《説文·吅部》：“單，大也。”《爾雅·釋詁下》：“亶，厚也。”我們都知道“光”與“廣”的關係。《易·坤》：“含弘光大，品物咸亨。”這種訓｛大｝也應與｛光明｝</w:t>
      </w:r>
      <w:r>
        <w:rPr>
          <w:rFonts w:hint="eastAsia"/>
        </w:rPr>
        <w:lastRenderedPageBreak/>
        <w:t>有關。</w:t>
      </w:r>
    </w:p>
    <w:p w14:paraId="5829BFBF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從｛明｝到｛揚｝的轉喻並不難理解。《淮南子·覽冥》：“不彰其功，不揚其聲，隱真人之道，以從天地之固然。”高誘注：“‘彰’、‘揚’皆明也。”《詩·大雅·既醉》：“介爾昭明。”朱熹集傳：“昭明，猶光大也。”至今我們也常説“發揚光大”。由｛揚｝至｛繼｝也是有跡可循的，《爾雅·釋詁下》：“揚，續也。”發揚某人的功績美德需要繼承該種美德，兩者相輔相成。裘錫圭先生曾將霸姬盤的“爯”讀爲｛稱｝，訓｛繼承｝。</w:t>
      </w:r>
      <w:r>
        <w:rPr>
          <w:rStyle w:val="afd"/>
        </w:rPr>
        <w:endnoteReference w:id="23"/>
      </w:r>
      <w:r>
        <w:rPr>
          <w:rFonts w:hint="eastAsia"/>
        </w:rPr>
        <w:t>《説文·人部》：“偁，揚也。”即便在現代漢語中，“發揚”以及“繼承”的意義也依舊息息相關。就此而言，TAN域及TAU域中這些詞分别構成一個詞族。</w:t>
      </w:r>
    </w:p>
    <w:p w14:paraId="54ADE19F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上古有聯綿詞“輾轉”。《楚辭·離騷》：“邅吾道夫崑崙兮。”王逸注：“邅，轉也。楚人名‘轉’曰‘邅’。”《漢書·賈誼傳》：“變化而嬗。”顔師古注引蘇林：“嬗，相傳與也。”《淮南子·鏐稱》：“禪於家國。”高誘注：“禪，傳也。”前人頗以此類字讀爲｛傳｝或｛轉｝，然而後者諧聲域在TON域，無法與TAN域相通。裘錫圭先生説：“由前付後曰傳，由後繼前曰續，義實相因，訓續之‘蟬’與訓傳之‘嬗’，當由一語分化。”</w:t>
      </w:r>
      <w:r>
        <w:rPr>
          <w:rStyle w:val="afd"/>
        </w:rPr>
        <w:endnoteReference w:id="24"/>
      </w:r>
      <w:r>
        <w:rPr>
          <w:rFonts w:hint="eastAsia"/>
        </w:rPr>
        <w:t>可從。</w:t>
      </w:r>
    </w:p>
    <w:p w14:paraId="2DB5656F" w14:textId="77777777" w:rsidR="00EB6C9F" w:rsidRDefault="00000000">
      <w:pPr>
        <w:pStyle w:val="aff4"/>
        <w:ind w:firstLine="560"/>
        <w:rPr>
          <w:rFonts w:hint="eastAsia"/>
        </w:rPr>
      </w:pPr>
      <w:r>
        <w:rPr>
          <w:rFonts w:hint="eastAsia"/>
        </w:rPr>
        <w:t>先前的學者對于古文字“廛”字的讀法争論不休，除去裘錫圭先</w:t>
      </w:r>
      <w:r>
        <w:rPr>
          <w:rFonts w:hint="eastAsia"/>
        </w:rPr>
        <w:lastRenderedPageBreak/>
        <w:t>生的意見讀｛蟬｝在上文提及，排除以爲虚詞的看法，剩餘的釋讀意見如薛培武、張飛讀｛展｝，訓｛宣揚｝，</w:t>
      </w:r>
      <w:r>
        <w:rPr>
          <w:rStyle w:val="afd"/>
        </w:rPr>
        <w:endnoteReference w:id="25"/>
      </w:r>
      <w:r>
        <w:rPr>
          <w:rFonts w:hint="eastAsia"/>
        </w:rPr>
        <w:t>蔡一峰讀｛躔｝，訓｛循｝</w:t>
      </w:r>
      <w:r>
        <w:rPr>
          <w:rStyle w:val="afd"/>
        </w:rPr>
        <w:endnoteReference w:id="26"/>
      </w:r>
      <w:r>
        <w:rPr>
          <w:rFonts w:hint="eastAsia"/>
        </w:rPr>
        <w:t>等。這些説法誠然是有道理的，對于詞義探查也是敏鋭的，但卻互相指爲意見不合。實際上，這些讀法所在的詞族都不外乎我們在上文提到的這個TAN域的詞族，它們詞義同源也便相近，先前的學者没有注意到這點，因而産生諸多分歧。現在，我們已經指出來它們的同源關係，如果取消“字本位”的思考方式，這種争論也就可以停止了。</w:t>
      </w:r>
    </w:p>
    <w:p w14:paraId="2301108B" w14:textId="77777777" w:rsidR="00EB6C9F" w:rsidRDefault="00000000">
      <w:pPr>
        <w:pStyle w:val="aff4"/>
        <w:ind w:firstLine="560"/>
        <w:jc w:val="right"/>
        <w:rPr>
          <w:rFonts w:hint="eastAsia"/>
        </w:rPr>
      </w:pPr>
      <w:r>
        <w:rPr>
          <w:rFonts w:hint="eastAsia"/>
        </w:rPr>
        <w:t>珍帚</w:t>
      </w:r>
    </w:p>
    <w:p w14:paraId="7AE46754" w14:textId="77777777" w:rsidR="00EB6C9F" w:rsidRDefault="00000000">
      <w:pPr>
        <w:pStyle w:val="aff4"/>
        <w:ind w:firstLine="560"/>
        <w:jc w:val="right"/>
        <w:rPr>
          <w:rFonts w:hint="eastAsia"/>
        </w:rPr>
      </w:pPr>
      <w:r>
        <w:rPr>
          <w:rFonts w:hint="eastAsia"/>
        </w:rPr>
        <w:t>2</w:t>
      </w:r>
      <w:r>
        <w:t>025</w:t>
      </w:r>
      <w:r>
        <w:rPr>
          <w:rFonts w:hint="eastAsia"/>
        </w:rPr>
        <w:t>年9月</w:t>
      </w:r>
    </w:p>
    <w:p w14:paraId="275D029E" w14:textId="77777777" w:rsidR="00EB6C9F" w:rsidRDefault="00EB6C9F">
      <w:pPr>
        <w:jc w:val="right"/>
        <w:rPr>
          <w:rFonts w:hint="eastAsia"/>
        </w:rPr>
      </w:pPr>
    </w:p>
    <w:p w14:paraId="363A400A" w14:textId="77777777" w:rsidR="00EB6C9F" w:rsidRDefault="00000000">
      <w:pPr>
        <w:pStyle w:val="aff5"/>
        <w:spacing w:before="540" w:after="540"/>
        <w:ind w:firstLine="496"/>
        <w:rPr>
          <w:rFonts w:hint="eastAsia"/>
        </w:rPr>
      </w:pPr>
      <w:r>
        <w:rPr>
          <w:rFonts w:hint="eastAsia"/>
        </w:rPr>
        <w:t>本文初稿蒙“布之道”先生審閲指正，謹致謝忱。先生敏鋭地指出了拙文第一部分存在的問題，如上文所述，筆者目前學力有限，暫時無法妥善解決這些問題。鑑于目前學界對宋代金文摹本的整體性研究尚屬缺乏，筆者不揣謭陋，仍願以此文抛磚引玉，懇請方家不吝賜教。</w:t>
      </w:r>
    </w:p>
    <w:p w14:paraId="73B794E6" w14:textId="77777777" w:rsidR="00EB6C9F" w:rsidRDefault="00EB6C9F">
      <w:pPr>
        <w:pStyle w:val="aff5"/>
        <w:spacing w:before="540" w:after="540"/>
        <w:ind w:firstLine="496"/>
        <w:rPr>
          <w:rFonts w:ascii="宋体" w:eastAsia="宋体" w:hAnsi="宋体" w:cs="宋体" w:hint="eastAsia"/>
          <w:lang w:eastAsia="zh-CN"/>
        </w:rPr>
      </w:pPr>
    </w:p>
    <w:sectPr w:rsidR="00EB6C9F">
      <w:headerReference w:type="default" r:id="rId30"/>
      <w:footerReference w:type="even" r:id="rId31"/>
      <w:footerReference w:type="default" r:id="rId32"/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D200D" w14:textId="77777777" w:rsidR="00595126" w:rsidRDefault="00595126">
      <w:pPr>
        <w:rPr>
          <w:rFonts w:hint="eastAsia"/>
        </w:rPr>
      </w:pPr>
      <w:r>
        <w:separator/>
      </w:r>
    </w:p>
  </w:endnote>
  <w:endnote w:type="continuationSeparator" w:id="0">
    <w:p w14:paraId="79119EC4" w14:textId="77777777" w:rsidR="00595126" w:rsidRDefault="00595126">
      <w:pPr>
        <w:rPr>
          <w:rFonts w:hint="eastAsia"/>
        </w:rPr>
      </w:pPr>
      <w:r>
        <w:continuationSeparator/>
      </w:r>
    </w:p>
  </w:endnote>
  <w:endnote w:id="1">
    <w:p w14:paraId="235F4D02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薛尚功：《宋刻宋拓〈歷代鐘鼎彝器款識法帖〉輯存》，中華書局，2021年，第153、164、178頁。</w:t>
      </w:r>
    </w:p>
  </w:endnote>
  <w:endnote w:id="2">
    <w:p w14:paraId="1A19FDA0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張崇禮：《談談古文字中“粦”字的讀法》，復旦大學出土文獻與古文字研究中心網站，2020年9月3日。</w:t>
      </w:r>
    </w:p>
  </w:endnote>
  <w:endnote w:id="3">
    <w:p w14:paraId="7223A9EE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謝明文：《牧簋“耤”字補説》，《中國文字研究》，2016年第2期，第50-52頁。</w:t>
      </w:r>
    </w:p>
  </w:endnote>
  <w:endnote w:id="4">
    <w:p w14:paraId="5D3B0240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此句的讀法將另行撰文討論。</w:t>
      </w:r>
    </w:p>
  </w:endnote>
  <w:endnote w:id="5">
    <w:p w14:paraId="3BD23594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後有“天降喪”句，前人多與“隹輔”句相屬，然而“輔”字意義不明。若讀“輔”爲“溥”，將之認爲是“天”的定語，則不符合西周金文分别以“尃”、“甫”爲聲之字的習慣。此句可與叔夷鐘（集成276）“伊少（小）臣隹（唯）輔”句對讀，兩者同樣省略了“輔”的對象，也即王，又由于牧簋“則唯輔”是祈使語氣，應當進行“輔”的主體“牧”也被隱去，故造成了一定的釋讀困難。</w:t>
      </w:r>
    </w:p>
  </w:endnote>
  <w:endnote w:id="6">
    <w:p w14:paraId="0A5E50ED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薛尚功：《宋刻宋拓〈歷代鐘鼎彝器款識法帖〉輯存》，中華書局，2021年，第154、165頁。</w:t>
      </w:r>
    </w:p>
  </w:endnote>
  <w:endnote w:id="7">
    <w:p w14:paraId="5F5345A0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費文彬：《吕大臨〈考古圖〉十卷校疏》，復旦大學出土文獻與古文字研究中心網站，2025年7月19日。</w:t>
      </w:r>
    </w:p>
  </w:endnote>
  <w:endnote w:id="8">
    <w:p w14:paraId="18A2E770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薛尚功：《宋刻宋拓〈歷代鐘鼎彝器款識法帖〉輯存》，中華書局，2021年，第179頁。</w:t>
      </w:r>
    </w:p>
  </w:endnote>
  <w:endnote w:id="9">
    <w:p w14:paraId="3C958523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費文彬：《吕大臨〈考古圖〉十卷校疏》，復旦大學出土文獻與古文字研究中心網站，2025年7月19日。</w:t>
      </w:r>
    </w:p>
  </w:endnote>
  <w:endnote w:id="10">
    <w:p w14:paraId="4F215433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復旦大學出土文獻與古文字研究中心：《出土文獻與古文字教程》，中西書局，2024年，第396頁。</w:t>
      </w:r>
    </w:p>
  </w:endnote>
  <w:endnote w:id="11">
    <w:p w14:paraId="4CA8031D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余念姿：《〈商周青銅器銘文暨圖像集成〉盨類銘文釋文及相關信息校訂》，武漢大學碩士學位論文，2020年，第57頁。</w:t>
      </w:r>
    </w:p>
  </w:endnote>
  <w:endnote w:id="12">
    <w:p w14:paraId="648C6086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裘錫圭：《琱生三器銘文新解》，《中華文史論叢》，2021年第4期，第1-28頁。</w:t>
      </w:r>
    </w:p>
  </w:endnote>
  <w:endnote w:id="13">
    <w:p w14:paraId="785FF195" w14:textId="77777777" w:rsidR="00EB6C9F" w:rsidRDefault="00000000">
      <w:pPr>
        <w:pStyle w:val="ad"/>
        <w:rPr>
          <w:rFonts w:hint="eastAsia"/>
        </w:rPr>
      </w:pPr>
      <w:r>
        <w:rPr>
          <w:rStyle w:val="afd"/>
          <w:rFonts w:cs="宋体" w:hint="eastAsia"/>
          <w:szCs w:val="24"/>
        </w:rPr>
        <w:endnoteRef/>
      </w:r>
      <w:r>
        <w:rPr>
          <w:rFonts w:hint="eastAsia"/>
        </w:rPr>
        <w:t xml:space="preserve"> 薛尚功：《宋刻宋拓〈歷代鐘鼎彝器款識法帖〉輯存》，中華書局，2021年，第2、77、79頁。</w:t>
      </w:r>
    </w:p>
  </w:endnote>
  <w:endnote w:id="14">
    <w:p w14:paraId="13C3D977" w14:textId="77777777" w:rsidR="00EB6C9F" w:rsidRDefault="00000000">
      <w:pPr>
        <w:pStyle w:val="ad"/>
        <w:rPr>
          <w:rFonts w:hint="eastAsia"/>
        </w:rPr>
      </w:pPr>
      <w:r>
        <w:rPr>
          <w:rStyle w:val="afd"/>
          <w:rFonts w:cs="宋体" w:hint="eastAsia"/>
          <w:szCs w:val="24"/>
        </w:rPr>
        <w:endnoteRef/>
      </w:r>
      <w:r>
        <w:rPr>
          <w:rFonts w:hint="eastAsia"/>
        </w:rPr>
        <w:t xml:space="preserve"> 周忠兵：《釋金文中的“廛”》，《出土文獻》第12輯，中西書局，2018年，第43-49頁。</w:t>
      </w:r>
    </w:p>
  </w:endnote>
  <w:endnote w:id="15">
    <w:p w14:paraId="5B7A7947" w14:textId="77777777" w:rsidR="00EB6C9F" w:rsidRDefault="00000000">
      <w:pPr>
        <w:pStyle w:val="ad"/>
        <w:rPr>
          <w:rFonts w:hint="eastAsia"/>
        </w:rPr>
      </w:pPr>
      <w:r>
        <w:rPr>
          <w:rStyle w:val="afd"/>
          <w:rFonts w:cs="宋体" w:hint="eastAsia"/>
          <w:szCs w:val="24"/>
        </w:rPr>
        <w:endnoteRef/>
      </w:r>
      <w:r>
        <w:rPr>
          <w:rFonts w:hint="eastAsia"/>
        </w:rPr>
        <w:t xml:space="preserve"> 裘錫圭：《琱生三器銘文新解》，《中華文史論叢》，2021年第4期，第1-28頁。</w:t>
      </w:r>
    </w:p>
  </w:endnote>
  <w:endnote w:id="16">
    <w:p w14:paraId="048B8AD6" w14:textId="77777777" w:rsidR="00EB6C9F" w:rsidRDefault="00000000">
      <w:pPr>
        <w:pStyle w:val="ad"/>
        <w:rPr>
          <w:rFonts w:hint="eastAsia"/>
        </w:rPr>
      </w:pPr>
      <w:r>
        <w:rPr>
          <w:rStyle w:val="afd"/>
          <w:rFonts w:cs="宋体" w:hint="eastAsia"/>
          <w:szCs w:val="24"/>
        </w:rPr>
        <w:endnoteRef/>
      </w:r>
      <w:r>
        <w:rPr>
          <w:rFonts w:hint="eastAsia"/>
        </w:rPr>
        <w:t xml:space="preserve"> 于省吾：《雙劍誃吉金文選》，中華書局，1998年，第331頁。郭沫若：《兩周金文辭大系圖録考釋》，《郭沫若全集》考古編第八卷，科學出版社，2002年，第516頁。</w:t>
      </w:r>
    </w:p>
  </w:endnote>
  <w:endnote w:id="17">
    <w:p w14:paraId="7859F8BF" w14:textId="77777777" w:rsidR="00EB6C9F" w:rsidRDefault="00000000">
      <w:pPr>
        <w:pStyle w:val="ad"/>
        <w:rPr>
          <w:rFonts w:hint="eastAsia"/>
        </w:rPr>
      </w:pPr>
      <w:r>
        <w:rPr>
          <w:rStyle w:val="afd"/>
          <w:rFonts w:cs="宋体" w:hint="eastAsia"/>
          <w:szCs w:val="24"/>
        </w:rPr>
        <w:endnoteRef/>
      </w:r>
      <w:r>
        <w:rPr>
          <w:rFonts w:hint="eastAsia"/>
        </w:rPr>
        <w:t xml:space="preserve"> 張亞初：《殷周金文集成引得》，中華書局，2001年，第76頁。</w:t>
      </w:r>
    </w:p>
  </w:endnote>
  <w:endnote w:id="18">
    <w:p w14:paraId="2EA8C2C1" w14:textId="77777777" w:rsidR="00EB6C9F" w:rsidRDefault="00000000">
      <w:pPr>
        <w:pStyle w:val="ad"/>
        <w:rPr>
          <w:rFonts w:hint="eastAsia"/>
        </w:rPr>
      </w:pPr>
      <w:r>
        <w:rPr>
          <w:rStyle w:val="afd"/>
          <w:rFonts w:cs="宋体" w:hint="eastAsia"/>
          <w:szCs w:val="24"/>
        </w:rPr>
        <w:endnoteRef/>
      </w:r>
      <w:r>
        <w:rPr>
          <w:rFonts w:hint="eastAsia"/>
        </w:rPr>
        <w:t xml:space="preserve"> 賈海生：《虢姜簋蓋銘文反映的出適女子所行壇墠之祭》，《中過典籍與文化》，2020年第2期，第115-119頁。</w:t>
      </w:r>
    </w:p>
  </w:endnote>
  <w:endnote w:id="19">
    <w:p w14:paraId="1B443A43" w14:textId="77777777" w:rsidR="00EB6C9F" w:rsidRDefault="00000000">
      <w:pPr>
        <w:pStyle w:val="ad"/>
        <w:rPr>
          <w:rFonts w:hint="eastAsia"/>
        </w:rPr>
      </w:pPr>
      <w:r>
        <w:rPr>
          <w:rStyle w:val="afd"/>
          <w:rFonts w:cs="宋体" w:hint="eastAsia"/>
          <w:szCs w:val="24"/>
        </w:rPr>
        <w:endnoteRef/>
      </w:r>
      <w:r>
        <w:rPr>
          <w:rFonts w:hint="eastAsia"/>
        </w:rPr>
        <w:t xml:space="preserve"> 陳昭容：《周代婦女在祭祀中的地位——青銅器銘文中的性别、身份與角色研究（之一）》，《清華學報》，2003年第4期，第411-412頁。</w:t>
      </w:r>
    </w:p>
  </w:endnote>
  <w:endnote w:id="20">
    <w:p w14:paraId="237BCF25" w14:textId="77777777" w:rsidR="00EB6C9F" w:rsidRDefault="00000000">
      <w:pPr>
        <w:pStyle w:val="ad"/>
        <w:rPr>
          <w:rFonts w:hint="eastAsia"/>
        </w:rPr>
      </w:pPr>
      <w:r>
        <w:rPr>
          <w:rStyle w:val="afd"/>
          <w:rFonts w:cs="宋体" w:hint="eastAsia"/>
          <w:szCs w:val="24"/>
        </w:rPr>
        <w:endnoteRef/>
      </w:r>
      <w:r>
        <w:rPr>
          <w:rFonts w:hint="eastAsia"/>
        </w:rPr>
        <w:t xml:space="preserve"> 金文中廣泛存在同義連用的情況，相關討論可以參看彭著東：《兩周金文同義連用現象整理與分析》，《勵耘語言學刊》，2019年第2期，第73-84頁。與賈氏討論方式相似的，陳致先生在其《“允”、“㽙”、“畯”試釋》（《饒宗頤國學院院刊》，2014年第1期，第138頁）一文中嘗試論證金文“㽙”字當讀｛允｝時也采用金文辭例中存在“永㽙”、“㽙永”的辭例，而認爲以“㽙”讀｛駿｝“未免疊牀架屋，頗爲不辭”。現在我們知道“允”、“夋”並非一字分化，它們的聲母存在區别，在字形上有差異，而“㽙”所從實際是“夋”，陳説不攻自破。關于“允”與“夋”的討論可以參看布之道：《説字小記（一）》，復旦大學出土文獻與古文字研究中心網站，2025年4月30日。由此來看，這種“空想古文語病學”的實踐可以休矣！</w:t>
      </w:r>
    </w:p>
  </w:endnote>
  <w:endnote w:id="21">
    <w:p w14:paraId="5FC677C3" w14:textId="77777777" w:rsidR="00EB6C9F" w:rsidRDefault="00000000">
      <w:pPr>
        <w:pStyle w:val="ad"/>
        <w:rPr>
          <w:rFonts w:hint="eastAsia"/>
        </w:rPr>
      </w:pPr>
      <w:r>
        <w:rPr>
          <w:rStyle w:val="afd"/>
          <w:rFonts w:cs="宋体" w:hint="eastAsia"/>
          <w:szCs w:val="24"/>
        </w:rPr>
        <w:endnoteRef/>
      </w:r>
      <w:r>
        <w:rPr>
          <w:rFonts w:hint="eastAsia"/>
        </w:rPr>
        <w:t xml:space="preserve"> 賈海生：《虢姜簋蓋銘文反映的出適女子所行壇墠之祭》，《中過典籍與文化》，2020年第2期，第117-118頁。</w:t>
      </w:r>
    </w:p>
  </w:endnote>
  <w:endnote w:id="22">
    <w:p w14:paraId="5BED4BF4" w14:textId="77777777" w:rsidR="00EB6C9F" w:rsidRDefault="00000000">
      <w:pPr>
        <w:pStyle w:val="ad"/>
        <w:rPr>
          <w:rFonts w:hint="eastAsia"/>
        </w:rPr>
      </w:pPr>
      <w:r>
        <w:rPr>
          <w:rStyle w:val="afd"/>
          <w:rFonts w:cs="宋体" w:hint="eastAsia"/>
          <w:szCs w:val="24"/>
        </w:rPr>
        <w:endnoteRef/>
      </w:r>
      <w:r>
        <w:rPr>
          <w:rFonts w:hint="eastAsia"/>
        </w:rPr>
        <w:t xml:space="preserve"> 陳英杰：《談金文中</w:t>
      </w:r>
      <w:r>
        <w:rPr>
          <w:rFonts w:hint="eastAsia"/>
          <w:noProof/>
        </w:rPr>
        <w:drawing>
          <wp:inline distT="0" distB="0" distL="0" distR="0" wp14:anchorId="69A5BAC2" wp14:editId="15FA9552">
            <wp:extent cx="88265" cy="114935"/>
            <wp:effectExtent l="0" t="0" r="698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8838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、召、卲、邵等字的意義》，《中國文字研究》，2007年第2期，第127頁。</w:t>
      </w:r>
    </w:p>
  </w:endnote>
  <w:endnote w:id="23">
    <w:p w14:paraId="3987C0DC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裘錫圭：《大河口西周墓地2002號墓出土盤盉銘文解釋》，《出土文獻與古文字研究》第8輯，上海古籍出版社，2019年，第142頁。</w:t>
      </w:r>
    </w:p>
  </w:endnote>
  <w:endnote w:id="24">
    <w:p w14:paraId="27FE7D02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裘錫圭：《琱生三器銘文新解》，《中華文史論叢》，2021年第4期，第1-28頁。</w:t>
      </w:r>
    </w:p>
  </w:endnote>
  <w:endnote w:id="25">
    <w:p w14:paraId="690E7B55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心包：簡帛論壇“氣盤銘文和舊説印證”主題帖1樓發言，簡帛網，2018年5月28日。張飛：《西周金文“廛”釋讀補説》，《青銅器與金文》，2024年第2期，第123-128頁。</w:t>
      </w:r>
    </w:p>
  </w:endnote>
  <w:endnote w:id="26">
    <w:p w14:paraId="6B9E6243" w14:textId="77777777" w:rsidR="00EB6C9F" w:rsidRDefault="00000000">
      <w:pPr>
        <w:pStyle w:val="ad"/>
        <w:rPr>
          <w:rFonts w:hint="eastAsia"/>
        </w:rPr>
      </w:pPr>
      <w:r>
        <w:rPr>
          <w:rFonts w:hint="eastAsia"/>
        </w:rPr>
        <w:endnoteRef/>
      </w:r>
      <w:r>
        <w:rPr>
          <w:rFonts w:hint="eastAsia"/>
        </w:rPr>
        <w:t xml:space="preserve"> 蔡一峰：《清華簡〈大夫食禮〉字詞考釋兩篇》，《“第三届戰國文字研究青年學者論壇”會議論文集》，安徽大學漢字發展與應用研究中心，2024年11月30日</w:t>
      </w:r>
      <w:r w:rsidRPr="00E91C53">
        <w:rPr>
          <w:rFonts w:hint="eastAsia"/>
        </w:rPr>
        <w:t>—12月1日，第8頁。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Arial"/>
    <w:charset w:val="00"/>
    <w:family w:val="roman"/>
    <w:pitch w:val="default"/>
    <w:sig w:usb0="E0002AEF" w:usb1="C0007841" w:usb2="00000009" w:usb3="00000000" w:csb0="400001FF" w:csb1="FFFF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等线">
    <w:altName w:val="Deng 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ˎ̥">
    <w:altName w:val="宋体"/>
    <w:charset w:val="00"/>
    <w:family w:val="roman"/>
    <w:pitch w:val="default"/>
    <w:sig w:usb0="00000000" w:usb1="00000000" w:usb2="00000000" w:usb3="00000000" w:csb0="00040001" w:csb1="00000000"/>
  </w:font>
  <w:font w:name="经典繁超宋">
    <w:altName w:val="宋体"/>
    <w:charset w:val="86"/>
    <w:family w:val="roman"/>
    <w:pitch w:val="default"/>
  </w:font>
  <w:font w:name="宋体-方正超大字符集">
    <w:altName w:val="宋体"/>
    <w:charset w:val="86"/>
    <w:family w:val="auto"/>
    <w:pitch w:val="default"/>
    <w:sig w:usb0="00000000" w:usb1="00000000" w:usb2="00000000" w:usb3="00000000" w:csb0="00040000" w:csb1="00000000"/>
  </w:font>
  <w:font w:name="控呇湮佽恅苤蚼">
    <w:altName w:val="Microsoft JhengHei"/>
    <w:charset w:val="88"/>
    <w:family w:val="modern"/>
    <w:pitch w:val="default"/>
  </w:font>
  <w:font w:name="KaiXinSong">
    <w:panose1 w:val="02010609060101010101"/>
    <w:charset w:val="00"/>
    <w:family w:val="modern"/>
    <w:pitch w:val="fixed"/>
    <w:sig w:usb0="800002BF" w:usb1="3AC97CFA" w:usb2="04000016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77828" w14:textId="77777777" w:rsidR="00EB6C9F" w:rsidRDefault="00000000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119966C8" w14:textId="77777777" w:rsidR="00EB6C9F" w:rsidRDefault="00EB6C9F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FF875" w14:textId="77777777" w:rsidR="00EB6C9F" w:rsidRDefault="00000000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202</w:t>
    </w:r>
    <w:r>
      <w:rPr>
        <w:rFonts w:hint="eastAsia"/>
        <w:sz w:val="18"/>
        <w:szCs w:val="18"/>
      </w:rPr>
      <w:t>5年9月24日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202</w:t>
    </w:r>
    <w:r>
      <w:rPr>
        <w:rFonts w:hint="eastAsia"/>
        <w:sz w:val="18"/>
        <w:szCs w:val="18"/>
      </w:rPr>
      <w:t>5年9月28日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3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8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C90FC" w14:textId="77777777" w:rsidR="00595126" w:rsidRDefault="00595126">
      <w:pPr>
        <w:rPr>
          <w:rFonts w:hint="eastAsia"/>
        </w:rPr>
      </w:pPr>
      <w:r>
        <w:separator/>
      </w:r>
    </w:p>
  </w:footnote>
  <w:footnote w:type="continuationSeparator" w:id="0">
    <w:p w14:paraId="7B907D62" w14:textId="77777777" w:rsidR="00595126" w:rsidRDefault="0059512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CEAC5" w14:textId="77777777" w:rsidR="00EB6C9F" w:rsidRDefault="00000000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复旦大学出土文献与古文字研究中心网站论文</w:t>
    </w:r>
  </w:p>
  <w:p w14:paraId="4AC78080" w14:textId="77777777" w:rsidR="00EB6C9F" w:rsidRDefault="00000000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链接：</w:t>
    </w:r>
    <w:r>
      <w:t>http://www.fdgwz.org.cn/Web/Show/11</w:t>
    </w:r>
    <w:r>
      <w:rPr>
        <w:rFonts w:hint="eastAsia"/>
      </w:rPr>
      <w:t>299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DD61B6"/>
    <w:multiLevelType w:val="multilevel"/>
    <w:tmpl w:val="4DDD61B6"/>
    <w:lvl w:ilvl="0">
      <w:start w:val="1"/>
      <w:numFmt w:val="decimal"/>
      <w:pStyle w:val="a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 w16cid:durableId="1363550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0024"/>
    <w:rsid w:val="A3DD379B"/>
    <w:rsid w:val="EF7F1C29"/>
    <w:rsid w:val="FE4F4DD1"/>
    <w:rsid w:val="FFBDBD01"/>
    <w:rsid w:val="00003788"/>
    <w:rsid w:val="000038DD"/>
    <w:rsid w:val="000069D0"/>
    <w:rsid w:val="00006D1D"/>
    <w:rsid w:val="00011970"/>
    <w:rsid w:val="00012491"/>
    <w:rsid w:val="000133A5"/>
    <w:rsid w:val="00016495"/>
    <w:rsid w:val="0001730A"/>
    <w:rsid w:val="00017F20"/>
    <w:rsid w:val="00021234"/>
    <w:rsid w:val="00022497"/>
    <w:rsid w:val="000269A2"/>
    <w:rsid w:val="00031027"/>
    <w:rsid w:val="00032E60"/>
    <w:rsid w:val="00033997"/>
    <w:rsid w:val="00033F9D"/>
    <w:rsid w:val="00035922"/>
    <w:rsid w:val="00037D45"/>
    <w:rsid w:val="00041E3D"/>
    <w:rsid w:val="00043973"/>
    <w:rsid w:val="0004553B"/>
    <w:rsid w:val="00050E7C"/>
    <w:rsid w:val="00051CC3"/>
    <w:rsid w:val="00057141"/>
    <w:rsid w:val="0006047C"/>
    <w:rsid w:val="000626A6"/>
    <w:rsid w:val="00062FE9"/>
    <w:rsid w:val="00066107"/>
    <w:rsid w:val="0006648C"/>
    <w:rsid w:val="00073508"/>
    <w:rsid w:val="00076F82"/>
    <w:rsid w:val="00077C36"/>
    <w:rsid w:val="00084150"/>
    <w:rsid w:val="0008479B"/>
    <w:rsid w:val="000860FF"/>
    <w:rsid w:val="00093C88"/>
    <w:rsid w:val="0009527F"/>
    <w:rsid w:val="000A4A8F"/>
    <w:rsid w:val="000B02C6"/>
    <w:rsid w:val="000B20F1"/>
    <w:rsid w:val="000B3534"/>
    <w:rsid w:val="000B3957"/>
    <w:rsid w:val="000B3E82"/>
    <w:rsid w:val="000B4C47"/>
    <w:rsid w:val="000B7803"/>
    <w:rsid w:val="000C306D"/>
    <w:rsid w:val="000C439A"/>
    <w:rsid w:val="000C6DDF"/>
    <w:rsid w:val="000D0719"/>
    <w:rsid w:val="000D135F"/>
    <w:rsid w:val="000D13F8"/>
    <w:rsid w:val="000D5531"/>
    <w:rsid w:val="000D6B61"/>
    <w:rsid w:val="000E2C1A"/>
    <w:rsid w:val="000E2C87"/>
    <w:rsid w:val="000E3AF3"/>
    <w:rsid w:val="000E4237"/>
    <w:rsid w:val="000E738A"/>
    <w:rsid w:val="000E7C8B"/>
    <w:rsid w:val="000F0036"/>
    <w:rsid w:val="000F28A8"/>
    <w:rsid w:val="000F4BED"/>
    <w:rsid w:val="000F5549"/>
    <w:rsid w:val="00102E1C"/>
    <w:rsid w:val="00104E73"/>
    <w:rsid w:val="00110B5F"/>
    <w:rsid w:val="00116C85"/>
    <w:rsid w:val="0012030A"/>
    <w:rsid w:val="001316F4"/>
    <w:rsid w:val="00131D4E"/>
    <w:rsid w:val="001332B7"/>
    <w:rsid w:val="001347BB"/>
    <w:rsid w:val="00140894"/>
    <w:rsid w:val="001433AC"/>
    <w:rsid w:val="0014382E"/>
    <w:rsid w:val="001450B7"/>
    <w:rsid w:val="001500E3"/>
    <w:rsid w:val="00154CEE"/>
    <w:rsid w:val="00156D70"/>
    <w:rsid w:val="001641C2"/>
    <w:rsid w:val="00164C7B"/>
    <w:rsid w:val="00167A77"/>
    <w:rsid w:val="00167A7A"/>
    <w:rsid w:val="00170566"/>
    <w:rsid w:val="001712CA"/>
    <w:rsid w:val="00172F5D"/>
    <w:rsid w:val="001801DC"/>
    <w:rsid w:val="0018778C"/>
    <w:rsid w:val="001938D1"/>
    <w:rsid w:val="00194437"/>
    <w:rsid w:val="00194702"/>
    <w:rsid w:val="001957D4"/>
    <w:rsid w:val="00195BA5"/>
    <w:rsid w:val="00196304"/>
    <w:rsid w:val="0019751F"/>
    <w:rsid w:val="001A02A8"/>
    <w:rsid w:val="001A19B2"/>
    <w:rsid w:val="001A4915"/>
    <w:rsid w:val="001A5188"/>
    <w:rsid w:val="001B293E"/>
    <w:rsid w:val="001B3C4F"/>
    <w:rsid w:val="001B3E07"/>
    <w:rsid w:val="001B4395"/>
    <w:rsid w:val="001B492F"/>
    <w:rsid w:val="001B4FFD"/>
    <w:rsid w:val="001B682E"/>
    <w:rsid w:val="001B710F"/>
    <w:rsid w:val="001C0EEC"/>
    <w:rsid w:val="001C5F88"/>
    <w:rsid w:val="001D1713"/>
    <w:rsid w:val="001D2B45"/>
    <w:rsid w:val="001D427D"/>
    <w:rsid w:val="001D4E56"/>
    <w:rsid w:val="001E23A9"/>
    <w:rsid w:val="001E6598"/>
    <w:rsid w:val="001E6D43"/>
    <w:rsid w:val="001F1BFC"/>
    <w:rsid w:val="001F6F0F"/>
    <w:rsid w:val="00201B96"/>
    <w:rsid w:val="00211416"/>
    <w:rsid w:val="00214B92"/>
    <w:rsid w:val="00216AB7"/>
    <w:rsid w:val="002211DE"/>
    <w:rsid w:val="002262DD"/>
    <w:rsid w:val="00230ADF"/>
    <w:rsid w:val="00231125"/>
    <w:rsid w:val="002346A0"/>
    <w:rsid w:val="00237037"/>
    <w:rsid w:val="002372F1"/>
    <w:rsid w:val="00240D78"/>
    <w:rsid w:val="00240EAB"/>
    <w:rsid w:val="00243FD0"/>
    <w:rsid w:val="0024748E"/>
    <w:rsid w:val="0025043C"/>
    <w:rsid w:val="00253015"/>
    <w:rsid w:val="0025637F"/>
    <w:rsid w:val="00257210"/>
    <w:rsid w:val="0027142D"/>
    <w:rsid w:val="002732E6"/>
    <w:rsid w:val="0027743E"/>
    <w:rsid w:val="002819AA"/>
    <w:rsid w:val="0028213F"/>
    <w:rsid w:val="00283EDC"/>
    <w:rsid w:val="0028564F"/>
    <w:rsid w:val="00291D8E"/>
    <w:rsid w:val="00292887"/>
    <w:rsid w:val="00292EE5"/>
    <w:rsid w:val="00294FD3"/>
    <w:rsid w:val="002963F1"/>
    <w:rsid w:val="0029793E"/>
    <w:rsid w:val="002A0E2F"/>
    <w:rsid w:val="002A1C81"/>
    <w:rsid w:val="002A1D71"/>
    <w:rsid w:val="002A5820"/>
    <w:rsid w:val="002A6194"/>
    <w:rsid w:val="002A746C"/>
    <w:rsid w:val="002B32DA"/>
    <w:rsid w:val="002C4C02"/>
    <w:rsid w:val="002C668C"/>
    <w:rsid w:val="002C70BF"/>
    <w:rsid w:val="002C7445"/>
    <w:rsid w:val="002C7CEA"/>
    <w:rsid w:val="002D039D"/>
    <w:rsid w:val="002D4626"/>
    <w:rsid w:val="002D5CCD"/>
    <w:rsid w:val="002D74D8"/>
    <w:rsid w:val="002E2792"/>
    <w:rsid w:val="002E503F"/>
    <w:rsid w:val="002F1FE6"/>
    <w:rsid w:val="002F2D81"/>
    <w:rsid w:val="00300BB1"/>
    <w:rsid w:val="0030510A"/>
    <w:rsid w:val="00311E98"/>
    <w:rsid w:val="00313A1D"/>
    <w:rsid w:val="0031705D"/>
    <w:rsid w:val="00317DBF"/>
    <w:rsid w:val="00317E80"/>
    <w:rsid w:val="00321472"/>
    <w:rsid w:val="00324A0C"/>
    <w:rsid w:val="003254FE"/>
    <w:rsid w:val="00330794"/>
    <w:rsid w:val="00331ABE"/>
    <w:rsid w:val="00331FBE"/>
    <w:rsid w:val="00332FF4"/>
    <w:rsid w:val="00334313"/>
    <w:rsid w:val="0033589E"/>
    <w:rsid w:val="003367D1"/>
    <w:rsid w:val="00347F61"/>
    <w:rsid w:val="003516DF"/>
    <w:rsid w:val="003519B2"/>
    <w:rsid w:val="003541B9"/>
    <w:rsid w:val="00355808"/>
    <w:rsid w:val="0036013B"/>
    <w:rsid w:val="003637BF"/>
    <w:rsid w:val="003657B7"/>
    <w:rsid w:val="00365AA8"/>
    <w:rsid w:val="00373178"/>
    <w:rsid w:val="00375FA4"/>
    <w:rsid w:val="00376418"/>
    <w:rsid w:val="00377962"/>
    <w:rsid w:val="003804C5"/>
    <w:rsid w:val="00380E0F"/>
    <w:rsid w:val="00382F27"/>
    <w:rsid w:val="00384194"/>
    <w:rsid w:val="00387971"/>
    <w:rsid w:val="00390262"/>
    <w:rsid w:val="003914E2"/>
    <w:rsid w:val="0039250F"/>
    <w:rsid w:val="00393C80"/>
    <w:rsid w:val="00394082"/>
    <w:rsid w:val="00395D81"/>
    <w:rsid w:val="003A0D1A"/>
    <w:rsid w:val="003B45B0"/>
    <w:rsid w:val="003B5515"/>
    <w:rsid w:val="003C12E0"/>
    <w:rsid w:val="003C3289"/>
    <w:rsid w:val="003C4800"/>
    <w:rsid w:val="003C4D06"/>
    <w:rsid w:val="003C57BB"/>
    <w:rsid w:val="003C62CD"/>
    <w:rsid w:val="003D46B8"/>
    <w:rsid w:val="003D5DF4"/>
    <w:rsid w:val="003D668A"/>
    <w:rsid w:val="003E1354"/>
    <w:rsid w:val="003E1502"/>
    <w:rsid w:val="003E1E5C"/>
    <w:rsid w:val="003E5FD9"/>
    <w:rsid w:val="003E6BB9"/>
    <w:rsid w:val="003F2D79"/>
    <w:rsid w:val="003F5354"/>
    <w:rsid w:val="003F604F"/>
    <w:rsid w:val="004020EC"/>
    <w:rsid w:val="00403C1D"/>
    <w:rsid w:val="0040573D"/>
    <w:rsid w:val="00405D85"/>
    <w:rsid w:val="004067D2"/>
    <w:rsid w:val="00410652"/>
    <w:rsid w:val="004127DD"/>
    <w:rsid w:val="00420CE9"/>
    <w:rsid w:val="00430178"/>
    <w:rsid w:val="0043067E"/>
    <w:rsid w:val="00430CA7"/>
    <w:rsid w:val="00430F52"/>
    <w:rsid w:val="00431BEA"/>
    <w:rsid w:val="00440BE0"/>
    <w:rsid w:val="0044129F"/>
    <w:rsid w:val="00445B35"/>
    <w:rsid w:val="00454220"/>
    <w:rsid w:val="004555EF"/>
    <w:rsid w:val="00456FAD"/>
    <w:rsid w:val="004628E8"/>
    <w:rsid w:val="00466A1C"/>
    <w:rsid w:val="00471E95"/>
    <w:rsid w:val="004756A5"/>
    <w:rsid w:val="00477AF6"/>
    <w:rsid w:val="00482C36"/>
    <w:rsid w:val="0048364F"/>
    <w:rsid w:val="004838F8"/>
    <w:rsid w:val="00483CD8"/>
    <w:rsid w:val="004860A2"/>
    <w:rsid w:val="004918C3"/>
    <w:rsid w:val="004975C8"/>
    <w:rsid w:val="004A0388"/>
    <w:rsid w:val="004A1861"/>
    <w:rsid w:val="004A2C87"/>
    <w:rsid w:val="004A73B6"/>
    <w:rsid w:val="004A7E18"/>
    <w:rsid w:val="004B0674"/>
    <w:rsid w:val="004B0D90"/>
    <w:rsid w:val="004B12DE"/>
    <w:rsid w:val="004B405F"/>
    <w:rsid w:val="004B4723"/>
    <w:rsid w:val="004C2990"/>
    <w:rsid w:val="004C4B9F"/>
    <w:rsid w:val="004D1FA3"/>
    <w:rsid w:val="004D4C84"/>
    <w:rsid w:val="004D511D"/>
    <w:rsid w:val="004D57DB"/>
    <w:rsid w:val="004E0A07"/>
    <w:rsid w:val="004E6E8E"/>
    <w:rsid w:val="004F09C9"/>
    <w:rsid w:val="004F11D3"/>
    <w:rsid w:val="004F244C"/>
    <w:rsid w:val="004F3102"/>
    <w:rsid w:val="004F4CF4"/>
    <w:rsid w:val="004F62FC"/>
    <w:rsid w:val="00503A9E"/>
    <w:rsid w:val="00503AF8"/>
    <w:rsid w:val="005051B7"/>
    <w:rsid w:val="0051092B"/>
    <w:rsid w:val="00513092"/>
    <w:rsid w:val="0051587D"/>
    <w:rsid w:val="00515C06"/>
    <w:rsid w:val="0051605E"/>
    <w:rsid w:val="005169A1"/>
    <w:rsid w:val="00516D8D"/>
    <w:rsid w:val="00517428"/>
    <w:rsid w:val="00517DAD"/>
    <w:rsid w:val="0052033E"/>
    <w:rsid w:val="005268F5"/>
    <w:rsid w:val="00526AE6"/>
    <w:rsid w:val="005308E6"/>
    <w:rsid w:val="00531EA3"/>
    <w:rsid w:val="0053295D"/>
    <w:rsid w:val="00535BD2"/>
    <w:rsid w:val="0053723F"/>
    <w:rsid w:val="00541E3D"/>
    <w:rsid w:val="00542D51"/>
    <w:rsid w:val="0054391C"/>
    <w:rsid w:val="00543E96"/>
    <w:rsid w:val="005444A2"/>
    <w:rsid w:val="005465C3"/>
    <w:rsid w:val="00546876"/>
    <w:rsid w:val="00551CF8"/>
    <w:rsid w:val="005536B1"/>
    <w:rsid w:val="005547BF"/>
    <w:rsid w:val="005549F6"/>
    <w:rsid w:val="00560EBB"/>
    <w:rsid w:val="00562694"/>
    <w:rsid w:val="00564069"/>
    <w:rsid w:val="00570DB1"/>
    <w:rsid w:val="00570E9F"/>
    <w:rsid w:val="00571CEA"/>
    <w:rsid w:val="00572EC4"/>
    <w:rsid w:val="005755E3"/>
    <w:rsid w:val="005816FB"/>
    <w:rsid w:val="00583F09"/>
    <w:rsid w:val="00584AEE"/>
    <w:rsid w:val="00586B2B"/>
    <w:rsid w:val="005875DF"/>
    <w:rsid w:val="005935F3"/>
    <w:rsid w:val="00593E4B"/>
    <w:rsid w:val="00594347"/>
    <w:rsid w:val="00595126"/>
    <w:rsid w:val="0059627F"/>
    <w:rsid w:val="005A2D63"/>
    <w:rsid w:val="005A3011"/>
    <w:rsid w:val="005A419C"/>
    <w:rsid w:val="005B29BC"/>
    <w:rsid w:val="005B69A6"/>
    <w:rsid w:val="005C1A21"/>
    <w:rsid w:val="005C1F1C"/>
    <w:rsid w:val="005C51B2"/>
    <w:rsid w:val="005D22B2"/>
    <w:rsid w:val="005D2D14"/>
    <w:rsid w:val="005D2F69"/>
    <w:rsid w:val="005E2C50"/>
    <w:rsid w:val="005E45B5"/>
    <w:rsid w:val="005E5DB1"/>
    <w:rsid w:val="005F05E8"/>
    <w:rsid w:val="005F3E33"/>
    <w:rsid w:val="0060101E"/>
    <w:rsid w:val="00602939"/>
    <w:rsid w:val="00610E9E"/>
    <w:rsid w:val="006166C7"/>
    <w:rsid w:val="00617AB7"/>
    <w:rsid w:val="00620A4F"/>
    <w:rsid w:val="00620F72"/>
    <w:rsid w:val="00621D7A"/>
    <w:rsid w:val="0062260A"/>
    <w:rsid w:val="00623408"/>
    <w:rsid w:val="006241F3"/>
    <w:rsid w:val="006245DA"/>
    <w:rsid w:val="0062642B"/>
    <w:rsid w:val="0063183B"/>
    <w:rsid w:val="0063231F"/>
    <w:rsid w:val="00634446"/>
    <w:rsid w:val="00634CBD"/>
    <w:rsid w:val="0063501D"/>
    <w:rsid w:val="00635CF4"/>
    <w:rsid w:val="00635FA4"/>
    <w:rsid w:val="00640B39"/>
    <w:rsid w:val="00644D5B"/>
    <w:rsid w:val="00650E61"/>
    <w:rsid w:val="0065256A"/>
    <w:rsid w:val="006526E4"/>
    <w:rsid w:val="00666D65"/>
    <w:rsid w:val="0066715B"/>
    <w:rsid w:val="00672EC8"/>
    <w:rsid w:val="00673C78"/>
    <w:rsid w:val="00675DD3"/>
    <w:rsid w:val="006778A0"/>
    <w:rsid w:val="00682D5D"/>
    <w:rsid w:val="00686575"/>
    <w:rsid w:val="00690307"/>
    <w:rsid w:val="006907C4"/>
    <w:rsid w:val="00693A5D"/>
    <w:rsid w:val="006A0C48"/>
    <w:rsid w:val="006A1563"/>
    <w:rsid w:val="006A1B0D"/>
    <w:rsid w:val="006A34B2"/>
    <w:rsid w:val="006A3D5C"/>
    <w:rsid w:val="006A3F90"/>
    <w:rsid w:val="006A5FF2"/>
    <w:rsid w:val="006B0F0D"/>
    <w:rsid w:val="006B1CF9"/>
    <w:rsid w:val="006B47EE"/>
    <w:rsid w:val="006B6EEA"/>
    <w:rsid w:val="006B7475"/>
    <w:rsid w:val="006C41B9"/>
    <w:rsid w:val="006C5096"/>
    <w:rsid w:val="006C6BAA"/>
    <w:rsid w:val="006D3921"/>
    <w:rsid w:val="006D408B"/>
    <w:rsid w:val="006E0E0C"/>
    <w:rsid w:val="006E2F87"/>
    <w:rsid w:val="006E6474"/>
    <w:rsid w:val="006E760F"/>
    <w:rsid w:val="006E7B7B"/>
    <w:rsid w:val="006F28BC"/>
    <w:rsid w:val="006F300C"/>
    <w:rsid w:val="006F52F5"/>
    <w:rsid w:val="006F79DD"/>
    <w:rsid w:val="007002F8"/>
    <w:rsid w:val="007007CC"/>
    <w:rsid w:val="00701226"/>
    <w:rsid w:val="0070713C"/>
    <w:rsid w:val="007103F0"/>
    <w:rsid w:val="00713580"/>
    <w:rsid w:val="007138A4"/>
    <w:rsid w:val="007141FD"/>
    <w:rsid w:val="00715D6B"/>
    <w:rsid w:val="007166DE"/>
    <w:rsid w:val="007204C1"/>
    <w:rsid w:val="00724062"/>
    <w:rsid w:val="00726471"/>
    <w:rsid w:val="007317E0"/>
    <w:rsid w:val="00734046"/>
    <w:rsid w:val="0073487E"/>
    <w:rsid w:val="00740478"/>
    <w:rsid w:val="00740BC5"/>
    <w:rsid w:val="00742DDD"/>
    <w:rsid w:val="007430E0"/>
    <w:rsid w:val="00747A38"/>
    <w:rsid w:val="0075360F"/>
    <w:rsid w:val="007606F5"/>
    <w:rsid w:val="0076174E"/>
    <w:rsid w:val="007708C6"/>
    <w:rsid w:val="00771D41"/>
    <w:rsid w:val="007721C4"/>
    <w:rsid w:val="0077379F"/>
    <w:rsid w:val="00773918"/>
    <w:rsid w:val="00775AF2"/>
    <w:rsid w:val="00781023"/>
    <w:rsid w:val="007810E0"/>
    <w:rsid w:val="007850CB"/>
    <w:rsid w:val="00792244"/>
    <w:rsid w:val="007A7F1F"/>
    <w:rsid w:val="007B0257"/>
    <w:rsid w:val="007B0B09"/>
    <w:rsid w:val="007B0D07"/>
    <w:rsid w:val="007B0E2D"/>
    <w:rsid w:val="007B1A80"/>
    <w:rsid w:val="007B29FD"/>
    <w:rsid w:val="007C00C2"/>
    <w:rsid w:val="007C4028"/>
    <w:rsid w:val="007C6D48"/>
    <w:rsid w:val="007D1AEF"/>
    <w:rsid w:val="007D5FCD"/>
    <w:rsid w:val="007D776B"/>
    <w:rsid w:val="007F45BF"/>
    <w:rsid w:val="0080242C"/>
    <w:rsid w:val="00805018"/>
    <w:rsid w:val="00807BBC"/>
    <w:rsid w:val="008114A2"/>
    <w:rsid w:val="00811640"/>
    <w:rsid w:val="00811B04"/>
    <w:rsid w:val="00813ADC"/>
    <w:rsid w:val="00814362"/>
    <w:rsid w:val="008145F2"/>
    <w:rsid w:val="008216FA"/>
    <w:rsid w:val="00823499"/>
    <w:rsid w:val="00827BEE"/>
    <w:rsid w:val="008316D6"/>
    <w:rsid w:val="00831C58"/>
    <w:rsid w:val="00831E6C"/>
    <w:rsid w:val="0083260A"/>
    <w:rsid w:val="0083342E"/>
    <w:rsid w:val="008368CB"/>
    <w:rsid w:val="00841AC0"/>
    <w:rsid w:val="00841C43"/>
    <w:rsid w:val="00844552"/>
    <w:rsid w:val="0085243E"/>
    <w:rsid w:val="00852FB6"/>
    <w:rsid w:val="00852FD1"/>
    <w:rsid w:val="008554FB"/>
    <w:rsid w:val="00857AC9"/>
    <w:rsid w:val="00865714"/>
    <w:rsid w:val="00866978"/>
    <w:rsid w:val="00866FD9"/>
    <w:rsid w:val="0087434A"/>
    <w:rsid w:val="0088006E"/>
    <w:rsid w:val="008839BB"/>
    <w:rsid w:val="00883E9F"/>
    <w:rsid w:val="00884DD1"/>
    <w:rsid w:val="00886963"/>
    <w:rsid w:val="008875BA"/>
    <w:rsid w:val="00896D6E"/>
    <w:rsid w:val="0089710F"/>
    <w:rsid w:val="008A3266"/>
    <w:rsid w:val="008A7F84"/>
    <w:rsid w:val="008B1838"/>
    <w:rsid w:val="008B201B"/>
    <w:rsid w:val="008B7347"/>
    <w:rsid w:val="008B7DE7"/>
    <w:rsid w:val="008C0398"/>
    <w:rsid w:val="008C1BEA"/>
    <w:rsid w:val="008C4C09"/>
    <w:rsid w:val="008C4EF3"/>
    <w:rsid w:val="008C5A22"/>
    <w:rsid w:val="008C6FD3"/>
    <w:rsid w:val="008C7A92"/>
    <w:rsid w:val="008D30E6"/>
    <w:rsid w:val="008D3A53"/>
    <w:rsid w:val="008D3B25"/>
    <w:rsid w:val="008D40CC"/>
    <w:rsid w:val="008D7BDB"/>
    <w:rsid w:val="008E034E"/>
    <w:rsid w:val="008E49CB"/>
    <w:rsid w:val="008E5D6E"/>
    <w:rsid w:val="008E6624"/>
    <w:rsid w:val="008F2F2E"/>
    <w:rsid w:val="008F4C76"/>
    <w:rsid w:val="008F5C80"/>
    <w:rsid w:val="008F65AF"/>
    <w:rsid w:val="00903942"/>
    <w:rsid w:val="00904443"/>
    <w:rsid w:val="00905A67"/>
    <w:rsid w:val="00917582"/>
    <w:rsid w:val="0091798A"/>
    <w:rsid w:val="00920906"/>
    <w:rsid w:val="00920BC8"/>
    <w:rsid w:val="00923D4F"/>
    <w:rsid w:val="009263C8"/>
    <w:rsid w:val="00933EFE"/>
    <w:rsid w:val="0093759B"/>
    <w:rsid w:val="00941801"/>
    <w:rsid w:val="00941B6B"/>
    <w:rsid w:val="009429E7"/>
    <w:rsid w:val="009477D9"/>
    <w:rsid w:val="00950E20"/>
    <w:rsid w:val="00951E3D"/>
    <w:rsid w:val="0095432F"/>
    <w:rsid w:val="009568AB"/>
    <w:rsid w:val="00962238"/>
    <w:rsid w:val="00962DFC"/>
    <w:rsid w:val="00964805"/>
    <w:rsid w:val="00970316"/>
    <w:rsid w:val="00970D12"/>
    <w:rsid w:val="00971027"/>
    <w:rsid w:val="0097125F"/>
    <w:rsid w:val="00977A96"/>
    <w:rsid w:val="00980CC8"/>
    <w:rsid w:val="00982B3A"/>
    <w:rsid w:val="00986333"/>
    <w:rsid w:val="0098705C"/>
    <w:rsid w:val="00987883"/>
    <w:rsid w:val="009911B7"/>
    <w:rsid w:val="00992297"/>
    <w:rsid w:val="00994CD0"/>
    <w:rsid w:val="00995D4E"/>
    <w:rsid w:val="00995DB3"/>
    <w:rsid w:val="009A0FAD"/>
    <w:rsid w:val="009A569F"/>
    <w:rsid w:val="009A6158"/>
    <w:rsid w:val="009A75E4"/>
    <w:rsid w:val="009C4773"/>
    <w:rsid w:val="009C5916"/>
    <w:rsid w:val="009C7D0F"/>
    <w:rsid w:val="009D27AC"/>
    <w:rsid w:val="009E12C0"/>
    <w:rsid w:val="009E1F4B"/>
    <w:rsid w:val="009E50C6"/>
    <w:rsid w:val="009E63D4"/>
    <w:rsid w:val="009F4D40"/>
    <w:rsid w:val="009F5A14"/>
    <w:rsid w:val="00A00A18"/>
    <w:rsid w:val="00A01321"/>
    <w:rsid w:val="00A02166"/>
    <w:rsid w:val="00A026E4"/>
    <w:rsid w:val="00A04D48"/>
    <w:rsid w:val="00A0577E"/>
    <w:rsid w:val="00A06EEC"/>
    <w:rsid w:val="00A072DD"/>
    <w:rsid w:val="00A16D1C"/>
    <w:rsid w:val="00A2766F"/>
    <w:rsid w:val="00A303C4"/>
    <w:rsid w:val="00A318D8"/>
    <w:rsid w:val="00A33350"/>
    <w:rsid w:val="00A35CE6"/>
    <w:rsid w:val="00A43B2B"/>
    <w:rsid w:val="00A442B6"/>
    <w:rsid w:val="00A4525C"/>
    <w:rsid w:val="00A52734"/>
    <w:rsid w:val="00A553B6"/>
    <w:rsid w:val="00A60907"/>
    <w:rsid w:val="00A60B6E"/>
    <w:rsid w:val="00A626FC"/>
    <w:rsid w:val="00A63856"/>
    <w:rsid w:val="00A64354"/>
    <w:rsid w:val="00A64CC3"/>
    <w:rsid w:val="00A710B2"/>
    <w:rsid w:val="00A71884"/>
    <w:rsid w:val="00A72999"/>
    <w:rsid w:val="00A73FD8"/>
    <w:rsid w:val="00A7444E"/>
    <w:rsid w:val="00A76F1D"/>
    <w:rsid w:val="00A76F5B"/>
    <w:rsid w:val="00A8129E"/>
    <w:rsid w:val="00A84561"/>
    <w:rsid w:val="00A84BF3"/>
    <w:rsid w:val="00A87B29"/>
    <w:rsid w:val="00AA2818"/>
    <w:rsid w:val="00AA4359"/>
    <w:rsid w:val="00AA4F68"/>
    <w:rsid w:val="00AA543B"/>
    <w:rsid w:val="00AA5ACA"/>
    <w:rsid w:val="00AA6604"/>
    <w:rsid w:val="00AA7065"/>
    <w:rsid w:val="00AB2B64"/>
    <w:rsid w:val="00AC25D9"/>
    <w:rsid w:val="00AC4C6A"/>
    <w:rsid w:val="00AC680C"/>
    <w:rsid w:val="00AD02E2"/>
    <w:rsid w:val="00AD0AB7"/>
    <w:rsid w:val="00AD0F5C"/>
    <w:rsid w:val="00AD2BDD"/>
    <w:rsid w:val="00AD369B"/>
    <w:rsid w:val="00AD48AD"/>
    <w:rsid w:val="00AD5029"/>
    <w:rsid w:val="00AD7B0D"/>
    <w:rsid w:val="00AD7E86"/>
    <w:rsid w:val="00AE20DF"/>
    <w:rsid w:val="00AE29A7"/>
    <w:rsid w:val="00AF246E"/>
    <w:rsid w:val="00AF479D"/>
    <w:rsid w:val="00AF635B"/>
    <w:rsid w:val="00AF75C8"/>
    <w:rsid w:val="00B00EE9"/>
    <w:rsid w:val="00B030E6"/>
    <w:rsid w:val="00B059FD"/>
    <w:rsid w:val="00B07332"/>
    <w:rsid w:val="00B20E51"/>
    <w:rsid w:val="00B23528"/>
    <w:rsid w:val="00B27C68"/>
    <w:rsid w:val="00B313D5"/>
    <w:rsid w:val="00B31DEE"/>
    <w:rsid w:val="00B3372F"/>
    <w:rsid w:val="00B34DD8"/>
    <w:rsid w:val="00B37214"/>
    <w:rsid w:val="00B415AC"/>
    <w:rsid w:val="00B41F47"/>
    <w:rsid w:val="00B43721"/>
    <w:rsid w:val="00B47060"/>
    <w:rsid w:val="00B47693"/>
    <w:rsid w:val="00B50CD0"/>
    <w:rsid w:val="00B61F5C"/>
    <w:rsid w:val="00B63ADF"/>
    <w:rsid w:val="00B7298C"/>
    <w:rsid w:val="00B73A04"/>
    <w:rsid w:val="00B75C45"/>
    <w:rsid w:val="00B806B1"/>
    <w:rsid w:val="00B8095D"/>
    <w:rsid w:val="00B831B3"/>
    <w:rsid w:val="00B8604A"/>
    <w:rsid w:val="00B92CC7"/>
    <w:rsid w:val="00B92CE9"/>
    <w:rsid w:val="00B94097"/>
    <w:rsid w:val="00B94272"/>
    <w:rsid w:val="00BA1F2C"/>
    <w:rsid w:val="00BA2BB2"/>
    <w:rsid w:val="00BA32AD"/>
    <w:rsid w:val="00BA4771"/>
    <w:rsid w:val="00BA4E68"/>
    <w:rsid w:val="00BA5289"/>
    <w:rsid w:val="00BA6421"/>
    <w:rsid w:val="00BA67C7"/>
    <w:rsid w:val="00BB017B"/>
    <w:rsid w:val="00BB6F3D"/>
    <w:rsid w:val="00BC126B"/>
    <w:rsid w:val="00BC49BB"/>
    <w:rsid w:val="00BC7189"/>
    <w:rsid w:val="00BD0AE0"/>
    <w:rsid w:val="00BD0F3E"/>
    <w:rsid w:val="00BD4E67"/>
    <w:rsid w:val="00BD750D"/>
    <w:rsid w:val="00BE12D1"/>
    <w:rsid w:val="00BE148F"/>
    <w:rsid w:val="00BE5AA8"/>
    <w:rsid w:val="00BE74C5"/>
    <w:rsid w:val="00BF358E"/>
    <w:rsid w:val="00BF370B"/>
    <w:rsid w:val="00BF5F1D"/>
    <w:rsid w:val="00C00F31"/>
    <w:rsid w:val="00C01C0A"/>
    <w:rsid w:val="00C029DF"/>
    <w:rsid w:val="00C037A6"/>
    <w:rsid w:val="00C03F8A"/>
    <w:rsid w:val="00C200D7"/>
    <w:rsid w:val="00C20217"/>
    <w:rsid w:val="00C20C72"/>
    <w:rsid w:val="00C217A0"/>
    <w:rsid w:val="00C223C3"/>
    <w:rsid w:val="00C24A2E"/>
    <w:rsid w:val="00C25CFC"/>
    <w:rsid w:val="00C30600"/>
    <w:rsid w:val="00C32F13"/>
    <w:rsid w:val="00C36956"/>
    <w:rsid w:val="00C40577"/>
    <w:rsid w:val="00C405CB"/>
    <w:rsid w:val="00C410F4"/>
    <w:rsid w:val="00C41BDD"/>
    <w:rsid w:val="00C43658"/>
    <w:rsid w:val="00C46047"/>
    <w:rsid w:val="00C52B1A"/>
    <w:rsid w:val="00C540E0"/>
    <w:rsid w:val="00C601E8"/>
    <w:rsid w:val="00C63492"/>
    <w:rsid w:val="00C639B5"/>
    <w:rsid w:val="00C673BD"/>
    <w:rsid w:val="00C7337F"/>
    <w:rsid w:val="00C7545C"/>
    <w:rsid w:val="00C75C1A"/>
    <w:rsid w:val="00C86742"/>
    <w:rsid w:val="00C86E98"/>
    <w:rsid w:val="00C90543"/>
    <w:rsid w:val="00C935B4"/>
    <w:rsid w:val="00C9386D"/>
    <w:rsid w:val="00C94789"/>
    <w:rsid w:val="00C9729E"/>
    <w:rsid w:val="00CA455C"/>
    <w:rsid w:val="00CB0024"/>
    <w:rsid w:val="00CB3F3F"/>
    <w:rsid w:val="00CC33AB"/>
    <w:rsid w:val="00CC51D6"/>
    <w:rsid w:val="00CC537A"/>
    <w:rsid w:val="00CC6F6E"/>
    <w:rsid w:val="00CD12D8"/>
    <w:rsid w:val="00CD3AD6"/>
    <w:rsid w:val="00CE1F09"/>
    <w:rsid w:val="00CF2087"/>
    <w:rsid w:val="00CF2835"/>
    <w:rsid w:val="00CF2D53"/>
    <w:rsid w:val="00CF3432"/>
    <w:rsid w:val="00CF55D5"/>
    <w:rsid w:val="00CF5EB2"/>
    <w:rsid w:val="00CF736F"/>
    <w:rsid w:val="00D00583"/>
    <w:rsid w:val="00D12835"/>
    <w:rsid w:val="00D14104"/>
    <w:rsid w:val="00D15896"/>
    <w:rsid w:val="00D202FA"/>
    <w:rsid w:val="00D208AF"/>
    <w:rsid w:val="00D216E9"/>
    <w:rsid w:val="00D24914"/>
    <w:rsid w:val="00D326D7"/>
    <w:rsid w:val="00D33111"/>
    <w:rsid w:val="00D4023B"/>
    <w:rsid w:val="00D40B52"/>
    <w:rsid w:val="00D50E87"/>
    <w:rsid w:val="00D51572"/>
    <w:rsid w:val="00D53655"/>
    <w:rsid w:val="00D54453"/>
    <w:rsid w:val="00D54B65"/>
    <w:rsid w:val="00D556BF"/>
    <w:rsid w:val="00D60710"/>
    <w:rsid w:val="00D61798"/>
    <w:rsid w:val="00D62CB1"/>
    <w:rsid w:val="00D67634"/>
    <w:rsid w:val="00D71F81"/>
    <w:rsid w:val="00D726F9"/>
    <w:rsid w:val="00D756A9"/>
    <w:rsid w:val="00D765DA"/>
    <w:rsid w:val="00D84579"/>
    <w:rsid w:val="00D850D5"/>
    <w:rsid w:val="00D859D5"/>
    <w:rsid w:val="00D85C5E"/>
    <w:rsid w:val="00D91E89"/>
    <w:rsid w:val="00D94761"/>
    <w:rsid w:val="00D94D4A"/>
    <w:rsid w:val="00DA17FB"/>
    <w:rsid w:val="00DA2027"/>
    <w:rsid w:val="00DA469D"/>
    <w:rsid w:val="00DB1A8E"/>
    <w:rsid w:val="00DB2818"/>
    <w:rsid w:val="00DB652D"/>
    <w:rsid w:val="00DB74DD"/>
    <w:rsid w:val="00DC2A33"/>
    <w:rsid w:val="00DC5C27"/>
    <w:rsid w:val="00DC74C5"/>
    <w:rsid w:val="00DD0C90"/>
    <w:rsid w:val="00DD24BF"/>
    <w:rsid w:val="00DD491C"/>
    <w:rsid w:val="00DE03E4"/>
    <w:rsid w:val="00DE20EE"/>
    <w:rsid w:val="00DE2591"/>
    <w:rsid w:val="00DE4754"/>
    <w:rsid w:val="00DE5345"/>
    <w:rsid w:val="00DE5AD0"/>
    <w:rsid w:val="00DE6887"/>
    <w:rsid w:val="00DE6920"/>
    <w:rsid w:val="00DF05E9"/>
    <w:rsid w:val="00DF0F4C"/>
    <w:rsid w:val="00E014C1"/>
    <w:rsid w:val="00E01E6C"/>
    <w:rsid w:val="00E03097"/>
    <w:rsid w:val="00E03B22"/>
    <w:rsid w:val="00E0585D"/>
    <w:rsid w:val="00E06AC8"/>
    <w:rsid w:val="00E0700B"/>
    <w:rsid w:val="00E10BC9"/>
    <w:rsid w:val="00E14E4A"/>
    <w:rsid w:val="00E166E9"/>
    <w:rsid w:val="00E2162E"/>
    <w:rsid w:val="00E23B96"/>
    <w:rsid w:val="00E27BC2"/>
    <w:rsid w:val="00E330F9"/>
    <w:rsid w:val="00E3579F"/>
    <w:rsid w:val="00E37814"/>
    <w:rsid w:val="00E415C5"/>
    <w:rsid w:val="00E42543"/>
    <w:rsid w:val="00E4260F"/>
    <w:rsid w:val="00E46E79"/>
    <w:rsid w:val="00E51572"/>
    <w:rsid w:val="00E520D0"/>
    <w:rsid w:val="00E53B98"/>
    <w:rsid w:val="00E74B97"/>
    <w:rsid w:val="00E74D97"/>
    <w:rsid w:val="00E75EAE"/>
    <w:rsid w:val="00E768A0"/>
    <w:rsid w:val="00E770D4"/>
    <w:rsid w:val="00E8039B"/>
    <w:rsid w:val="00E8091B"/>
    <w:rsid w:val="00E84361"/>
    <w:rsid w:val="00E84A0C"/>
    <w:rsid w:val="00E90438"/>
    <w:rsid w:val="00E91058"/>
    <w:rsid w:val="00E91C53"/>
    <w:rsid w:val="00E95B02"/>
    <w:rsid w:val="00EA236B"/>
    <w:rsid w:val="00EA3753"/>
    <w:rsid w:val="00EA75F6"/>
    <w:rsid w:val="00EA7776"/>
    <w:rsid w:val="00EA7FBC"/>
    <w:rsid w:val="00EB3041"/>
    <w:rsid w:val="00EB330F"/>
    <w:rsid w:val="00EB6C9F"/>
    <w:rsid w:val="00EB7229"/>
    <w:rsid w:val="00EC15D3"/>
    <w:rsid w:val="00EC3366"/>
    <w:rsid w:val="00EC4B8E"/>
    <w:rsid w:val="00EC60F9"/>
    <w:rsid w:val="00EC7693"/>
    <w:rsid w:val="00ED01D0"/>
    <w:rsid w:val="00ED2E6F"/>
    <w:rsid w:val="00ED4220"/>
    <w:rsid w:val="00ED4287"/>
    <w:rsid w:val="00ED7DB3"/>
    <w:rsid w:val="00EE0429"/>
    <w:rsid w:val="00EE0568"/>
    <w:rsid w:val="00EE4142"/>
    <w:rsid w:val="00EE528D"/>
    <w:rsid w:val="00EE6C33"/>
    <w:rsid w:val="00EE6DB8"/>
    <w:rsid w:val="00EF0E85"/>
    <w:rsid w:val="00EF2B6D"/>
    <w:rsid w:val="00EF302F"/>
    <w:rsid w:val="00F001B7"/>
    <w:rsid w:val="00F00938"/>
    <w:rsid w:val="00F02015"/>
    <w:rsid w:val="00F06B67"/>
    <w:rsid w:val="00F10AFC"/>
    <w:rsid w:val="00F232AB"/>
    <w:rsid w:val="00F27D53"/>
    <w:rsid w:val="00F31282"/>
    <w:rsid w:val="00F322A5"/>
    <w:rsid w:val="00F32502"/>
    <w:rsid w:val="00F34E9E"/>
    <w:rsid w:val="00F34EBF"/>
    <w:rsid w:val="00F36F17"/>
    <w:rsid w:val="00F448C4"/>
    <w:rsid w:val="00F459C2"/>
    <w:rsid w:val="00F53292"/>
    <w:rsid w:val="00F5440A"/>
    <w:rsid w:val="00F54627"/>
    <w:rsid w:val="00F5784F"/>
    <w:rsid w:val="00F6326B"/>
    <w:rsid w:val="00F66363"/>
    <w:rsid w:val="00F66FE5"/>
    <w:rsid w:val="00F70568"/>
    <w:rsid w:val="00F73ABB"/>
    <w:rsid w:val="00F74311"/>
    <w:rsid w:val="00F74BDA"/>
    <w:rsid w:val="00F76B2A"/>
    <w:rsid w:val="00F77362"/>
    <w:rsid w:val="00F80228"/>
    <w:rsid w:val="00F803F6"/>
    <w:rsid w:val="00F805FB"/>
    <w:rsid w:val="00F82E10"/>
    <w:rsid w:val="00F856E5"/>
    <w:rsid w:val="00F96BFC"/>
    <w:rsid w:val="00FA3C18"/>
    <w:rsid w:val="00FA72F5"/>
    <w:rsid w:val="00FB45B2"/>
    <w:rsid w:val="00FB6C12"/>
    <w:rsid w:val="00FC044C"/>
    <w:rsid w:val="00FC0AB0"/>
    <w:rsid w:val="00FC1005"/>
    <w:rsid w:val="00FC4A76"/>
    <w:rsid w:val="00FD3E77"/>
    <w:rsid w:val="00FD71AB"/>
    <w:rsid w:val="00FD7850"/>
    <w:rsid w:val="00FE080D"/>
    <w:rsid w:val="00FE20AC"/>
    <w:rsid w:val="00FF0AE3"/>
    <w:rsid w:val="05851142"/>
    <w:rsid w:val="0A261F09"/>
    <w:rsid w:val="10501B14"/>
    <w:rsid w:val="1B4641B9"/>
    <w:rsid w:val="1DC00253"/>
    <w:rsid w:val="224156DA"/>
    <w:rsid w:val="5E987E55"/>
    <w:rsid w:val="63954CBE"/>
    <w:rsid w:val="6C537D71"/>
    <w:rsid w:val="746C1710"/>
    <w:rsid w:val="7C1F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18A383E8"/>
  <w15:docId w15:val="{5176314F-3A79-4AD2-88F0-D9A07C009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unhideWhenUsed="1" w:qFormat="1"/>
    <w:lsdException w:name="footer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uiPriority="0" w:unhideWhenUsed="1" w:qFormat="1"/>
    <w:lsdException w:name="endnote text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uiPriority="0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paragraph" w:styleId="5">
    <w:name w:val="heading 5"/>
    <w:basedOn w:val="a0"/>
    <w:next w:val="a0"/>
    <w:link w:val="51"/>
    <w:uiPriority w:val="9"/>
    <w:semiHidden/>
    <w:unhideWhenUsed/>
    <w:qFormat/>
    <w:pPr>
      <w:keepNext/>
      <w:keepLines/>
      <w:widowControl/>
      <w:spacing w:before="280" w:after="290" w:line="376" w:lineRule="auto"/>
      <w:jc w:val="left"/>
      <w:outlineLvl w:val="4"/>
    </w:pPr>
    <w:rPr>
      <w:rFonts w:cs="宋体"/>
      <w:b/>
      <w:bCs/>
      <w:kern w:val="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5">
    <w:name w:val="annotation text"/>
    <w:basedOn w:val="a0"/>
    <w:link w:val="a6"/>
    <w:uiPriority w:val="99"/>
    <w:semiHidden/>
    <w:unhideWhenUsed/>
    <w:qFormat/>
    <w:pPr>
      <w:widowControl/>
      <w:jc w:val="left"/>
    </w:pPr>
    <w:rPr>
      <w:rFonts w:cs="宋体"/>
      <w:kern w:val="0"/>
      <w:szCs w:val="24"/>
    </w:rPr>
  </w:style>
  <w:style w:type="paragraph" w:styleId="a7">
    <w:name w:val="Body Text"/>
    <w:basedOn w:val="a0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0"/>
    <w:link w:val="aa"/>
    <w:qFormat/>
    <w:pPr>
      <w:spacing w:after="120"/>
      <w:ind w:leftChars="200" w:left="420"/>
    </w:pPr>
    <w:rPr>
      <w:rFonts w:ascii="Times New Roman" w:hAnsi="Times New Roman"/>
      <w:sz w:val="21"/>
      <w:szCs w:val="24"/>
    </w:rPr>
  </w:style>
  <w:style w:type="paragraph" w:styleId="21">
    <w:name w:val="List 2"/>
    <w:basedOn w:val="a0"/>
    <w:qFormat/>
    <w:pPr>
      <w:ind w:leftChars="200" w:left="100" w:hangingChars="200" w:hanging="200"/>
    </w:pPr>
    <w:rPr>
      <w:rFonts w:ascii="Times New Roman" w:hAnsi="Times New Roman"/>
      <w:sz w:val="21"/>
      <w:szCs w:val="24"/>
    </w:rPr>
  </w:style>
  <w:style w:type="paragraph" w:styleId="ab">
    <w:name w:val="Date"/>
    <w:basedOn w:val="a0"/>
    <w:next w:val="a0"/>
    <w:link w:val="ac"/>
    <w:uiPriority w:val="99"/>
    <w:semiHidden/>
    <w:unhideWhenUsed/>
    <w:qFormat/>
    <w:pPr>
      <w:ind w:leftChars="2500" w:left="100"/>
    </w:pPr>
  </w:style>
  <w:style w:type="paragraph" w:styleId="ad">
    <w:name w:val="endnote text"/>
    <w:basedOn w:val="a0"/>
    <w:link w:val="11"/>
    <w:unhideWhenUsed/>
    <w:qFormat/>
    <w:pPr>
      <w:snapToGrid w:val="0"/>
      <w:jc w:val="left"/>
    </w:pPr>
  </w:style>
  <w:style w:type="paragraph" w:styleId="ae">
    <w:name w:val="Balloon Text"/>
    <w:basedOn w:val="a0"/>
    <w:link w:val="af"/>
    <w:uiPriority w:val="99"/>
    <w:semiHidden/>
    <w:unhideWhenUsed/>
    <w:qFormat/>
    <w:rPr>
      <w:sz w:val="18"/>
      <w:szCs w:val="18"/>
    </w:rPr>
  </w:style>
  <w:style w:type="paragraph" w:styleId="af0">
    <w:name w:val="footer"/>
    <w:basedOn w:val="a0"/>
    <w:link w:val="af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0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0"/>
    <w:next w:val="a0"/>
    <w:link w:val="af5"/>
    <w:uiPriority w:val="11"/>
    <w:qFormat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Cs w:val="32"/>
    </w:rPr>
  </w:style>
  <w:style w:type="paragraph" w:styleId="af6">
    <w:name w:val="footnote text"/>
    <w:basedOn w:val="a0"/>
    <w:link w:val="12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8">
    <w:name w:val="Title"/>
    <w:basedOn w:val="a0"/>
    <w:next w:val="a0"/>
    <w:link w:val="13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uiPriority w:val="99"/>
    <w:unhideWhenUsed/>
    <w:qFormat/>
    <w:rPr>
      <w:b/>
      <w:bCs/>
    </w:rPr>
  </w:style>
  <w:style w:type="table" w:styleId="afb">
    <w:name w:val="Table Grid"/>
    <w:basedOn w:val="a2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styleId="aff3">
    <w:name w:val="footnote reference"/>
    <w:basedOn w:val="a1"/>
    <w:uiPriority w:val="99"/>
    <w:qFormat/>
    <w:rPr>
      <w:vertAlign w:val="superscript"/>
    </w:rPr>
  </w:style>
  <w:style w:type="character" w:customStyle="1" w:styleId="20">
    <w:name w:val="标题 2 字符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1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ff4">
    <w:name w:val="網文正文"/>
    <w:basedOn w:val="a0"/>
    <w:link w:val="Char"/>
    <w:qFormat/>
    <w:pPr>
      <w:spacing w:line="480" w:lineRule="auto"/>
      <w:ind w:firstLineChars="200" w:firstLine="200"/>
      <w:textAlignment w:val="center"/>
    </w:pPr>
    <w:rPr>
      <w:sz w:val="28"/>
    </w:rPr>
  </w:style>
  <w:style w:type="paragraph" w:customStyle="1" w:styleId="aff5">
    <w:name w:val="網文引用"/>
    <w:basedOn w:val="a0"/>
    <w:link w:val="Char0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1">
    <w:name w:val="脚注文本 Char"/>
    <w:uiPriority w:val="99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6">
    <w:name w:val="網文正文頂格"/>
    <w:basedOn w:val="aff4"/>
    <w:qFormat/>
    <w:pPr>
      <w:ind w:firstLineChars="0" w:firstLine="0"/>
      <w:jc w:val="left"/>
    </w:pPr>
  </w:style>
  <w:style w:type="character" w:customStyle="1" w:styleId="12">
    <w:name w:val="脚注文本 字符1"/>
    <w:link w:val="af6"/>
    <w:uiPriority w:val="99"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0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0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">
    <w:name w:val="網文正文 Char"/>
    <w:link w:val="aff4"/>
    <w:qFormat/>
    <w:rPr>
      <w:rFonts w:ascii="宋体" w:hAnsi="宋体"/>
      <w:kern w:val="2"/>
      <w:sz w:val="28"/>
      <w:szCs w:val="22"/>
    </w:rPr>
  </w:style>
  <w:style w:type="character" w:customStyle="1" w:styleId="Char0">
    <w:name w:val="網文引用 Char"/>
    <w:link w:val="aff5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1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0"/>
    <w:next w:val="a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0">
    <w:name w:val="标题 21"/>
    <w:basedOn w:val="a0"/>
    <w:next w:val="a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0"/>
    <w:next w:val="a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paragraph" w:customStyle="1" w:styleId="14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5">
    <w:name w:val="批注框文本1"/>
    <w:basedOn w:val="a0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5"/>
    <w:uiPriority w:val="99"/>
    <w:semiHidden/>
    <w:qFormat/>
    <w:rPr>
      <w:sz w:val="18"/>
      <w:szCs w:val="18"/>
    </w:rPr>
  </w:style>
  <w:style w:type="paragraph" w:customStyle="1" w:styleId="16">
    <w:name w:val="列出段落1"/>
    <w:basedOn w:val="a0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0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semiHidden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0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1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link w:val="17"/>
    <w:qFormat/>
    <w:rPr>
      <w:kern w:val="2"/>
      <w:sz w:val="21"/>
      <w:szCs w:val="24"/>
    </w:rPr>
  </w:style>
  <w:style w:type="paragraph" w:customStyle="1" w:styleId="17">
    <w:name w:val="尾注文本1"/>
    <w:basedOn w:val="a0"/>
    <w:next w:val="ad"/>
    <w:link w:val="affb"/>
    <w:uiPriority w:val="99"/>
    <w:semiHidden/>
    <w:unhideWhenUsed/>
    <w:qFormat/>
    <w:pPr>
      <w:snapToGrid w:val="0"/>
      <w:jc w:val="left"/>
    </w:pPr>
    <w:rPr>
      <w:rFonts w:ascii="Calibri" w:hAnsi="Calibri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0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0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uiPriority w:val="99"/>
    <w:semiHidden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1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1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1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1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标题 字符"/>
    <w:basedOn w:val="a1"/>
    <w:uiPriority w:val="10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3">
    <w:name w:val="标题 字符1"/>
    <w:link w:val="af8"/>
    <w:qFormat/>
    <w:rPr>
      <w:rFonts w:ascii="Cambria" w:hAnsi="Cambria"/>
      <w:b/>
      <w:bCs/>
      <w:kern w:val="2"/>
      <w:sz w:val="32"/>
      <w:szCs w:val="32"/>
    </w:rPr>
  </w:style>
  <w:style w:type="character" w:customStyle="1" w:styleId="WW-FootnoteReference1">
    <w:name w:val="WW-Footnote Reference1"/>
    <w:qFormat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WW-EndnoteReference12345678">
    <w:name w:val="WW-Endnote Reference12345678"/>
    <w:qFormat/>
    <w:rPr>
      <w:vertAlign w:val="superscript"/>
    </w:rPr>
  </w:style>
  <w:style w:type="paragraph" w:customStyle="1" w:styleId="ListHeading">
    <w:name w:val="List Heading"/>
    <w:basedOn w:val="a0"/>
    <w:next w:val="a0"/>
    <w:qFormat/>
    <w:pPr>
      <w:widowControl/>
      <w:suppressAutoHyphens/>
      <w:jc w:val="left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Quotations">
    <w:name w:val="Quotations"/>
    <w:basedOn w:val="a0"/>
    <w:qFormat/>
    <w:pPr>
      <w:widowControl/>
      <w:suppressAutoHyphens/>
      <w:spacing w:after="283"/>
      <w:ind w:left="567" w:right="567"/>
      <w:jc w:val="left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Pa61">
    <w:name w:val="Pa6+1"/>
    <w:basedOn w:val="a0"/>
    <w:next w:val="a0"/>
    <w:qFormat/>
    <w:pPr>
      <w:widowControl/>
      <w:suppressAutoHyphens/>
      <w:spacing w:line="281" w:lineRule="atLeast"/>
      <w:jc w:val="left"/>
    </w:pPr>
    <w:rPr>
      <w:rFonts w:ascii="Times New Roman" w:hAnsi="Times New Roman" w:cs="Mangal"/>
      <w:kern w:val="1"/>
      <w:szCs w:val="24"/>
      <w:lang w:eastAsia="ar-SA"/>
    </w:rPr>
  </w:style>
  <w:style w:type="character" w:customStyle="1" w:styleId="divimport1">
    <w:name w:val="divimport1"/>
    <w:basedOn w:val="a1"/>
    <w:qFormat/>
    <w:rPr>
      <w:rFonts w:ascii="宋体" w:eastAsia="宋体" w:hAnsi="宋体" w:hint="eastAsia"/>
      <w:sz w:val="21"/>
      <w:szCs w:val="21"/>
      <w:shd w:val="clear" w:color="auto" w:fill="FCFCFC"/>
    </w:rPr>
  </w:style>
  <w:style w:type="paragraph" w:customStyle="1" w:styleId="CharCharChar1">
    <w:name w:val="脚注文本 Char Char Char1"/>
    <w:basedOn w:val="a0"/>
    <w:next w:val="af6"/>
    <w:unhideWhenUsed/>
    <w:qFormat/>
    <w:pPr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18">
    <w:name w:val="超链接1"/>
    <w:basedOn w:val="a1"/>
    <w:uiPriority w:val="99"/>
    <w:unhideWhenUsed/>
    <w:qFormat/>
    <w:rPr>
      <w:color w:val="0000FF"/>
      <w:u w:val="single"/>
    </w:rPr>
  </w:style>
  <w:style w:type="paragraph" w:customStyle="1" w:styleId="19">
    <w:name w:val="页眉1"/>
    <w:basedOn w:val="a0"/>
    <w:next w:val="af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customStyle="1" w:styleId="1a">
    <w:name w:val="页脚1"/>
    <w:basedOn w:val="a0"/>
    <w:next w:val="af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customStyle="1" w:styleId="CharCharCharCharCharCharChar">
    <w:name w:val="Char Char Char Char Char Char Char"/>
    <w:basedOn w:val="a0"/>
    <w:qFormat/>
    <w:rPr>
      <w:rFonts w:ascii="Tahoma" w:hAnsi="Tahoma"/>
      <w:bCs/>
      <w:szCs w:val="20"/>
    </w:rPr>
  </w:style>
  <w:style w:type="paragraph" w:customStyle="1" w:styleId="CharCharCharCharCharCharChar6">
    <w:name w:val="Char Char Char Char Char Char Char6"/>
    <w:basedOn w:val="a0"/>
    <w:qFormat/>
    <w:rPr>
      <w:rFonts w:ascii="Tahoma" w:hAnsi="Tahoma"/>
      <w:bCs/>
      <w:szCs w:val="20"/>
    </w:rPr>
  </w:style>
  <w:style w:type="paragraph" w:customStyle="1" w:styleId="CharCharCharCharCharCharChar5">
    <w:name w:val="Char Char Char Char Char Char Char5"/>
    <w:basedOn w:val="a0"/>
    <w:qFormat/>
    <w:rPr>
      <w:rFonts w:ascii="Tahoma" w:hAnsi="Tahoma"/>
      <w:bCs/>
      <w:szCs w:val="20"/>
    </w:rPr>
  </w:style>
  <w:style w:type="paragraph" w:customStyle="1" w:styleId="CharCharCharCharCharCharChar4">
    <w:name w:val="Char Char Char Char Char Char Char4"/>
    <w:basedOn w:val="a0"/>
    <w:qFormat/>
    <w:rPr>
      <w:rFonts w:ascii="Tahoma" w:hAnsi="Tahoma"/>
      <w:bCs/>
      <w:szCs w:val="20"/>
    </w:rPr>
  </w:style>
  <w:style w:type="paragraph" w:customStyle="1" w:styleId="CharCharCharCharCharCharChar3">
    <w:name w:val="Char Char Char Char Char Char Char3"/>
    <w:basedOn w:val="a0"/>
    <w:qFormat/>
    <w:rPr>
      <w:rFonts w:ascii="Tahoma" w:hAnsi="Tahoma"/>
      <w:bCs/>
      <w:szCs w:val="20"/>
    </w:rPr>
  </w:style>
  <w:style w:type="paragraph" w:customStyle="1" w:styleId="CharCharCharCharCharCharChar2">
    <w:name w:val="Char Char Char Char Char Char Char2"/>
    <w:basedOn w:val="a0"/>
    <w:qFormat/>
    <w:rPr>
      <w:rFonts w:ascii="Tahoma" w:hAnsi="Tahoma"/>
      <w:bCs/>
      <w:szCs w:val="20"/>
    </w:rPr>
  </w:style>
  <w:style w:type="paragraph" w:customStyle="1" w:styleId="CharCharCharCharCharCharChar1">
    <w:name w:val="Char Char Char Char Char Char Char1"/>
    <w:basedOn w:val="a0"/>
    <w:qFormat/>
    <w:rPr>
      <w:rFonts w:ascii="Tahoma" w:hAnsi="Tahoma"/>
      <w:bCs/>
      <w:szCs w:val="20"/>
    </w:rPr>
  </w:style>
  <w:style w:type="character" w:customStyle="1" w:styleId="firstpagedate1">
    <w:name w:val="firstpagedate1"/>
    <w:qFormat/>
    <w:rPr>
      <w:rFonts w:ascii="ˎ̥" w:hAnsi="ˎ̥" w:hint="default"/>
      <w:color w:val="5AAA5A"/>
      <w:sz w:val="18"/>
      <w:szCs w:val="18"/>
    </w:rPr>
  </w:style>
  <w:style w:type="character" w:customStyle="1" w:styleId="firstpagedate">
    <w:name w:val="firstpagedate"/>
    <w:basedOn w:val="a1"/>
    <w:qFormat/>
  </w:style>
  <w:style w:type="character" w:customStyle="1" w:styleId="1b">
    <w:name w:val="访问过的超链接1"/>
    <w:basedOn w:val="a1"/>
    <w:uiPriority w:val="99"/>
    <w:semiHidden/>
    <w:unhideWhenUsed/>
    <w:qFormat/>
    <w:rPr>
      <w:color w:val="800080"/>
      <w:u w:val="single"/>
    </w:rPr>
  </w:style>
  <w:style w:type="character" w:customStyle="1" w:styleId="1c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a">
    <w:name w:val="正文文本缩进 字符"/>
    <w:basedOn w:val="a1"/>
    <w:link w:val="a9"/>
    <w:qFormat/>
    <w:rPr>
      <w:rFonts w:ascii="Times New Roman" w:hAnsi="Times New Roman"/>
      <w:kern w:val="2"/>
      <w:sz w:val="21"/>
      <w:szCs w:val="24"/>
    </w:rPr>
  </w:style>
  <w:style w:type="paragraph" w:customStyle="1" w:styleId="1d">
    <w:name w:val="列表段落1"/>
    <w:basedOn w:val="a0"/>
    <w:next w:val="affa"/>
    <w:uiPriority w:val="34"/>
    <w:qFormat/>
    <w:pPr>
      <w:ind w:firstLineChars="200" w:firstLine="420"/>
    </w:pPr>
    <w:rPr>
      <w:rFonts w:asciiTheme="minorHAnsi" w:eastAsiaTheme="minorEastAsia" w:hAnsiTheme="minorHAnsi" w:cstheme="minorBidi"/>
      <w:bCs/>
      <w:sz w:val="21"/>
      <w:szCs w:val="21"/>
    </w:rPr>
  </w:style>
  <w:style w:type="character" w:customStyle="1" w:styleId="1e">
    <w:name w:val="批注框文本 字符1"/>
    <w:basedOn w:val="a1"/>
    <w:uiPriority w:val="99"/>
    <w:semiHidden/>
    <w:qFormat/>
    <w:rPr>
      <w:sz w:val="18"/>
      <w:szCs w:val="18"/>
    </w:rPr>
  </w:style>
  <w:style w:type="character" w:customStyle="1" w:styleId="1f">
    <w:name w:val="页眉 字符1"/>
    <w:basedOn w:val="a1"/>
    <w:uiPriority w:val="99"/>
    <w:qFormat/>
    <w:rPr>
      <w:sz w:val="18"/>
      <w:szCs w:val="18"/>
    </w:rPr>
  </w:style>
  <w:style w:type="character" w:customStyle="1" w:styleId="1f0">
    <w:name w:val="页脚 字符1"/>
    <w:basedOn w:val="a1"/>
    <w:uiPriority w:val="99"/>
    <w:qFormat/>
    <w:rPr>
      <w:sz w:val="18"/>
      <w:szCs w:val="18"/>
    </w:rPr>
  </w:style>
  <w:style w:type="character" w:customStyle="1" w:styleId="swbf">
    <w:name w:val="swbf"/>
    <w:basedOn w:val="a1"/>
    <w:qFormat/>
  </w:style>
  <w:style w:type="character" w:customStyle="1" w:styleId="ywyy">
    <w:name w:val="ywyy"/>
    <w:basedOn w:val="a1"/>
    <w:qFormat/>
  </w:style>
  <w:style w:type="character" w:customStyle="1" w:styleId="swdz">
    <w:name w:val="swdz"/>
    <w:basedOn w:val="a1"/>
    <w:qFormat/>
  </w:style>
  <w:style w:type="character" w:customStyle="1" w:styleId="a6">
    <w:name w:val="批注文字 字符"/>
    <w:basedOn w:val="a1"/>
    <w:link w:val="a5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afff0">
    <w:name w:val="造字"/>
    <w:qFormat/>
    <w:rPr>
      <w:rFonts w:ascii="经典繁超宋" w:eastAsia="宋体-方正超大字符集"/>
      <w:sz w:val="32"/>
      <w:szCs w:val="52"/>
      <w:lang w:eastAsia="zh-CN"/>
    </w:rPr>
  </w:style>
  <w:style w:type="character" w:customStyle="1" w:styleId="111">
    <w:name w:val="未处理的提及1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51">
    <w:name w:val="标题 5 字符1"/>
    <w:basedOn w:val="a1"/>
    <w:link w:val="5"/>
    <w:uiPriority w:val="9"/>
    <w:semiHidden/>
    <w:qFormat/>
    <w:rPr>
      <w:rFonts w:ascii="宋体" w:hAnsi="宋体" w:cs="宋体"/>
      <w:b/>
      <w:bCs/>
      <w:sz w:val="28"/>
      <w:szCs w:val="28"/>
    </w:rPr>
  </w:style>
  <w:style w:type="character" w:customStyle="1" w:styleId="afff1">
    <w:name w:val="反切"/>
    <w:qFormat/>
    <w:rPr>
      <w:rFonts w:ascii="宋体" w:eastAsia="宋体-方正超大字符集" w:hAnsi="宋体"/>
      <w:color w:val="800000"/>
      <w:sz w:val="15"/>
      <w:szCs w:val="15"/>
    </w:rPr>
  </w:style>
  <w:style w:type="character" w:customStyle="1" w:styleId="afff2">
    <w:name w:val="控呇湮佽恅苤蚼 红色"/>
    <w:qFormat/>
    <w:rPr>
      <w:rFonts w:ascii="控呇湮佽恅苤蚼" w:eastAsia="控呇湮佽恅苤蚼" w:hAnsi="控呇湮佽恅苤蚼"/>
      <w:color w:val="FF0000"/>
    </w:rPr>
  </w:style>
  <w:style w:type="character" w:customStyle="1" w:styleId="fieldname">
    <w:name w:val="fieldname"/>
    <w:basedOn w:val="a1"/>
    <w:qFormat/>
  </w:style>
  <w:style w:type="character" w:customStyle="1" w:styleId="fieldvalue">
    <w:name w:val="fieldvalue"/>
    <w:basedOn w:val="a1"/>
    <w:qFormat/>
  </w:style>
  <w:style w:type="character" w:customStyle="1" w:styleId="number">
    <w:name w:val="number"/>
    <w:qFormat/>
    <w:rPr>
      <w:color w:val="0033FF"/>
    </w:rPr>
  </w:style>
  <w:style w:type="character" w:customStyle="1" w:styleId="lzspan">
    <w:name w:val="lzspan"/>
    <w:qFormat/>
  </w:style>
  <w:style w:type="character" w:customStyle="1" w:styleId="af5">
    <w:name w:val="副标题 字符"/>
    <w:basedOn w:val="a1"/>
    <w:link w:val="af4"/>
    <w:uiPriority w:val="11"/>
    <w:qFormat/>
    <w:rPr>
      <w:rFonts w:ascii="Arial" w:hAnsi="Arial"/>
      <w:b/>
      <w:bCs/>
      <w:kern w:val="28"/>
      <w:sz w:val="24"/>
      <w:szCs w:val="32"/>
    </w:rPr>
  </w:style>
  <w:style w:type="paragraph" w:customStyle="1" w:styleId="a">
    <w:name w:val="論著"/>
    <w:basedOn w:val="affa"/>
    <w:link w:val="afff3"/>
    <w:qFormat/>
    <w:pPr>
      <w:numPr>
        <w:numId w:val="1"/>
      </w:numPr>
      <w:wordWrap w:val="0"/>
      <w:spacing w:line="360" w:lineRule="auto"/>
      <w:ind w:left="420" w:firstLineChars="0" w:hanging="420"/>
    </w:pPr>
    <w:rPr>
      <w:szCs w:val="28"/>
    </w:rPr>
  </w:style>
  <w:style w:type="character" w:customStyle="1" w:styleId="afff3">
    <w:name w:val="論著 字符"/>
    <w:basedOn w:val="a1"/>
    <w:link w:val="a"/>
    <w:qFormat/>
    <w:rPr>
      <w:rFonts w:ascii="宋体" w:hAnsi="宋体"/>
      <w:kern w:val="2"/>
      <w:sz w:val="24"/>
      <w:szCs w:val="28"/>
    </w:rPr>
  </w:style>
  <w:style w:type="character" w:customStyle="1" w:styleId="nyfontcontent">
    <w:name w:val="ny_font_content"/>
    <w:basedOn w:val="a1"/>
    <w:qFormat/>
  </w:style>
  <w:style w:type="character" w:customStyle="1" w:styleId="22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zi21">
    <w:name w:val="zi21"/>
    <w:basedOn w:val="a1"/>
    <w:qFormat/>
    <w:rPr>
      <w:rFonts w:ascii="KaiXinSong" w:eastAsia="KaiXinSong" w:hAnsi="KaiXinSong" w:hint="eastAsia"/>
    </w:rPr>
  </w:style>
  <w:style w:type="paragraph" w:customStyle="1" w:styleId="afff4">
    <w:name w:val="样式"/>
    <w:qFormat/>
    <w:pPr>
      <w:widowControl w:val="0"/>
      <w:autoSpaceDE w:val="0"/>
      <w:autoSpaceDN w:val="0"/>
      <w:adjustRightInd w:val="0"/>
    </w:pPr>
    <w:rPr>
      <w:rFonts w:ascii="宋体" w:hAnsi="Times New Roman" w:cs="宋体"/>
      <w:sz w:val="24"/>
      <w:szCs w:val="24"/>
    </w:rPr>
  </w:style>
  <w:style w:type="table" w:customStyle="1" w:styleId="1f1">
    <w:name w:val="网格型1"/>
    <w:basedOn w:val="a2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-tooltip">
    <w:name w:val="title-tooltip"/>
    <w:basedOn w:val="a1"/>
    <w:qFormat/>
  </w:style>
  <w:style w:type="paragraph" w:styleId="afff5">
    <w:name w:val="Quote"/>
    <w:basedOn w:val="a0"/>
    <w:uiPriority w:val="29"/>
    <w:qFormat/>
    <w:pPr>
      <w:ind w:leftChars="200" w:left="200"/>
    </w:pPr>
    <w:rPr>
      <w:rFonts w:eastAsia="仿宋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3014</Words>
  <Characters>3075</Characters>
  <Application>Microsoft Office Word</Application>
  <DocSecurity>0</DocSecurity>
  <Lines>133</Lines>
  <Paragraphs>77</Paragraphs>
  <ScaleCrop>false</ScaleCrop>
  <Company>GWZ</Company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lastModifiedBy>YR M</cp:lastModifiedBy>
  <cp:revision>290</cp:revision>
  <dcterms:created xsi:type="dcterms:W3CDTF">2018-01-28T09:07:00Z</dcterms:created>
  <dcterms:modified xsi:type="dcterms:W3CDTF">2025-09-28T02:08:00Z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309ff620ad76616861290f234b7f9af256d5ee33649d63cb7ce801945e0e44d0</vt:lpwstr>
  </property>
  <property fmtid="{D5CDD505-2E9C-101B-9397-08002B2CF9AE}" pid="3" name="KSOTemplateDocerSaveRecord">
    <vt:lpwstr>eyJoZGlkIjoiMWQ0M2YzYWI1YTZmZGE0ZmQ4OGFkMDgzNGU5M2ViZTgiLCJ1c2VySWQiOiI2MjMxMzczODQifQ==</vt:lpwstr>
  </property>
  <property fmtid="{D5CDD505-2E9C-101B-9397-08002B2CF9AE}" pid="4" name="KSOProductBuildVer">
    <vt:lpwstr>2052-6.7.1.8828</vt:lpwstr>
  </property>
  <property fmtid="{D5CDD505-2E9C-101B-9397-08002B2CF9AE}" pid="5" name="ICV">
    <vt:lpwstr>B73E3114B1E3C534808AD868576E8F27_43</vt:lpwstr>
  </property>
</Properties>
</file>