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EDA06" w14:textId="77777777" w:rsidR="00195945" w:rsidRDefault="00000000">
      <w:pPr>
        <w:pStyle w:val="aa"/>
        <w:rPr>
          <w:rFonts w:eastAsia="宋体" w:hAnsi="宋体" w:cs="Times New Roman" w:hint="eastAsia"/>
        </w:rPr>
      </w:pPr>
      <w:bookmarkStart w:id="0" w:name="OLE_LINK1"/>
      <w:r>
        <w:rPr>
          <w:rFonts w:eastAsia="宋体" w:hAnsi="宋体" w:cs="Times New Roman" w:hint="eastAsia"/>
        </w:rPr>
        <w:t>2016</w:t>
      </w:r>
      <w:r>
        <w:rPr>
          <w:rFonts w:eastAsia="宋体" w:hAnsi="宋体" w:cs="Times New Roman" w:hint="eastAsia"/>
        </w:rPr>
        <w:t>—</w:t>
      </w:r>
      <w:r>
        <w:rPr>
          <w:rFonts w:eastAsia="宋体" w:hAnsi="宋体" w:cs="Times New Roman" w:hint="eastAsia"/>
        </w:rPr>
        <w:t>2023</w:t>
      </w:r>
      <w:r>
        <w:rPr>
          <w:rFonts w:eastAsia="宋体" w:hAnsi="宋体" w:cs="Times New Roman" w:hint="eastAsia"/>
        </w:rPr>
        <w:t>年敦煌马圈湾汉简研究综述</w:t>
      </w:r>
    </w:p>
    <w:p w14:paraId="673F09EB" w14:textId="77777777" w:rsidR="00195945" w:rsidRDefault="00195945">
      <w:pPr>
        <w:pStyle w:val="aa"/>
        <w:rPr>
          <w:rFonts w:eastAsia="宋体" w:hAnsi="宋体" w:cs="Times New Roman" w:hint="eastAsia"/>
        </w:rPr>
      </w:pPr>
    </w:p>
    <w:p w14:paraId="786C723B" w14:textId="77777777" w:rsidR="00195945" w:rsidRDefault="00000000">
      <w:pPr>
        <w:pStyle w:val="ab"/>
        <w:rPr>
          <w:rFonts w:ascii="宋体" w:eastAsia="宋体" w:hAnsi="宋体" w:cs="Times New Roman" w:hint="eastAsia"/>
          <w:szCs w:val="22"/>
          <w:lang w:eastAsia="zh-CN"/>
        </w:rPr>
      </w:pPr>
      <w:r>
        <w:rPr>
          <w:rFonts w:ascii="宋体" w:eastAsia="宋体" w:hAnsi="宋体" w:cs="Times New Roman" w:hint="eastAsia"/>
          <w:szCs w:val="22"/>
          <w:lang w:eastAsia="zh-CN"/>
        </w:rPr>
        <w:t>（首发）</w:t>
      </w:r>
    </w:p>
    <w:p w14:paraId="736736EB" w14:textId="77777777" w:rsidR="00195945" w:rsidRDefault="00000000">
      <w:pPr>
        <w:pStyle w:val="ab"/>
        <w:rPr>
          <w:rFonts w:ascii="宋体" w:eastAsia="宋体" w:hAnsi="宋体" w:cs="Times New Roman" w:hint="eastAsia"/>
          <w:szCs w:val="22"/>
          <w:lang w:eastAsia="zh-CN"/>
        </w:rPr>
      </w:pPr>
      <w:r>
        <w:rPr>
          <w:rFonts w:ascii="宋体" w:eastAsia="宋体" w:hAnsi="宋体" w:cs="Times New Roman" w:hint="eastAsia"/>
          <w:szCs w:val="22"/>
          <w:lang w:eastAsia="zh-CN"/>
        </w:rPr>
        <w:t>王玉婷1 韩树伟2</w:t>
      </w:r>
    </w:p>
    <w:p w14:paraId="59B2CE61" w14:textId="77777777" w:rsidR="00195945" w:rsidRDefault="00000000">
      <w:pPr>
        <w:pStyle w:val="ac"/>
        <w:ind w:firstLine="560"/>
        <w:jc w:val="center"/>
        <w:rPr>
          <w:rFonts w:ascii="宋体" w:eastAsia="宋体" w:hAnsi="宋体" w:cs="Times New Roman" w:hint="eastAsia"/>
          <w:szCs w:val="28"/>
        </w:rPr>
      </w:pPr>
      <w:r>
        <w:rPr>
          <w:rFonts w:ascii="宋体" w:eastAsia="宋体" w:hAnsi="宋体" w:cs="Times New Roman" w:hint="eastAsia"/>
          <w:szCs w:val="28"/>
        </w:rPr>
        <w:footnoteReference w:customMarkFollows="1" w:id="1"/>
        <w:t>（1.甘肃简牍博物馆 甘肃兰州 730030；2.兰州大学 甘肃兰州 730000）</w:t>
      </w:r>
    </w:p>
    <w:p w14:paraId="3BA44691" w14:textId="77777777" w:rsidR="00195945" w:rsidRDefault="00195945">
      <w:pPr>
        <w:spacing w:line="360" w:lineRule="auto"/>
        <w:ind w:firstLineChars="200" w:firstLine="480"/>
        <w:rPr>
          <w:rFonts w:ascii="宋体" w:eastAsia="宋体" w:hAnsi="宋体" w:cs="宋体" w:hint="eastAsia"/>
          <w:sz w:val="24"/>
        </w:rPr>
      </w:pPr>
    </w:p>
    <w:p w14:paraId="2833EEA9" w14:textId="77777777" w:rsidR="00195945" w:rsidRDefault="00000000">
      <w:pPr>
        <w:pStyle w:val="ac"/>
        <w:ind w:firstLine="562"/>
        <w:rPr>
          <w:rFonts w:ascii="宋体" w:eastAsia="宋体" w:hAnsi="宋体" w:cs="Times New Roman" w:hint="eastAsia"/>
          <w:szCs w:val="22"/>
        </w:rPr>
      </w:pPr>
      <w:r>
        <w:rPr>
          <w:rFonts w:ascii="宋体" w:eastAsia="宋体" w:hAnsi="宋体" w:cs="Times New Roman" w:hint="eastAsia"/>
          <w:b/>
          <w:bCs/>
          <w:szCs w:val="22"/>
        </w:rPr>
        <w:t>摘 要：</w:t>
      </w:r>
      <w:r>
        <w:rPr>
          <w:rFonts w:ascii="宋体" w:eastAsia="宋体" w:hAnsi="宋体" w:cs="Times New Roman" w:hint="eastAsia"/>
          <w:szCs w:val="22"/>
        </w:rPr>
        <w:t>敦煌马圈湾汉简自发掘出土以来，在同时期全国各地简牍陆续出土、公布的影响下，加之简牍自身条件和保存环境的限制，释读研究工作呈现出进展慢、质量不高的特点。近十年来，《敦煌马圈湾汉简集释》通过红外扫描高清图版取得新的突破并使得简牍再整理成为可能，随之推动各方面的相关研究呈现出新的面貌和发展趋向。文章重点对2016—2023年敦煌马圈湾汉简相关研究情况作一回顾和梳理，希冀裨益于学界。</w:t>
      </w:r>
    </w:p>
    <w:p w14:paraId="6B5795E5" w14:textId="77777777" w:rsidR="00195945" w:rsidRDefault="00000000">
      <w:pPr>
        <w:pStyle w:val="ac"/>
        <w:ind w:firstLine="562"/>
        <w:rPr>
          <w:rFonts w:ascii="宋体" w:eastAsia="宋体" w:hAnsi="宋体" w:cs="Times New Roman" w:hint="eastAsia"/>
          <w:szCs w:val="22"/>
        </w:rPr>
      </w:pPr>
      <w:r>
        <w:rPr>
          <w:rFonts w:ascii="宋体" w:eastAsia="宋体" w:hAnsi="宋体" w:cs="Times New Roman" w:hint="eastAsia"/>
          <w:b/>
          <w:bCs/>
          <w:szCs w:val="22"/>
        </w:rPr>
        <w:t>关键词：</w:t>
      </w:r>
      <w:r>
        <w:rPr>
          <w:rFonts w:ascii="宋体" w:eastAsia="宋体" w:hAnsi="宋体" w:cs="Times New Roman" w:hint="eastAsia"/>
          <w:szCs w:val="22"/>
        </w:rPr>
        <w:t>敦煌；马圈湾；汉简；研究综述</w:t>
      </w:r>
    </w:p>
    <w:p w14:paraId="1A1E5D7E" w14:textId="77777777" w:rsidR="00195945" w:rsidRDefault="00000000">
      <w:pPr>
        <w:pStyle w:val="ac"/>
        <w:ind w:firstLine="562"/>
        <w:rPr>
          <w:rFonts w:ascii="宋体" w:eastAsia="宋体" w:hAnsi="宋体" w:cs="宋体" w:hint="eastAsia"/>
          <w:sz w:val="24"/>
        </w:rPr>
      </w:pPr>
      <w:r>
        <w:rPr>
          <w:rFonts w:ascii="宋体" w:eastAsia="宋体" w:hAnsi="宋体" w:cs="Times New Roman" w:hint="eastAsia"/>
          <w:b/>
          <w:bCs/>
          <w:szCs w:val="22"/>
        </w:rPr>
        <w:t>中图分类号：</w:t>
      </w:r>
      <w:r>
        <w:rPr>
          <w:rFonts w:ascii="宋体" w:eastAsia="宋体" w:hAnsi="宋体" w:cs="Times New Roman"/>
          <w:szCs w:val="22"/>
        </w:rPr>
        <w:t xml:space="preserve">K887.5 </w:t>
      </w:r>
      <w:r>
        <w:rPr>
          <w:rFonts w:ascii="宋体" w:eastAsia="宋体" w:hAnsi="宋体" w:cs="Times New Roman" w:hint="eastAsia"/>
          <w:b/>
          <w:bCs/>
          <w:szCs w:val="22"/>
        </w:rPr>
        <w:t xml:space="preserve">  文献标识码：</w:t>
      </w:r>
      <w:r>
        <w:rPr>
          <w:rFonts w:ascii="宋体" w:eastAsia="宋体" w:hAnsi="宋体" w:cs="Times New Roman"/>
          <w:szCs w:val="22"/>
        </w:rPr>
        <w:t>A</w:t>
      </w:r>
      <w:r>
        <w:rPr>
          <w:rFonts w:ascii="宋体" w:eastAsia="宋体" w:hAnsi="宋体" w:cs="Times New Roman" w:hint="eastAsia"/>
          <w:szCs w:val="22"/>
        </w:rPr>
        <w:t xml:space="preserve"> </w:t>
      </w:r>
      <w:r>
        <w:rPr>
          <w:rFonts w:ascii="宋体" w:eastAsia="宋体" w:hAnsi="宋体" w:cs="Times New Roman" w:hint="eastAsia"/>
          <w:b/>
          <w:bCs/>
          <w:szCs w:val="22"/>
        </w:rPr>
        <w:t xml:space="preserve">  文章编号：</w:t>
      </w:r>
      <w:r>
        <w:rPr>
          <w:rFonts w:ascii="宋体" w:eastAsia="宋体" w:hAnsi="宋体" w:cs="宋体" w:hint="eastAsia"/>
          <w:sz w:val="24"/>
        </w:rPr>
        <w:tab/>
      </w:r>
    </w:p>
    <w:p w14:paraId="19F56273" w14:textId="77777777" w:rsidR="00195945" w:rsidRDefault="00195945">
      <w:pPr>
        <w:spacing w:line="360" w:lineRule="auto"/>
        <w:ind w:firstLineChars="200" w:firstLine="480"/>
        <w:rPr>
          <w:rFonts w:ascii="宋体" w:eastAsia="宋体" w:hAnsi="宋体" w:cs="宋体" w:hint="eastAsia"/>
          <w:sz w:val="24"/>
        </w:rPr>
      </w:pPr>
    </w:p>
    <w:p w14:paraId="75CE87AD" w14:textId="77777777" w:rsidR="00195945" w:rsidRDefault="00000000">
      <w:pPr>
        <w:pStyle w:val="ac"/>
        <w:ind w:firstLine="562"/>
        <w:jc w:val="center"/>
        <w:rPr>
          <w:rFonts w:ascii="宋体" w:eastAsia="宋体" w:hAnsi="宋体" w:cs="Times New Roman" w:hint="eastAsia"/>
          <w:b/>
          <w:bCs/>
          <w:szCs w:val="22"/>
        </w:rPr>
      </w:pPr>
      <w:r>
        <w:rPr>
          <w:rFonts w:ascii="宋体" w:eastAsia="宋体" w:hAnsi="宋体" w:cs="Times New Roman" w:hint="eastAsia"/>
          <w:b/>
          <w:bCs/>
          <w:szCs w:val="22"/>
        </w:rPr>
        <w:t>引 言</w:t>
      </w:r>
    </w:p>
    <w:p w14:paraId="0F37F701" w14:textId="77777777" w:rsidR="00195945" w:rsidRDefault="00000000">
      <w:pPr>
        <w:pStyle w:val="ac"/>
        <w:ind w:firstLine="560"/>
        <w:rPr>
          <w:rFonts w:ascii="宋体" w:eastAsia="宋体" w:hAnsi="宋体" w:cs="Times New Roman" w:hint="eastAsia"/>
          <w:szCs w:val="22"/>
        </w:rPr>
      </w:pPr>
      <w:r>
        <w:rPr>
          <w:rFonts w:ascii="宋体" w:eastAsia="宋体" w:hAnsi="宋体" w:cs="Times New Roman" w:hint="eastAsia"/>
          <w:szCs w:val="22"/>
        </w:rPr>
        <w:t>马圈湾遗址是汉代敦煌郡负责西北方向防御的玉门都尉下辖二候官之一玉门候官所在地。1979年，甘肃省博物馆文物队与敦煌县</w:t>
      </w:r>
      <w:r>
        <w:rPr>
          <w:rFonts w:ascii="宋体" w:eastAsia="宋体" w:hAnsi="宋体" w:cs="Times New Roman" w:hint="eastAsia"/>
          <w:szCs w:val="22"/>
        </w:rPr>
        <w:lastRenderedPageBreak/>
        <w:t>文化馆在河西对汉长城进行联合调查中，意外发现了斯坦因遗漏的马圈湾烽隧遗址（编号</w:t>
      </w:r>
      <w:r>
        <w:rPr>
          <w:rFonts w:ascii="宋体" w:eastAsia="宋体" w:hAnsi="宋体" w:cs="Times New Roman"/>
          <w:szCs w:val="22"/>
        </w:rPr>
        <w:t>D21</w:t>
      </w:r>
      <w:r>
        <w:rPr>
          <w:rFonts w:ascii="宋体" w:eastAsia="宋体" w:hAnsi="宋体" w:cs="Times New Roman" w:hint="eastAsia"/>
          <w:szCs w:val="22"/>
        </w:rPr>
        <w:t>），并发掘出土简牍1217枚，敦煌马圈湾汉简的发现，为研究汉代与西域交往乃至丝绸之路上的历史文化提供了宝贵的文献资料。</w:t>
      </w:r>
      <w:r>
        <w:rPr>
          <w:rFonts w:ascii="宋体" w:eastAsia="宋体" w:hAnsi="宋体" w:cs="Times New Roman" w:hint="eastAsia"/>
          <w:szCs w:val="22"/>
          <w:vertAlign w:val="superscript"/>
        </w:rPr>
        <w:footnoteReference w:id="2"/>
      </w:r>
    </w:p>
    <w:p w14:paraId="710B9E47" w14:textId="77777777" w:rsidR="00195945" w:rsidRDefault="00000000">
      <w:pPr>
        <w:pStyle w:val="ac"/>
        <w:ind w:firstLine="560"/>
        <w:rPr>
          <w:rFonts w:ascii="宋体" w:eastAsia="宋体" w:hAnsi="宋体" w:cs="Times New Roman" w:hint="eastAsia"/>
          <w:szCs w:val="22"/>
        </w:rPr>
      </w:pPr>
      <w:r>
        <w:rPr>
          <w:rFonts w:ascii="宋体" w:eastAsia="宋体" w:hAnsi="宋体" w:cs="Times New Roman" w:hint="eastAsia"/>
          <w:szCs w:val="22"/>
        </w:rPr>
        <w:t>早期的马圈湾汉简，在1991年由中华书局以《敦煌汉简》</w:t>
      </w:r>
      <w:r>
        <w:rPr>
          <w:rFonts w:ascii="宋体" w:eastAsia="宋体" w:hAnsi="宋体" w:cs="Times New Roman" w:hint="eastAsia"/>
          <w:szCs w:val="22"/>
          <w:vertAlign w:val="superscript"/>
        </w:rPr>
        <w:footnoteReference w:id="3"/>
      </w:r>
      <w:r>
        <w:rPr>
          <w:rFonts w:ascii="宋体" w:eastAsia="宋体" w:hAnsi="宋体" w:cs="Times New Roman" w:hint="eastAsia"/>
          <w:szCs w:val="22"/>
        </w:rPr>
        <w:t>出版。随着红外照相和印刷技术的成熟和运用，2013年张德芳主编的《敦煌马圈湾汉简集释》</w:t>
      </w:r>
      <w:r>
        <w:rPr>
          <w:rFonts w:ascii="宋体" w:eastAsia="宋体" w:hAnsi="宋体" w:cs="Times New Roman" w:hint="eastAsia"/>
          <w:szCs w:val="22"/>
          <w:vertAlign w:val="superscript"/>
        </w:rPr>
        <w:footnoteReference w:id="4"/>
      </w:r>
      <w:r>
        <w:rPr>
          <w:rFonts w:ascii="宋体" w:eastAsia="宋体" w:hAnsi="宋体" w:cs="Times New Roman" w:hint="eastAsia"/>
          <w:szCs w:val="22"/>
        </w:rPr>
        <w:t>（以下简称“《集释》”）出版后，马圈湾汉简再整理进入一个新阶段，白军鹏博士学位论文《敦煌汉简整理与研究》</w:t>
      </w:r>
      <w:r>
        <w:rPr>
          <w:rFonts w:ascii="宋体" w:eastAsia="宋体" w:hAnsi="宋体" w:cs="Times New Roman" w:hint="eastAsia"/>
          <w:szCs w:val="22"/>
          <w:vertAlign w:val="superscript"/>
        </w:rPr>
        <w:footnoteReference w:id="5"/>
      </w:r>
      <w:r>
        <w:rPr>
          <w:rFonts w:ascii="宋体" w:eastAsia="宋体" w:hAnsi="宋体" w:cs="Times New Roman" w:hint="eastAsia"/>
          <w:szCs w:val="22"/>
        </w:rPr>
        <w:t>及论文修订后出版的《敦煌汉简校释》</w:t>
      </w:r>
      <w:r>
        <w:rPr>
          <w:rFonts w:ascii="宋体" w:eastAsia="宋体" w:hAnsi="宋体" w:cs="Times New Roman" w:hint="eastAsia"/>
          <w:szCs w:val="22"/>
          <w:vertAlign w:val="superscript"/>
        </w:rPr>
        <w:footnoteReference w:id="6"/>
      </w:r>
      <w:r>
        <w:rPr>
          <w:rFonts w:ascii="宋体" w:eastAsia="宋体" w:hAnsi="宋体" w:cs="Times New Roman" w:hint="eastAsia"/>
          <w:szCs w:val="22"/>
        </w:rPr>
        <w:t>，在综合已有学者释读的基础上，对包括马圈湾汉简在内的全部敦煌汉简进行了详细梳理。张俊民《马圈湾汉简整理与研究》</w:t>
      </w:r>
      <w:r>
        <w:rPr>
          <w:rFonts w:ascii="宋体" w:eastAsia="宋体" w:hAnsi="宋体" w:cs="Times New Roman" w:hint="eastAsia"/>
          <w:szCs w:val="22"/>
          <w:vertAlign w:val="superscript"/>
        </w:rPr>
        <w:footnoteReference w:id="7"/>
      </w:r>
      <w:r>
        <w:rPr>
          <w:rFonts w:ascii="宋体" w:eastAsia="宋体" w:hAnsi="宋体" w:cs="Times New Roman" w:hint="eastAsia"/>
          <w:szCs w:val="22"/>
        </w:rPr>
        <w:t>是迄今为止最为系统全面整理马圈湾汉简释读、释文及说明有关问题的著作，参考价值较高，对马圈湾汉简再研究具有重要的指导作用。基于此，笔者着重对2016—2023年敦煌马圈湾汉简相关研究作一回顾和梳理，旨在为学界同仁提供学术上的便利。不足之处，祈请方家批评指正。</w:t>
      </w:r>
    </w:p>
    <w:p w14:paraId="65C3FD7B" w14:textId="77777777" w:rsidR="00195945" w:rsidRDefault="00000000">
      <w:pPr>
        <w:pStyle w:val="ac"/>
        <w:ind w:firstLine="560"/>
        <w:rPr>
          <w:rFonts w:ascii="宋体" w:eastAsia="宋体" w:hAnsi="宋体" w:cs="Times New Roman" w:hint="eastAsia"/>
          <w:szCs w:val="22"/>
        </w:rPr>
      </w:pPr>
      <w:r>
        <w:rPr>
          <w:rFonts w:ascii="宋体" w:eastAsia="宋体" w:hAnsi="宋体" w:cs="Times New Roman" w:hint="eastAsia"/>
          <w:szCs w:val="22"/>
        </w:rPr>
        <w:t>一、释文辨识校正</w:t>
      </w:r>
    </w:p>
    <w:p w14:paraId="2AE042E8" w14:textId="77777777" w:rsidR="00195945" w:rsidRDefault="00000000">
      <w:pPr>
        <w:pStyle w:val="ac"/>
        <w:ind w:firstLine="560"/>
        <w:rPr>
          <w:rFonts w:ascii="宋体" w:eastAsia="宋体" w:hAnsi="宋体" w:cs="Times New Roman" w:hint="eastAsia"/>
          <w:szCs w:val="22"/>
        </w:rPr>
      </w:pPr>
      <w:r>
        <w:rPr>
          <w:rFonts w:ascii="宋体" w:eastAsia="宋体" w:hAnsi="宋体" w:cs="Times New Roman" w:hint="eastAsia"/>
          <w:szCs w:val="22"/>
        </w:rPr>
        <w:t>简文释读的准确性是一切研究的基础。近年来，马圈湾汉简释文辨识考证工作持续“求真出新”，简牍文字初始整理之后，需经过多</w:t>
      </w:r>
      <w:r>
        <w:rPr>
          <w:rFonts w:ascii="宋体" w:eastAsia="宋体" w:hAnsi="宋体" w:cs="Times New Roman" w:hint="eastAsia"/>
          <w:szCs w:val="22"/>
        </w:rPr>
        <w:lastRenderedPageBreak/>
        <w:t>次推敲修订，才能逐渐臻于完备，达至善本。</w:t>
      </w:r>
    </w:p>
    <w:p w14:paraId="78739558" w14:textId="77777777" w:rsidR="00195945" w:rsidRDefault="00000000">
      <w:pPr>
        <w:pStyle w:val="ac"/>
        <w:ind w:firstLine="560"/>
        <w:rPr>
          <w:rFonts w:ascii="宋体" w:eastAsia="宋体" w:hAnsi="宋体" w:cs="Times New Roman" w:hint="eastAsia"/>
          <w:szCs w:val="22"/>
        </w:rPr>
      </w:pPr>
      <w:r>
        <w:rPr>
          <w:rFonts w:ascii="宋体" w:eastAsia="宋体" w:hAnsi="宋体" w:cs="Times New Roman" w:hint="eastAsia"/>
          <w:szCs w:val="22"/>
        </w:rPr>
        <w:t>（一）未释字探论</w:t>
      </w:r>
    </w:p>
    <w:p w14:paraId="053553B9" w14:textId="77777777" w:rsidR="00195945" w:rsidRDefault="00000000">
      <w:pPr>
        <w:pStyle w:val="ac"/>
        <w:ind w:firstLine="560"/>
        <w:rPr>
          <w:rFonts w:ascii="宋体" w:eastAsia="宋体" w:hAnsi="宋体" w:cs="Times New Roman" w:hint="eastAsia"/>
          <w:szCs w:val="22"/>
        </w:rPr>
      </w:pPr>
      <w:r>
        <w:rPr>
          <w:rFonts w:ascii="宋体" w:eastAsia="宋体" w:hAnsi="宋体" w:cs="Times New Roman" w:hint="eastAsia"/>
          <w:szCs w:val="22"/>
        </w:rPr>
        <w:t>张丽萍、王丹《&lt;敦煌马圈湾汉简集释&gt;未释疑难字考》</w:t>
      </w:r>
      <w:r>
        <w:rPr>
          <w:rFonts w:ascii="宋体" w:eastAsia="宋体" w:hAnsi="宋体" w:cs="Times New Roman" w:hint="eastAsia"/>
          <w:szCs w:val="22"/>
          <w:vertAlign w:val="superscript"/>
        </w:rPr>
        <w:footnoteReference w:id="8"/>
      </w:r>
      <w:r>
        <w:rPr>
          <w:rFonts w:ascii="宋体" w:eastAsia="宋体" w:hAnsi="宋体" w:cs="Times New Roman" w:hint="eastAsia"/>
          <w:szCs w:val="22"/>
          <w:lang w:eastAsia="zh-TW"/>
        </w:rPr>
        <w:t>藉助图版，</w:t>
      </w:r>
      <w:r>
        <w:rPr>
          <w:rFonts w:ascii="宋体" w:eastAsia="宋体" w:hAnsi="宋体" w:cs="Times New Roman" w:hint="eastAsia"/>
          <w:szCs w:val="22"/>
        </w:rPr>
        <w:t>讨论了</w:t>
      </w:r>
      <w:r>
        <w:rPr>
          <w:rFonts w:ascii="宋体" w:eastAsia="宋体" w:hAnsi="宋体" w:cs="Times New Roman" w:hint="eastAsia"/>
          <w:szCs w:val="22"/>
          <w:lang w:eastAsia="zh-TW"/>
        </w:rPr>
        <w:t>旧有释读的缺漏字</w:t>
      </w:r>
      <w:r>
        <w:rPr>
          <w:rFonts w:ascii="宋体" w:eastAsia="宋体" w:hAnsi="宋体" w:cs="Times New Roman" w:hint="eastAsia"/>
          <w:szCs w:val="22"/>
        </w:rPr>
        <w:t>，文章综合利用草书、碑刻、敦煌文献等材料，选取《集释》字形清晰完整但释读难度大、未能隶定的五例未释字进行讨论，对有误之处给出释文并加以说明。</w:t>
      </w:r>
    </w:p>
    <w:p w14:paraId="69D99255" w14:textId="77777777" w:rsidR="00195945" w:rsidRDefault="00000000">
      <w:pPr>
        <w:pStyle w:val="ac"/>
        <w:ind w:firstLine="560"/>
        <w:rPr>
          <w:rFonts w:ascii="宋体" w:eastAsia="宋体" w:hAnsi="宋体" w:cs="Times New Roman" w:hint="eastAsia"/>
          <w:szCs w:val="22"/>
        </w:rPr>
      </w:pPr>
      <w:r>
        <w:rPr>
          <w:rFonts w:ascii="宋体" w:eastAsia="宋体" w:hAnsi="宋体" w:cs="Times New Roman" w:hint="eastAsia"/>
          <w:szCs w:val="22"/>
        </w:rPr>
        <w:t>（二）误释字订正</w:t>
      </w:r>
    </w:p>
    <w:p w14:paraId="5ACFB493" w14:textId="77777777" w:rsidR="00195945" w:rsidRDefault="00000000">
      <w:pPr>
        <w:pStyle w:val="ac"/>
        <w:ind w:firstLine="560"/>
        <w:rPr>
          <w:rFonts w:ascii="宋体" w:eastAsia="宋体" w:hAnsi="宋体" w:cs="Times New Roman" w:hint="eastAsia"/>
          <w:szCs w:val="22"/>
        </w:rPr>
      </w:pPr>
      <w:r>
        <w:rPr>
          <w:rFonts w:ascii="宋体" w:eastAsia="宋体" w:hAnsi="宋体" w:cs="Times New Roman" w:hint="eastAsia"/>
          <w:szCs w:val="22"/>
        </w:rPr>
        <w:t>张丽萍、张显成《&lt;敦煌马圈湾汉简集释&gt;释读订误》</w:t>
      </w:r>
      <w:r>
        <w:rPr>
          <w:rFonts w:ascii="宋体" w:eastAsia="宋体" w:hAnsi="宋体" w:cs="Times New Roman" w:hint="eastAsia"/>
          <w:szCs w:val="22"/>
          <w:vertAlign w:val="superscript"/>
        </w:rPr>
        <w:footnoteReference w:id="9"/>
      </w:r>
      <w:r>
        <w:rPr>
          <w:rFonts w:ascii="宋体" w:eastAsia="宋体" w:hAnsi="宋体" w:cs="Times New Roman" w:hint="eastAsia"/>
          <w:szCs w:val="22"/>
        </w:rPr>
        <w:t>在核对图版的基础上，征引《敦煌汉简》《居延汉简》《居延新简》《肩水金关汉简》《额济纳汉简》等简帛材料，发现《集释》十则误释字并进行订正释读，对有误之处均给出释文，加按语阐明观点，总结出横向归纳形近字间区别性特征、纵向归纳部件演变规律、联系释例和上下文语境及综合运用等考释简牍草书文字的方法。白军鹏、汪云龙《敦煌马圈湾汉简释文订补（六则）》</w:t>
      </w:r>
      <w:r>
        <w:rPr>
          <w:rFonts w:ascii="宋体" w:eastAsia="宋体" w:hAnsi="宋体" w:cs="Times New Roman" w:hint="eastAsia"/>
          <w:szCs w:val="22"/>
          <w:vertAlign w:val="superscript"/>
        </w:rPr>
        <w:footnoteReference w:id="10"/>
      </w:r>
      <w:r>
        <w:rPr>
          <w:rFonts w:ascii="宋体" w:eastAsia="宋体" w:hAnsi="宋体" w:cs="Times New Roman" w:hint="eastAsia"/>
          <w:szCs w:val="22"/>
        </w:rPr>
        <w:t>对马圈湾汉简中释字有问题的六枚简牍进行重新考释，订正新释简中“窳”“苣”“寂”“功”“肩”“眉”等字，并对与之相关的历史及文化问题作进一步探讨。袁金平、卢海霞《敦煌马圈湾汉简“埻道”释义辨正》</w:t>
      </w:r>
      <w:r>
        <w:rPr>
          <w:rFonts w:ascii="宋体" w:eastAsia="宋体" w:hAnsi="宋体" w:cs="Times New Roman" w:hint="eastAsia"/>
          <w:szCs w:val="22"/>
          <w:vertAlign w:val="superscript"/>
        </w:rPr>
        <w:footnoteReference w:id="11"/>
      </w:r>
      <w:r>
        <w:rPr>
          <w:rFonts w:ascii="宋体" w:eastAsia="宋体" w:hAnsi="宋体" w:cs="Times New Roman" w:hint="eastAsia"/>
          <w:szCs w:val="22"/>
        </w:rPr>
        <w:t>根据汉简有关“埻道</w:t>
      </w:r>
      <w:r>
        <w:rPr>
          <w:rFonts w:ascii="宋体" w:eastAsia="宋体" w:hAnsi="宋体" w:cs="Times New Roman" w:hint="eastAsia"/>
          <w:szCs w:val="22"/>
        </w:rPr>
        <w:lastRenderedPageBreak/>
        <w:t>广、高各丈”的描述，在考察居延汉简相关简文中“埻”“埻</w:t>
      </w:r>
      <w:r>
        <w:rPr>
          <w:rFonts w:ascii="宋体" w:eastAsia="宋体" w:hAnsi="宋体" w:cs="Times New Roman" w:hint="eastAsia"/>
          <w:noProof/>
          <w:szCs w:val="22"/>
        </w:rPr>
        <w:drawing>
          <wp:inline distT="0" distB="0" distL="114300" distR="114300" wp14:anchorId="11455566" wp14:editId="2BE9EEEA">
            <wp:extent cx="215265" cy="125730"/>
            <wp:effectExtent l="0" t="0" r="13335" b="7620"/>
            <wp:docPr id="3" name="图片 3" descr="a3331ea3c90f2fe0441b46922b56f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3331ea3c90f2fe0441b46922b56f63"/>
                    <pic:cNvPicPr>
                      <a:picLocks noChangeAspect="1"/>
                    </pic:cNvPicPr>
                  </pic:nvPicPr>
                  <pic:blipFill>
                    <a:blip r:embed="rId6"/>
                    <a:stretch>
                      <a:fillRect/>
                    </a:stretch>
                  </pic:blipFill>
                  <pic:spPr>
                    <a:xfrm>
                      <a:off x="0" y="0"/>
                      <a:ext cx="215265" cy="125730"/>
                    </a:xfrm>
                    <a:prstGeom prst="rect">
                      <a:avLst/>
                    </a:prstGeom>
                  </pic:spPr>
                </pic:pic>
              </a:graphicData>
            </a:graphic>
          </wp:inline>
        </w:drawing>
      </w:r>
      <w:r>
        <w:rPr>
          <w:rFonts w:ascii="宋体" w:eastAsia="宋体" w:hAnsi="宋体" w:cs="Times New Roman" w:hint="eastAsia"/>
          <w:szCs w:val="22"/>
        </w:rPr>
        <w:t>”“射埻”等词的释义后，认为“埻道”非靶场，可指称箭靶，但在具体词义指向上，偏指用于射箭的土垛或土墙。李洪财《敦煌马圈湾汉简草书释正》</w:t>
      </w:r>
      <w:r>
        <w:rPr>
          <w:rFonts w:ascii="宋体" w:eastAsia="宋体" w:hAnsi="宋体" w:cs="Times New Roman" w:hint="eastAsia"/>
          <w:szCs w:val="22"/>
          <w:vertAlign w:val="superscript"/>
        </w:rPr>
        <w:footnoteReference w:id="12"/>
      </w:r>
      <w:r>
        <w:rPr>
          <w:rFonts w:ascii="宋体" w:eastAsia="宋体" w:hAnsi="宋体" w:cs="Times New Roman" w:hint="eastAsia"/>
          <w:szCs w:val="22"/>
        </w:rPr>
        <w:t>以《集释》为底本，对马圈湾汉简中草书九处误释字做了释读补证，指出“厶”在草稿中不一定只是代称，不仅在日常书写中，而且在上奏文书中已作为一种谦称使用。</w:t>
      </w:r>
    </w:p>
    <w:p w14:paraId="6D4F423E" w14:textId="77777777" w:rsidR="00195945" w:rsidRDefault="00000000">
      <w:pPr>
        <w:pStyle w:val="ac"/>
        <w:ind w:firstLine="560"/>
        <w:rPr>
          <w:rFonts w:ascii="宋体" w:eastAsia="宋体" w:hAnsi="宋体" w:cs="Times New Roman" w:hint="eastAsia"/>
          <w:szCs w:val="22"/>
        </w:rPr>
      </w:pPr>
      <w:r>
        <w:rPr>
          <w:rFonts w:ascii="宋体" w:eastAsia="宋体" w:hAnsi="宋体" w:cs="Times New Roman" w:hint="eastAsia"/>
          <w:szCs w:val="22"/>
        </w:rPr>
        <w:t>（三）单字词考证、名物专题考释</w:t>
      </w:r>
    </w:p>
    <w:p w14:paraId="14AD325F" w14:textId="77777777" w:rsidR="00195945" w:rsidRDefault="00000000">
      <w:pPr>
        <w:pStyle w:val="ac"/>
        <w:ind w:firstLine="560"/>
        <w:rPr>
          <w:rFonts w:ascii="宋体" w:eastAsia="宋体" w:hAnsi="宋体" w:cs="Times New Roman" w:hint="eastAsia"/>
          <w:szCs w:val="22"/>
        </w:rPr>
      </w:pPr>
      <w:r>
        <w:rPr>
          <w:rFonts w:ascii="宋体" w:eastAsia="宋体" w:hAnsi="宋体" w:cs="Times New Roman" w:hint="eastAsia"/>
          <w:szCs w:val="22"/>
        </w:rPr>
        <w:t>秦凤鹤《敦煌马圈湾汉简释文校读记》</w:t>
      </w:r>
      <w:r>
        <w:rPr>
          <w:rFonts w:ascii="宋体" w:eastAsia="宋体" w:hAnsi="宋体" w:cs="Times New Roman" w:hint="eastAsia"/>
          <w:szCs w:val="22"/>
          <w:vertAlign w:val="superscript"/>
        </w:rPr>
        <w:footnoteReference w:id="13"/>
      </w:r>
      <w:r>
        <w:rPr>
          <w:rFonts w:ascii="宋体" w:eastAsia="宋体" w:hAnsi="宋体" w:cs="Times New Roman" w:hint="eastAsia"/>
          <w:szCs w:val="22"/>
        </w:rPr>
        <w:t>根据《集释》公布的红外线图版和释文，结合已有研究成果，校读马圈湾汉简17条释文。张俊民《马圈湾汉简释文校释之一》</w:t>
      </w:r>
      <w:r>
        <w:rPr>
          <w:rFonts w:ascii="宋体" w:eastAsia="宋体" w:hAnsi="宋体" w:cs="Times New Roman" w:hint="eastAsia"/>
          <w:szCs w:val="22"/>
          <w:vertAlign w:val="superscript"/>
        </w:rPr>
        <w:footnoteReference w:id="14"/>
      </w:r>
      <w:r>
        <w:rPr>
          <w:rFonts w:ascii="宋体" w:eastAsia="宋体" w:hAnsi="宋体" w:cs="Times New Roman" w:hint="eastAsia"/>
          <w:szCs w:val="22"/>
        </w:rPr>
        <w:t>在前期学者研究的基础上，对《集释》存在分歧的15例释文问题作以阐释。陈雨菡《敦煌马圈湾出土医简及“白椟带”再释读》</w:t>
      </w:r>
      <w:r>
        <w:rPr>
          <w:rFonts w:ascii="宋体" w:eastAsia="宋体" w:hAnsi="宋体" w:cs="Times New Roman" w:hint="eastAsia"/>
          <w:szCs w:val="22"/>
          <w:vertAlign w:val="superscript"/>
        </w:rPr>
        <w:footnoteReference w:id="15"/>
      </w:r>
      <w:r>
        <w:rPr>
          <w:rFonts w:ascii="宋体" w:eastAsia="宋体" w:hAnsi="宋体" w:cs="Times New Roman" w:hint="eastAsia"/>
          <w:szCs w:val="22"/>
        </w:rPr>
        <w:t>参用《敦煌汉简》释文图版，选取16枚马圈湾出土涉及疾病、医药内容的简牍，通过对戍卒疾病、马病、医方等简文内容释读，提供了研究汉代烽燧医事及其他社会情况的重要材料和依据，考证出药名“白椟带”当为“白朴叶”。张俊民《马圈湾汉简几组与西域有关文字的释读问题》</w:t>
      </w:r>
      <w:r>
        <w:rPr>
          <w:rFonts w:ascii="宋体" w:eastAsia="宋体" w:hAnsi="宋体" w:cs="Times New Roman" w:hint="eastAsia"/>
          <w:szCs w:val="22"/>
          <w:vertAlign w:val="superscript"/>
        </w:rPr>
        <w:footnoteReference w:id="16"/>
      </w:r>
      <w:r>
        <w:rPr>
          <w:rFonts w:ascii="宋体" w:eastAsia="宋体" w:hAnsi="宋体" w:cs="Times New Roman" w:hint="eastAsia"/>
          <w:szCs w:val="22"/>
        </w:rPr>
        <w:t>通过将两个近似的字进行辞例和图像排比、对照的方法，对马圈湾汉简“还沙”“虏政”</w:t>
      </w:r>
      <w:r>
        <w:rPr>
          <w:rFonts w:ascii="宋体" w:eastAsia="宋体" w:hAnsi="宋体" w:cs="Times New Roman" w:hint="eastAsia"/>
          <w:szCs w:val="22"/>
        </w:rPr>
        <w:lastRenderedPageBreak/>
        <w:t>“若绝城”等6例与西域有关的文字进行释读，肯定该方法的释疑作用，为汉代中外关系史料提供了重要补充。白军鹏《马圈湾汉简“焦党陶圣”章释文、性质及人名互证研究》</w:t>
      </w:r>
      <w:r>
        <w:rPr>
          <w:rFonts w:ascii="宋体" w:eastAsia="宋体" w:hAnsi="宋体" w:cs="Times New Roman" w:hint="eastAsia"/>
          <w:szCs w:val="22"/>
          <w:vertAlign w:val="superscript"/>
        </w:rPr>
        <w:footnoteReference w:id="17"/>
      </w:r>
      <w:r>
        <w:rPr>
          <w:rFonts w:ascii="宋体" w:eastAsia="宋体" w:hAnsi="宋体" w:cs="Times New Roman" w:hint="eastAsia"/>
          <w:szCs w:val="22"/>
        </w:rPr>
        <w:t>对马圈湾汉简“焦党陶圣”章木觚释文进行全面检视，对几处与字形相关的问题作以补充说明。从三方面论证木觚习字之用的性质，同时以《汉书》、汉印及汉简为准，将“焦党陶圣”章30个名字分为“汉人常用之名”“汉人不常用之名”“汉人稀用之名”及“其他” 四类。</w:t>
      </w:r>
    </w:p>
    <w:p w14:paraId="53722513" w14:textId="77777777" w:rsidR="00195945" w:rsidRDefault="00000000">
      <w:pPr>
        <w:pStyle w:val="ac"/>
        <w:ind w:firstLine="560"/>
        <w:rPr>
          <w:rFonts w:ascii="宋体" w:eastAsia="宋体" w:hAnsi="宋体" w:cs="Times New Roman" w:hint="eastAsia"/>
          <w:szCs w:val="22"/>
        </w:rPr>
      </w:pPr>
      <w:r>
        <w:rPr>
          <w:rFonts w:ascii="宋体" w:eastAsia="宋体" w:hAnsi="宋体" w:cs="Times New Roman" w:hint="eastAsia"/>
          <w:szCs w:val="22"/>
        </w:rPr>
        <w:t>（四）补释情况</w:t>
      </w:r>
    </w:p>
    <w:p w14:paraId="5D053D71" w14:textId="77777777" w:rsidR="00195945" w:rsidRDefault="00000000">
      <w:pPr>
        <w:pStyle w:val="ac"/>
        <w:ind w:firstLine="560"/>
        <w:rPr>
          <w:rFonts w:ascii="宋体" w:eastAsia="宋体" w:hAnsi="宋体" w:cs="Times New Roman" w:hint="eastAsia"/>
          <w:szCs w:val="22"/>
        </w:rPr>
      </w:pPr>
      <w:r>
        <w:rPr>
          <w:rFonts w:ascii="宋体" w:eastAsia="宋体" w:hAnsi="宋体" w:cs="Times New Roman" w:hint="eastAsia"/>
          <w:szCs w:val="22"/>
        </w:rPr>
        <w:t>刘乐贤《敦煌马圈湾出土药方简补释——为纪念谢桂华先生而作》</w:t>
      </w:r>
      <w:r>
        <w:rPr>
          <w:rFonts w:ascii="宋体" w:eastAsia="宋体" w:hAnsi="宋体" w:cs="Times New Roman" w:hint="eastAsia"/>
          <w:szCs w:val="22"/>
          <w:vertAlign w:val="superscript"/>
        </w:rPr>
        <w:footnoteReference w:id="18"/>
      </w:r>
      <w:r>
        <w:rPr>
          <w:rFonts w:ascii="宋体" w:eastAsia="宋体" w:hAnsi="宋体" w:cs="Times New Roman" w:hint="eastAsia"/>
          <w:szCs w:val="22"/>
        </w:rPr>
        <w:t>讨论马圈湾汉简中到底有多少支药方简的问题，认为至少有第505号、第563号（正、背面）、第 564号及第1177+1060号等4支残简，并依次对残存的“蜀署”“厚付”“白元”等药名进行释读。刘乐贤《敦煌马圈湾汉简第122号、133号补释》</w:t>
      </w:r>
      <w:r>
        <w:rPr>
          <w:rFonts w:ascii="宋体" w:eastAsia="宋体" w:hAnsi="宋体" w:cs="Times New Roman" w:hint="eastAsia"/>
          <w:szCs w:val="22"/>
          <w:vertAlign w:val="superscript"/>
        </w:rPr>
        <w:footnoteReference w:id="19"/>
      </w:r>
      <w:r>
        <w:rPr>
          <w:rFonts w:ascii="宋体" w:eastAsia="宋体" w:hAnsi="宋体" w:cs="Times New Roman" w:hint="eastAsia"/>
          <w:szCs w:val="22"/>
        </w:rPr>
        <w:t>以《集释》图版为依据，将马圈湾汉简反映王莽时期西域战事文档中第122号、133号分别释读为“戊部孤单，粮食、货财尽，兵器败伤，箭且索”“□□□□□□败，矢索，无以复战，货财、谷食单（殚）尽，车师因为共奴所”，认为2条简文描述内容密切相关，但稍有不同，前者为将要弹尽粮绝而面临战败，后者为已经弹尽粮绝且已经战败。张俊民《敦</w:t>
      </w:r>
      <w:r>
        <w:rPr>
          <w:rFonts w:ascii="宋体" w:eastAsia="宋体" w:hAnsi="宋体" w:cs="Times New Roman" w:hint="eastAsia"/>
          <w:szCs w:val="22"/>
        </w:rPr>
        <w:lastRenderedPageBreak/>
        <w:t>煌马圈湾汉简释文辞例补释》</w:t>
      </w:r>
      <w:r>
        <w:rPr>
          <w:rFonts w:ascii="宋体" w:eastAsia="宋体" w:hAnsi="宋体" w:cs="Times New Roman" w:hint="eastAsia"/>
          <w:szCs w:val="22"/>
          <w:vertAlign w:val="superscript"/>
        </w:rPr>
        <w:footnoteReference w:id="20"/>
      </w:r>
      <w:r>
        <w:rPr>
          <w:rFonts w:ascii="宋体" w:eastAsia="宋体" w:hAnsi="宋体" w:cs="Times New Roman" w:hint="eastAsia"/>
          <w:szCs w:val="22"/>
        </w:rPr>
        <w:t>通过辞例资料对照的方式，对医药简、贳卖衣财物爰书、书信用语、簿记类文书、邮书刺（过书刺）等五方面共30例存在问题的释文进行纠正与补充。</w:t>
      </w:r>
    </w:p>
    <w:p w14:paraId="2D12F557" w14:textId="77777777" w:rsidR="00195945" w:rsidRDefault="00000000">
      <w:pPr>
        <w:pStyle w:val="ac"/>
        <w:ind w:firstLine="560"/>
        <w:rPr>
          <w:rFonts w:ascii="宋体" w:eastAsia="宋体" w:hAnsi="宋体" w:cs="Times New Roman" w:hint="eastAsia"/>
          <w:szCs w:val="22"/>
        </w:rPr>
      </w:pPr>
      <w:r>
        <w:rPr>
          <w:rFonts w:ascii="宋体" w:eastAsia="宋体" w:hAnsi="宋体" w:cs="Times New Roman" w:hint="eastAsia"/>
          <w:szCs w:val="22"/>
        </w:rPr>
        <w:t>二、语言文字研究</w:t>
      </w:r>
    </w:p>
    <w:p w14:paraId="4B5AC38D" w14:textId="77777777" w:rsidR="00195945" w:rsidRDefault="00000000">
      <w:pPr>
        <w:pStyle w:val="ac"/>
        <w:ind w:firstLine="560"/>
        <w:rPr>
          <w:rFonts w:ascii="宋体" w:eastAsia="宋体" w:hAnsi="宋体" w:cs="Times New Roman" w:hint="eastAsia"/>
          <w:szCs w:val="22"/>
        </w:rPr>
      </w:pPr>
      <w:r>
        <w:rPr>
          <w:rFonts w:ascii="宋体" w:eastAsia="宋体" w:hAnsi="宋体" w:cs="Times New Roman" w:hint="eastAsia"/>
          <w:szCs w:val="22"/>
        </w:rPr>
        <w:t>马圈湾汉简作为汉语史研究语料具有独特的优越性，以下从语音、文字、词汇和语法三个方面作以梳理。</w:t>
      </w:r>
    </w:p>
    <w:p w14:paraId="740CD3DB" w14:textId="77777777" w:rsidR="00195945" w:rsidRDefault="00000000">
      <w:pPr>
        <w:pStyle w:val="ac"/>
        <w:ind w:firstLine="560"/>
        <w:rPr>
          <w:rFonts w:ascii="宋体" w:eastAsia="宋体" w:hAnsi="宋体" w:cs="Times New Roman" w:hint="eastAsia"/>
          <w:szCs w:val="22"/>
        </w:rPr>
      </w:pPr>
      <w:r>
        <w:rPr>
          <w:rFonts w:ascii="宋体" w:eastAsia="宋体" w:hAnsi="宋体" w:cs="Times New Roman" w:hint="eastAsia"/>
          <w:szCs w:val="22"/>
        </w:rPr>
        <w:t>（一）上古语音系统探讨</w:t>
      </w:r>
    </w:p>
    <w:p w14:paraId="2B287E62" w14:textId="77777777" w:rsidR="00195945" w:rsidRDefault="00000000">
      <w:pPr>
        <w:pStyle w:val="ac"/>
        <w:ind w:firstLine="560"/>
        <w:rPr>
          <w:rFonts w:ascii="宋体" w:eastAsia="宋体" w:hAnsi="宋体" w:cs="Times New Roman" w:hint="eastAsia"/>
          <w:szCs w:val="22"/>
        </w:rPr>
      </w:pPr>
      <w:r>
        <w:rPr>
          <w:rFonts w:ascii="宋体" w:eastAsia="宋体" w:hAnsi="宋体" w:cs="Times New Roman" w:hint="eastAsia"/>
          <w:szCs w:val="22"/>
        </w:rPr>
        <w:t>随着马圈湾汉简的出土，新的通假字数量越来越多，为学界利用其研究上古音开拓了更为广阔的领域。雷黎明《敦煌马圈湾汉简新见通假字通释》</w:t>
      </w:r>
      <w:r>
        <w:rPr>
          <w:rFonts w:ascii="宋体" w:eastAsia="宋体" w:hAnsi="宋体" w:cs="Times New Roman" w:hint="eastAsia"/>
          <w:szCs w:val="22"/>
          <w:vertAlign w:val="superscript"/>
        </w:rPr>
        <w:footnoteReference w:id="21"/>
      </w:r>
      <w:r>
        <w:rPr>
          <w:rFonts w:ascii="宋体" w:eastAsia="宋体" w:hAnsi="宋体" w:cs="Times New Roman" w:hint="eastAsia"/>
          <w:szCs w:val="22"/>
        </w:rPr>
        <w:t>依据唐作藩先生《上古音手册》和文字考释等相关研究成果，对马圈湾汉简47个未见于其他文献或未被相关工具书收录的新见通假字逐一进行分析解释，为上古语音相关问题研究补充了新材料。周慧敏《&lt;敦煌马圈湾汉简&gt;谐声关系与上古声母研究》</w:t>
      </w:r>
      <w:r>
        <w:rPr>
          <w:rFonts w:ascii="宋体" w:eastAsia="宋体" w:hAnsi="宋体" w:cs="Times New Roman" w:hint="eastAsia"/>
          <w:szCs w:val="22"/>
          <w:vertAlign w:val="superscript"/>
        </w:rPr>
        <w:footnoteReference w:id="22"/>
      </w:r>
      <w:r>
        <w:rPr>
          <w:rFonts w:ascii="宋体" w:eastAsia="宋体" w:hAnsi="宋体" w:cs="Times New Roman" w:hint="eastAsia"/>
          <w:szCs w:val="22"/>
        </w:rPr>
        <w:t>在整理马圈湾汉简谐声字、制作谐音层级表的基础上，通过分析各声母间的音理关系，讨论其所反映的上古声母系统，认为至少存在23个单声母，具有端知章合并、精庄合并、群匣合并、云匣分立、存在日母及复辅音的特征，总体上谐声关系与已知成果保持一致，晓母与禅母、日母和心母、以母与精母三组特有声母关系比较密切，论文为上古声</w:t>
      </w:r>
      <w:r>
        <w:rPr>
          <w:rFonts w:ascii="宋体" w:eastAsia="宋体" w:hAnsi="宋体" w:cs="Times New Roman" w:hint="eastAsia"/>
          <w:szCs w:val="22"/>
        </w:rPr>
        <w:lastRenderedPageBreak/>
        <w:t>母研究提供更多的材料佐证和补充。</w:t>
      </w:r>
    </w:p>
    <w:p w14:paraId="4B8538F6" w14:textId="77777777" w:rsidR="00195945" w:rsidRDefault="00000000">
      <w:pPr>
        <w:pStyle w:val="ac"/>
        <w:ind w:firstLine="560"/>
        <w:rPr>
          <w:rFonts w:ascii="宋体" w:eastAsia="宋体" w:hAnsi="宋体" w:cs="Times New Roman" w:hint="eastAsia"/>
          <w:szCs w:val="22"/>
        </w:rPr>
      </w:pPr>
      <w:r>
        <w:rPr>
          <w:rFonts w:ascii="宋体" w:eastAsia="宋体" w:hAnsi="宋体" w:cs="Times New Roman" w:hint="eastAsia"/>
          <w:szCs w:val="22"/>
        </w:rPr>
        <w:t>（二）汉简用字特征考察</w:t>
      </w:r>
    </w:p>
    <w:p w14:paraId="50E71A85" w14:textId="77777777" w:rsidR="00195945" w:rsidRDefault="00000000">
      <w:pPr>
        <w:pStyle w:val="ac"/>
        <w:ind w:firstLine="560"/>
        <w:rPr>
          <w:rFonts w:ascii="宋体" w:eastAsia="宋体" w:hAnsi="宋体" w:cs="Times New Roman" w:hint="eastAsia"/>
          <w:szCs w:val="22"/>
        </w:rPr>
      </w:pPr>
      <w:r>
        <w:rPr>
          <w:rFonts w:ascii="宋体" w:eastAsia="宋体" w:hAnsi="宋体" w:cs="Times New Roman" w:hint="eastAsia"/>
          <w:szCs w:val="22"/>
        </w:rPr>
        <w:t>汉字构形学、字体学理论的深入发展，使得马圈湾汉简有关用字研究逐渐丰富，内容多涉及用字断代研究、归纳字形与音义的对应关系及用字规律，是了解当时文字使用状况的重要途径。雷黎明《敦煌马圈湾汉简简化字及其汉字学价值考》</w:t>
      </w:r>
      <w:r>
        <w:rPr>
          <w:rFonts w:ascii="宋体" w:eastAsia="宋体" w:hAnsi="宋体" w:cs="Times New Roman" w:hint="eastAsia"/>
          <w:szCs w:val="22"/>
          <w:vertAlign w:val="superscript"/>
        </w:rPr>
        <w:footnoteReference w:id="23"/>
      </w:r>
      <w:r>
        <w:rPr>
          <w:rFonts w:ascii="宋体" w:eastAsia="宋体" w:hAnsi="宋体" w:cs="Times New Roman" w:hint="eastAsia"/>
          <w:szCs w:val="22"/>
        </w:rPr>
        <w:t>统计出马圈湾汉简草书简化字79个，将其归纳为四种类型，存在四种简化方式，在与相应繁体字使用频率相差不大的情况下，认为这种书写简化形体在当时已是一种约定俗成的普遍现象，同时在为现行简化字提供直接字形来源、作为驳斥反对使用简化字而提倡恢复繁体字主张证据、完善相应汉字发展史上具有重要的汉字学价值。雷黎明《敦煌马圈湾汉简通假字系统量化研究》</w:t>
      </w:r>
      <w:r>
        <w:rPr>
          <w:rFonts w:ascii="宋体" w:eastAsia="宋体" w:hAnsi="宋体" w:cs="Times New Roman" w:hint="eastAsia"/>
          <w:szCs w:val="22"/>
          <w:vertAlign w:val="superscript"/>
        </w:rPr>
        <w:footnoteReference w:id="24"/>
      </w:r>
      <w:r>
        <w:rPr>
          <w:rFonts w:ascii="宋体" w:eastAsia="宋体" w:hAnsi="宋体" w:cs="Times New Roman" w:hint="eastAsia"/>
          <w:szCs w:val="22"/>
        </w:rPr>
        <w:t>从汉字应用史断代角度出发，对105个分析考察出的马圈湾汉简通假借字与本字语音及形体关系类型和特征等问题进行探讨，反映出其通假字在秦代书同文政策影响下趋于规范的社会地位。作者在出土文献通假字及汉代西北边塞地区用字特征研究上做出重要参考贡献。文字编是研究文字形态的重要资料，在汉代文字、汉字发展史研究方面有独特作用。赵丹丹《敦煌马圈湾汉简文字编》</w:t>
      </w:r>
      <w:r>
        <w:rPr>
          <w:rFonts w:ascii="宋体" w:eastAsia="宋体" w:hAnsi="宋体" w:cs="Times New Roman" w:hint="eastAsia"/>
          <w:szCs w:val="22"/>
          <w:vertAlign w:val="superscript"/>
        </w:rPr>
        <w:footnoteReference w:id="25"/>
      </w:r>
      <w:r>
        <w:rPr>
          <w:rFonts w:ascii="宋体" w:eastAsia="宋体" w:hAnsi="宋体" w:cs="Times New Roman" w:hint="eastAsia"/>
          <w:szCs w:val="22"/>
        </w:rPr>
        <w:t>在甄别各家研究的基础上，对马圈湾汉简文字进行统一分类整理，以《说文》十四卷为序排列，标注字形出处并附以词例，未释读文字也收于</w:t>
      </w:r>
      <w:r>
        <w:rPr>
          <w:rFonts w:ascii="宋体" w:eastAsia="宋体" w:hAnsi="宋体" w:cs="Times New Roman" w:hint="eastAsia"/>
          <w:szCs w:val="22"/>
        </w:rPr>
        <w:lastRenderedPageBreak/>
        <w:t>附录，为今后汉简各方面整理研究提供了基础性文字材料。柳洋、周王嘉宇《由香港中文大学藏汉简看部分文字的类化讹写规律》</w:t>
      </w:r>
      <w:r>
        <w:rPr>
          <w:rFonts w:ascii="宋体" w:eastAsia="宋体" w:hAnsi="宋体" w:cs="Times New Roman" w:hint="eastAsia"/>
          <w:szCs w:val="22"/>
          <w:vertAlign w:val="superscript"/>
        </w:rPr>
        <w:footnoteReference w:id="26"/>
      </w:r>
      <w:r>
        <w:rPr>
          <w:rFonts w:ascii="宋体" w:eastAsia="宋体" w:hAnsi="宋体" w:cs="Times New Roman" w:hint="eastAsia"/>
          <w:szCs w:val="22"/>
        </w:rPr>
        <w:t>将马圈湾汉简在内已公布的西北汉简及其他汉简与香港中文大学藏汉简作横向比较，通过对比秦隶及后世魏晋俗字来探求源流，研究“类化讹写”的相关规律。</w:t>
      </w:r>
    </w:p>
    <w:p w14:paraId="4CF14266" w14:textId="77777777" w:rsidR="00195945" w:rsidRDefault="00000000">
      <w:pPr>
        <w:pStyle w:val="ac"/>
        <w:ind w:firstLine="560"/>
        <w:rPr>
          <w:rFonts w:ascii="宋体" w:eastAsia="宋体" w:hAnsi="宋体" w:cs="Times New Roman" w:hint="eastAsia"/>
          <w:szCs w:val="22"/>
        </w:rPr>
      </w:pPr>
      <w:r>
        <w:rPr>
          <w:rFonts w:ascii="宋体" w:eastAsia="宋体" w:hAnsi="宋体" w:cs="Times New Roman" w:hint="eastAsia"/>
          <w:szCs w:val="22"/>
        </w:rPr>
        <w:t>（三）词汇语法规律探求</w:t>
      </w:r>
    </w:p>
    <w:p w14:paraId="5E8D13FA" w14:textId="77777777" w:rsidR="00195945" w:rsidRDefault="00000000">
      <w:pPr>
        <w:pStyle w:val="ac"/>
        <w:ind w:firstLine="560"/>
        <w:rPr>
          <w:rFonts w:ascii="宋体" w:eastAsia="宋体" w:hAnsi="宋体" w:cs="Times New Roman" w:hint="eastAsia"/>
          <w:szCs w:val="22"/>
        </w:rPr>
      </w:pPr>
      <w:r>
        <w:rPr>
          <w:rFonts w:ascii="宋体" w:eastAsia="宋体" w:hAnsi="宋体" w:cs="Times New Roman" w:hint="eastAsia"/>
          <w:szCs w:val="22"/>
        </w:rPr>
        <w:t>马圈湾汉简关于词汇语法方面的研究不多，只见两篇硕士论文讨论辞书订正和补语演变的问题。一是李蒙蝶《秦汉简帛中补语的语法形式和语义类型》</w:t>
      </w:r>
      <w:r>
        <w:rPr>
          <w:rFonts w:ascii="宋体" w:eastAsia="宋体" w:hAnsi="宋体" w:cs="Times New Roman" w:hint="eastAsia"/>
          <w:szCs w:val="22"/>
          <w:vertAlign w:val="superscript"/>
        </w:rPr>
        <w:footnoteReference w:id="27"/>
      </w:r>
      <w:r>
        <w:rPr>
          <w:rFonts w:ascii="宋体" w:eastAsia="宋体" w:hAnsi="宋体" w:cs="Times New Roman" w:hint="eastAsia"/>
          <w:szCs w:val="22"/>
        </w:rPr>
        <w:t>主要描写了包括马圈湾汉简在内的18种秦汉简帛中补语的语法形式和语义类型，并对秦汉简帛中补语整体面貌、补语前介词显隐、“动词+名词宾语+名词补语”结构特点等问题进行探讨。二是冯淑雅《&lt;古辞辨&gt;订补——以汉代简帛材料为中心》</w:t>
      </w:r>
      <w:r>
        <w:rPr>
          <w:rFonts w:ascii="宋体" w:eastAsia="宋体" w:hAnsi="宋体" w:cs="Times New Roman" w:hint="eastAsia"/>
          <w:szCs w:val="22"/>
          <w:vertAlign w:val="superscript"/>
        </w:rPr>
        <w:footnoteReference w:id="28"/>
      </w:r>
      <w:r>
        <w:rPr>
          <w:rFonts w:ascii="宋体" w:eastAsia="宋体" w:hAnsi="宋体" w:cs="Times New Roman" w:hint="eastAsia"/>
          <w:szCs w:val="22"/>
        </w:rPr>
        <w:t>以《集释》《敦煌汉简校释》等材料为中心，围绕词语使用地域、词语搭配、使用时代、词语系统义与指称义等方面对《古辞辨》进行订正，围绕补充构组成员、相关语义、词语搭配、词语所指、使用时代和辞例等方面进行补考，深入挖掘汉代简帛文献在汉语词汇史和辞书学上的重要价值。</w:t>
      </w:r>
    </w:p>
    <w:p w14:paraId="65443E40" w14:textId="77777777" w:rsidR="00195945" w:rsidRDefault="00000000">
      <w:pPr>
        <w:pStyle w:val="ac"/>
        <w:ind w:firstLine="560"/>
        <w:rPr>
          <w:rFonts w:ascii="宋体" w:eastAsia="宋体" w:hAnsi="宋体" w:cs="Times New Roman" w:hint="eastAsia"/>
          <w:szCs w:val="22"/>
        </w:rPr>
      </w:pPr>
      <w:r>
        <w:rPr>
          <w:rFonts w:ascii="宋体" w:eastAsia="宋体" w:hAnsi="宋体" w:cs="Times New Roman" w:hint="eastAsia"/>
          <w:szCs w:val="22"/>
        </w:rPr>
        <w:t>三、史料考证补充</w:t>
      </w:r>
    </w:p>
    <w:p w14:paraId="061514B1" w14:textId="77777777" w:rsidR="00195945" w:rsidRDefault="00000000">
      <w:pPr>
        <w:pStyle w:val="ac"/>
        <w:ind w:firstLine="560"/>
        <w:rPr>
          <w:rFonts w:ascii="宋体" w:eastAsia="宋体" w:hAnsi="宋体" w:cs="Times New Roman" w:hint="eastAsia"/>
          <w:szCs w:val="22"/>
        </w:rPr>
      </w:pPr>
      <w:r>
        <w:rPr>
          <w:rFonts w:ascii="宋体" w:eastAsia="宋体" w:hAnsi="宋体" w:cs="Times New Roman" w:hint="eastAsia"/>
          <w:szCs w:val="22"/>
        </w:rPr>
        <w:t>莫府档案是马圈湾汉简的重要组成部分，其内容涉及汉末新莽时</w:t>
      </w:r>
      <w:r>
        <w:rPr>
          <w:rFonts w:ascii="宋体" w:eastAsia="宋体" w:hAnsi="宋体" w:cs="Times New Roman" w:hint="eastAsia"/>
          <w:szCs w:val="22"/>
        </w:rPr>
        <w:lastRenderedPageBreak/>
        <w:t>期西部防御、中原及西域周边国家的关系交往等，是学界关注的热点和前沿专题，为研究汉代历史文化、制度程序打开新视野，证实传世文献记载，弥补文献不足。</w:t>
      </w:r>
    </w:p>
    <w:p w14:paraId="71C76BF1" w14:textId="77777777" w:rsidR="00195945" w:rsidRDefault="00000000">
      <w:pPr>
        <w:pStyle w:val="ac"/>
        <w:ind w:firstLine="560"/>
        <w:rPr>
          <w:rFonts w:ascii="宋体" w:eastAsia="宋体" w:hAnsi="宋体" w:cs="Times New Roman" w:hint="eastAsia"/>
          <w:szCs w:val="22"/>
        </w:rPr>
      </w:pPr>
      <w:r>
        <w:rPr>
          <w:rFonts w:ascii="宋体" w:eastAsia="宋体" w:hAnsi="宋体" w:cs="Times New Roman" w:hint="eastAsia"/>
          <w:szCs w:val="22"/>
        </w:rPr>
        <w:t>后晓荣、苗润洁《关于敦煌马圈湾汉简涉及西域战争的几个问题》</w:t>
      </w:r>
      <w:r>
        <w:rPr>
          <w:rFonts w:ascii="宋体" w:eastAsia="宋体" w:hAnsi="宋体" w:cs="Times New Roman" w:hint="eastAsia"/>
          <w:szCs w:val="22"/>
          <w:vertAlign w:val="superscript"/>
        </w:rPr>
        <w:footnoteReference w:id="29"/>
      </w:r>
      <w:r>
        <w:rPr>
          <w:rFonts w:ascii="宋体" w:eastAsia="宋体" w:hAnsi="宋体" w:cs="Times New Roman" w:hint="eastAsia"/>
          <w:szCs w:val="22"/>
        </w:rPr>
        <w:t>对马圈湾汉简中涉及王莽时期西域战争存在争议的问题进行探讨和考证，包括战争开始时间、失败原因、双方组成、《匈奴传》未记载匈奴参战等方面。刘俊《马圈湾汉简所见匈奴南将军史事发微》</w:t>
      </w:r>
      <w:r>
        <w:rPr>
          <w:rFonts w:ascii="宋体" w:eastAsia="宋体" w:hAnsi="宋体" w:cs="Times New Roman" w:hint="eastAsia"/>
          <w:szCs w:val="22"/>
          <w:vertAlign w:val="superscript"/>
        </w:rPr>
        <w:footnoteReference w:id="30"/>
      </w:r>
      <w:r>
        <w:rPr>
          <w:rFonts w:ascii="宋体" w:eastAsia="宋体" w:hAnsi="宋体" w:cs="Times New Roman" w:hint="eastAsia"/>
          <w:szCs w:val="22"/>
        </w:rPr>
        <w:t>通过梳理马圈湾遗址第五号探方所出约100余枚简文内容，补充完善传世文献对南将军逐步驱逐新莽势力出西域历史细节记载不足的情况，并溯源南将军称谓、设置时间、驻牧地迁移的问题，探究南将军在西域的崛起和失势，以期深化对南将军的认识。王子今《说敦煌马圈湾简文“驱驴士”“之蜀”》</w:t>
      </w:r>
      <w:r>
        <w:rPr>
          <w:rFonts w:ascii="宋体" w:eastAsia="宋体" w:hAnsi="宋体" w:cs="Times New Roman" w:hint="eastAsia"/>
          <w:szCs w:val="22"/>
          <w:vertAlign w:val="superscript"/>
        </w:rPr>
        <w:footnoteReference w:id="31"/>
      </w:r>
      <w:r>
        <w:rPr>
          <w:rFonts w:ascii="宋体" w:eastAsia="宋体" w:hAnsi="宋体" w:cs="Times New Roman" w:hint="eastAsia"/>
          <w:szCs w:val="22"/>
        </w:rPr>
        <w:t>讨论马圈湾汉简“驱驴士”“之蜀”内容出处、历史记录、文物遗存等内容，反映出汉代河西地区军事控制、行政管理和社会生活的情况。张俊民《驿路豹斑：西汉末年汉与西域间的政令传递》</w:t>
      </w:r>
      <w:r>
        <w:rPr>
          <w:rFonts w:ascii="宋体" w:eastAsia="宋体" w:hAnsi="宋体" w:cs="Times New Roman" w:hint="eastAsia"/>
          <w:szCs w:val="22"/>
          <w:vertAlign w:val="superscript"/>
        </w:rPr>
        <w:footnoteReference w:id="32"/>
      </w:r>
      <w:r>
        <w:rPr>
          <w:rFonts w:ascii="宋体" w:eastAsia="宋体" w:hAnsi="宋体" w:cs="Times New Roman" w:hint="eastAsia"/>
          <w:szCs w:val="22"/>
        </w:rPr>
        <w:t>主要解读513号简在当时制度有规范邮驿路线和没有具体邮驿机构时传递方式的具体情况，认为是汉代重要传递方式厩置驿骑行的又一种方式，为我们认识西汉末年邮驿和社会生活状况提</w:t>
      </w:r>
      <w:r>
        <w:rPr>
          <w:rFonts w:ascii="宋体" w:eastAsia="宋体" w:hAnsi="宋体" w:cs="Times New Roman" w:hint="eastAsia"/>
          <w:szCs w:val="22"/>
        </w:rPr>
        <w:lastRenderedPageBreak/>
        <w:t>供重要信息。李丽红《西北汉简所见省作制度研究》</w:t>
      </w:r>
      <w:r>
        <w:rPr>
          <w:rFonts w:ascii="宋体" w:eastAsia="宋体" w:hAnsi="宋体" w:cs="Times New Roman" w:hint="eastAsia"/>
          <w:szCs w:val="22"/>
          <w:vertAlign w:val="superscript"/>
        </w:rPr>
        <w:footnoteReference w:id="33"/>
      </w:r>
      <w:r>
        <w:rPr>
          <w:rFonts w:ascii="宋体" w:eastAsia="宋体" w:hAnsi="宋体" w:cs="Times New Roman" w:hint="eastAsia"/>
          <w:szCs w:val="22"/>
        </w:rPr>
        <w:t>整理马圈湾汉简中的省作简，对其省作人员构成、劳作内容、监管、后勤保障等情况进行讨论，整理分析省作简中出现的简册，是对马圈湾汉简省作制度的整体研究。李亚军《河西汉塞出土“人面形木牌”研究》</w:t>
      </w:r>
      <w:r>
        <w:rPr>
          <w:rFonts w:ascii="宋体" w:eastAsia="宋体" w:hAnsi="宋体" w:cs="Times New Roman" w:hint="eastAsia"/>
          <w:szCs w:val="22"/>
        </w:rPr>
        <w:footnoteReference w:id="34"/>
      </w:r>
      <w:r>
        <w:rPr>
          <w:rFonts w:ascii="宋体" w:eastAsia="宋体" w:hAnsi="宋体" w:cs="Times New Roman" w:hint="eastAsia"/>
          <w:szCs w:val="22"/>
        </w:rPr>
        <w:t>对马圈湾烽隧遗址出土9件“人面形木牌”功能从存在时间、出土地点、使用者三个方面进行辨析，对其中较为完整的1件尝试分类，认为“人面形木牌”是河西边塞地区戍卒用来镇宅护主、驱除灾祸的一种巫术工具。</w:t>
      </w:r>
    </w:p>
    <w:p w14:paraId="0A84EBBF" w14:textId="77777777" w:rsidR="00195945" w:rsidRDefault="00000000">
      <w:pPr>
        <w:pStyle w:val="ac"/>
        <w:ind w:firstLine="560"/>
        <w:rPr>
          <w:rFonts w:ascii="宋体" w:eastAsia="宋体" w:hAnsi="宋体" w:cs="Times New Roman" w:hint="eastAsia"/>
          <w:szCs w:val="22"/>
        </w:rPr>
      </w:pPr>
      <w:r>
        <w:rPr>
          <w:rFonts w:ascii="宋体" w:eastAsia="宋体" w:hAnsi="宋体" w:cs="Times New Roman" w:hint="eastAsia"/>
          <w:szCs w:val="22"/>
        </w:rPr>
        <w:t>四、书法理论临创实践</w:t>
      </w:r>
    </w:p>
    <w:p w14:paraId="2854C725" w14:textId="77777777" w:rsidR="00195945" w:rsidRDefault="00000000">
      <w:pPr>
        <w:pStyle w:val="ac"/>
        <w:ind w:firstLine="560"/>
        <w:rPr>
          <w:rFonts w:ascii="宋体" w:eastAsia="宋体" w:hAnsi="宋体" w:cs="Times New Roman" w:hint="eastAsia"/>
          <w:szCs w:val="22"/>
        </w:rPr>
      </w:pPr>
      <w:r>
        <w:rPr>
          <w:rFonts w:ascii="宋体" w:eastAsia="宋体" w:hAnsi="宋体" w:cs="Times New Roman" w:hint="eastAsia"/>
          <w:szCs w:val="22"/>
        </w:rPr>
        <w:t>马圈湾汉简的文书草稿，书者率性而为，书体别具风格，是研究当时草书书法的第一手材料，研究者多从理论研究和临创实践的角度，分析马圈湾汉简文字的书法艺术风格及审美特点。</w:t>
      </w:r>
    </w:p>
    <w:p w14:paraId="5768983A" w14:textId="77777777" w:rsidR="00195945" w:rsidRDefault="00000000">
      <w:pPr>
        <w:pStyle w:val="ac"/>
        <w:ind w:firstLine="560"/>
        <w:rPr>
          <w:rFonts w:ascii="宋体" w:eastAsia="宋体" w:hAnsi="宋体" w:cs="Times New Roman" w:hint="eastAsia"/>
          <w:szCs w:val="22"/>
        </w:rPr>
      </w:pPr>
      <w:r>
        <w:rPr>
          <w:rFonts w:ascii="宋体" w:eastAsia="宋体" w:hAnsi="宋体" w:cs="Times New Roman" w:hint="eastAsia"/>
          <w:szCs w:val="22"/>
        </w:rPr>
        <w:t>（一）书法基础文献参考</w:t>
      </w:r>
    </w:p>
    <w:p w14:paraId="62A4D557" w14:textId="77777777" w:rsidR="00195945" w:rsidRDefault="00000000">
      <w:pPr>
        <w:pStyle w:val="ac"/>
        <w:ind w:firstLine="560"/>
        <w:rPr>
          <w:rFonts w:ascii="宋体" w:eastAsia="宋体" w:hAnsi="宋体" w:cs="Times New Roman" w:hint="eastAsia"/>
          <w:szCs w:val="22"/>
        </w:rPr>
      </w:pPr>
      <w:r>
        <w:rPr>
          <w:rFonts w:ascii="宋体" w:eastAsia="宋体" w:hAnsi="宋体" w:cs="Times New Roman" w:hint="eastAsia"/>
          <w:szCs w:val="22"/>
        </w:rPr>
        <w:t>张德芳、王立翔主编《敦煌马圈湾汉简书法》</w:t>
      </w:r>
      <w:r>
        <w:rPr>
          <w:rFonts w:ascii="宋体" w:eastAsia="宋体" w:hAnsi="宋体" w:cs="Times New Roman" w:hint="eastAsia"/>
          <w:szCs w:val="22"/>
          <w:vertAlign w:val="superscript"/>
        </w:rPr>
        <w:footnoteReference w:id="35"/>
      </w:r>
      <w:r>
        <w:rPr>
          <w:rFonts w:ascii="宋体" w:eastAsia="宋体" w:hAnsi="宋体" w:cs="Times New Roman" w:hint="eastAsia"/>
          <w:szCs w:val="22"/>
        </w:rPr>
        <w:t>选取其中精佳者分类编排，放大精印，是研究和临习书法艺术的重要著作资料。柳洋、房俊贤《四体皆盛——&lt;敦煌马圈湾汉简书法&gt;对书法学习的意义》</w:t>
      </w:r>
      <w:r>
        <w:rPr>
          <w:rFonts w:ascii="宋体" w:eastAsia="宋体" w:hAnsi="宋体" w:cs="Times New Roman" w:hint="eastAsia"/>
          <w:szCs w:val="22"/>
          <w:vertAlign w:val="superscript"/>
        </w:rPr>
        <w:footnoteReference w:id="36"/>
      </w:r>
      <w:r>
        <w:rPr>
          <w:rFonts w:ascii="宋体" w:eastAsia="宋体" w:hAnsi="宋体" w:cs="Times New Roman" w:hint="eastAsia"/>
          <w:szCs w:val="22"/>
        </w:rPr>
        <w:t>从书法风格和用笔细节两大方面对该书书法学习的意义细致梳理讨论，认为其对中国书法的发展历史研究参考价值极高，也预示着简牍书法</w:t>
      </w:r>
      <w:r>
        <w:rPr>
          <w:rFonts w:ascii="宋体" w:eastAsia="宋体" w:hAnsi="宋体" w:cs="Times New Roman" w:hint="eastAsia"/>
          <w:szCs w:val="22"/>
        </w:rPr>
        <w:lastRenderedPageBreak/>
        <w:t>研究向前迈了一大步。</w:t>
      </w:r>
    </w:p>
    <w:p w14:paraId="68995680" w14:textId="77777777" w:rsidR="00195945" w:rsidRDefault="00000000">
      <w:pPr>
        <w:pStyle w:val="ac"/>
        <w:ind w:firstLine="560"/>
        <w:rPr>
          <w:rFonts w:ascii="宋体" w:eastAsia="宋体" w:hAnsi="宋体" w:cs="Times New Roman" w:hint="eastAsia"/>
          <w:szCs w:val="22"/>
        </w:rPr>
      </w:pPr>
      <w:r>
        <w:rPr>
          <w:rFonts w:ascii="宋体" w:eastAsia="宋体" w:hAnsi="宋体" w:cs="Times New Roman" w:hint="eastAsia"/>
          <w:szCs w:val="22"/>
        </w:rPr>
        <w:t>（二）字体技法特征分析</w:t>
      </w:r>
    </w:p>
    <w:p w14:paraId="5D985BEB" w14:textId="77777777" w:rsidR="00195945" w:rsidRDefault="00000000">
      <w:pPr>
        <w:pStyle w:val="ac"/>
        <w:ind w:firstLine="560"/>
        <w:rPr>
          <w:rFonts w:ascii="宋体" w:eastAsia="宋体" w:hAnsi="宋体" w:cs="Times New Roman" w:hint="eastAsia"/>
          <w:szCs w:val="22"/>
        </w:rPr>
      </w:pPr>
      <w:r>
        <w:rPr>
          <w:rFonts w:ascii="宋体" w:eastAsia="宋体" w:hAnsi="宋体" w:cs="Times New Roman" w:hint="eastAsia"/>
          <w:szCs w:val="22"/>
        </w:rPr>
        <w:t>雷黎明《敦煌马圈湾汉简的字体特征及其书法价值》</w:t>
      </w:r>
      <w:r>
        <w:rPr>
          <w:rFonts w:ascii="宋体" w:eastAsia="宋体" w:hAnsi="宋体" w:cs="Times New Roman" w:hint="eastAsia"/>
          <w:szCs w:val="22"/>
          <w:vertAlign w:val="superscript"/>
        </w:rPr>
        <w:footnoteReference w:id="37"/>
      </w:r>
      <w:r>
        <w:rPr>
          <w:rFonts w:ascii="宋体" w:eastAsia="宋体" w:hAnsi="宋体" w:cs="Times New Roman" w:hint="eastAsia"/>
          <w:szCs w:val="22"/>
        </w:rPr>
        <w:t>把马圈湾汉简文字字体分为汉篆、古隶、汉隶、草书和行书等五种类型，认为隶意风格存在于各种字体、草书已占据主体地位及过渡性字体被广泛使用是文字使用的典型特征。戴裕洲《秦汉习字简牍研究》</w:t>
      </w:r>
      <w:r>
        <w:rPr>
          <w:rFonts w:ascii="宋体" w:eastAsia="宋体" w:hAnsi="宋体" w:cs="Times New Roman" w:hint="eastAsia"/>
          <w:szCs w:val="22"/>
          <w:vertAlign w:val="superscript"/>
        </w:rPr>
        <w:footnoteReference w:id="38"/>
      </w:r>
      <w:r>
        <w:rPr>
          <w:rFonts w:ascii="宋体" w:eastAsia="宋体" w:hAnsi="宋体" w:cs="Times New Roman" w:hint="eastAsia"/>
          <w:szCs w:val="22"/>
        </w:rPr>
        <w:t>对马圈湾汉简发现共14枚习字简重新释读，按内容对其分类，分析书体特征，对主要书写者和书写目的进行探究，重点对习字简反映的习字方法进行解析。李洪智、高淑燕《从简牍特殊字样看汉代的书写文化——以敦煌马圈湾汉简为例》</w:t>
      </w:r>
      <w:r>
        <w:rPr>
          <w:rFonts w:ascii="宋体" w:eastAsia="宋体" w:hAnsi="宋体" w:cs="Times New Roman" w:hint="eastAsia"/>
          <w:szCs w:val="22"/>
          <w:vertAlign w:val="superscript"/>
        </w:rPr>
        <w:footnoteReference w:id="39"/>
      </w:r>
      <w:r>
        <w:rPr>
          <w:rFonts w:ascii="宋体" w:eastAsia="宋体" w:hAnsi="宋体" w:cs="Times New Roman" w:hint="eastAsia"/>
          <w:szCs w:val="22"/>
        </w:rPr>
        <w:t>对马圈湾汉简有别于常规书写的八分、隶行、隶草及这三种字体之外的其他字体书写字迹进行分析，忠实地反映出西汉后期至新莽时期近一百年间的汉字书写面貌。崔世芳《从马圈湾&lt;王骏幕府档案简&gt;看经典章草技法的形成》</w:t>
      </w:r>
      <w:r>
        <w:rPr>
          <w:rFonts w:ascii="宋体" w:eastAsia="宋体" w:hAnsi="宋体" w:cs="Times New Roman" w:hint="eastAsia"/>
          <w:szCs w:val="22"/>
          <w:vertAlign w:val="superscript"/>
        </w:rPr>
        <w:footnoteReference w:id="40"/>
      </w:r>
      <w:r>
        <w:rPr>
          <w:rFonts w:ascii="宋体" w:eastAsia="宋体" w:hAnsi="宋体" w:cs="Times New Roman" w:hint="eastAsia"/>
          <w:szCs w:val="22"/>
        </w:rPr>
        <w:t>立足于文字学和书法史研究角度，通过分析马圈湾《王骏幕府档案简》的草法、用笔、结体，将其与《月仪帖》《急就章》作对比，探究标准章草书体的形成和衍变轨迹，对传世经典章草技法的形成起到铺垫作用。蒋俊文《从&lt;平复帖&gt;及同类型简牍草书的临摹论及我的章草创作》</w:t>
      </w:r>
      <w:r>
        <w:rPr>
          <w:rFonts w:ascii="宋体" w:eastAsia="宋体" w:hAnsi="宋体" w:cs="Times New Roman" w:hint="eastAsia"/>
          <w:szCs w:val="22"/>
          <w:vertAlign w:val="superscript"/>
        </w:rPr>
        <w:footnoteReference w:id="41"/>
      </w:r>
      <w:r>
        <w:rPr>
          <w:rFonts w:ascii="宋体" w:eastAsia="宋体" w:hAnsi="宋体" w:cs="Times New Roman" w:hint="eastAsia"/>
          <w:szCs w:val="22"/>
        </w:rPr>
        <w:t>发掘借鉴与</w:t>
      </w:r>
      <w:r>
        <w:rPr>
          <w:rFonts w:ascii="宋体" w:eastAsia="宋体" w:hAnsi="宋体" w:cs="Times New Roman" w:hint="eastAsia"/>
          <w:szCs w:val="22"/>
        </w:rPr>
        <w:lastRenderedPageBreak/>
        <w:t>《平复帖》同类型的马圈湾汉简草书，从中探索章草临摹创作的元素和技法，增强笔者自身创作能力的同时，为当代章草的研习与创作提供新的思路与内容。</w:t>
      </w:r>
    </w:p>
    <w:p w14:paraId="390B2408" w14:textId="77777777" w:rsidR="00195945" w:rsidRDefault="00000000">
      <w:pPr>
        <w:pStyle w:val="ac"/>
        <w:ind w:firstLine="560"/>
        <w:rPr>
          <w:rFonts w:ascii="宋体" w:eastAsia="宋体" w:hAnsi="宋体" w:cs="Times New Roman" w:hint="eastAsia"/>
          <w:szCs w:val="22"/>
        </w:rPr>
      </w:pPr>
      <w:r>
        <w:rPr>
          <w:rFonts w:ascii="宋体" w:eastAsia="宋体" w:hAnsi="宋体" w:cs="Times New Roman" w:hint="eastAsia"/>
          <w:szCs w:val="22"/>
        </w:rPr>
        <w:t>（三）特色书写文化探寻</w:t>
      </w:r>
    </w:p>
    <w:p w14:paraId="7B7222B1" w14:textId="77777777" w:rsidR="00195945" w:rsidRDefault="00000000">
      <w:pPr>
        <w:pStyle w:val="ac"/>
        <w:ind w:firstLine="560"/>
        <w:rPr>
          <w:rFonts w:ascii="宋体" w:eastAsia="宋体" w:hAnsi="宋体" w:cs="Times New Roman" w:hint="eastAsia"/>
          <w:szCs w:val="22"/>
        </w:rPr>
      </w:pPr>
      <w:r>
        <w:rPr>
          <w:rFonts w:ascii="宋体" w:eastAsia="宋体" w:hAnsi="宋体" w:cs="Times New Roman" w:hint="eastAsia"/>
          <w:szCs w:val="22"/>
        </w:rPr>
        <w:t>李逸峰《敦煌草书简书写文化考察——以马圈湾汉简为中心》</w:t>
      </w:r>
      <w:r>
        <w:rPr>
          <w:rFonts w:ascii="宋体" w:eastAsia="宋体" w:hAnsi="宋体" w:cs="Times New Roman" w:hint="eastAsia"/>
          <w:szCs w:val="22"/>
          <w:vertAlign w:val="superscript"/>
        </w:rPr>
        <w:footnoteReference w:id="42"/>
      </w:r>
      <w:r>
        <w:rPr>
          <w:rFonts w:ascii="宋体" w:eastAsia="宋体" w:hAnsi="宋体" w:cs="Times New Roman" w:hint="eastAsia"/>
          <w:szCs w:val="22"/>
        </w:rPr>
        <w:t>通过对马圈湾汉简中草书书写形态、用笔情况及布局结字等情况考察，总结出当时草书符号已具备较高的统一性、规范性及艺术性，一定程度上是汉字书写隶变与草化的结果。王晓光《马圈湾等汉简看两汉之交时书用体及其他》</w:t>
      </w:r>
      <w:r>
        <w:rPr>
          <w:rFonts w:ascii="宋体" w:eastAsia="宋体" w:hAnsi="宋体" w:cs="Times New Roman" w:hint="eastAsia"/>
          <w:szCs w:val="22"/>
          <w:vertAlign w:val="superscript"/>
        </w:rPr>
        <w:footnoteReference w:id="43"/>
      </w:r>
      <w:r>
        <w:rPr>
          <w:rFonts w:ascii="宋体" w:eastAsia="宋体" w:hAnsi="宋体" w:cs="Times New Roman" w:hint="eastAsia"/>
          <w:szCs w:val="22"/>
        </w:rPr>
        <w:t>以列举马圈湾汉简中隶书、草书及其他用体的书写特色，分析其所处时期隶书书写特征，并将其草书与同近期的几种简牍草书做比较，指出两汉之交实用草书形态及其后草书发展情况，简论马圈湾汉简及汉代日常书写中古体、装饰性隶书及其他典型性写法的特征，并简要探讨了马圈湾汉简中草稿、书名具名等问题。孙嘉敏《马圈湾汉简书写研究》</w:t>
      </w:r>
      <w:r>
        <w:rPr>
          <w:rFonts w:ascii="宋体" w:eastAsia="宋体" w:hAnsi="宋体" w:cs="Times New Roman" w:hint="eastAsia"/>
          <w:szCs w:val="22"/>
          <w:vertAlign w:val="superscript"/>
        </w:rPr>
        <w:footnoteReference w:id="44"/>
      </w:r>
      <w:r>
        <w:rPr>
          <w:rFonts w:ascii="宋体" w:eastAsia="宋体" w:hAnsi="宋体" w:cs="Times New Roman" w:hint="eastAsia"/>
          <w:szCs w:val="22"/>
        </w:rPr>
        <w:t>通过分析隶书、篆书、新隶体，草书的笔法、结构、线质、章法及艺术风格，反映出西汉宣帝至新莽时期字体在马圈湾烽燧书写过程中运用情况。要文慧《简牍墨迹中隶书楷化书写考察——以转折笔形为例》</w:t>
      </w:r>
      <w:r>
        <w:rPr>
          <w:rFonts w:ascii="宋体" w:eastAsia="宋体" w:hAnsi="宋体" w:cs="Times New Roman" w:hint="eastAsia"/>
          <w:szCs w:val="22"/>
          <w:vertAlign w:val="superscript"/>
        </w:rPr>
        <w:footnoteReference w:id="45"/>
      </w:r>
      <w:r>
        <w:rPr>
          <w:rFonts w:ascii="宋体" w:eastAsia="宋体" w:hAnsi="宋体" w:cs="Times New Roman" w:hint="eastAsia"/>
          <w:szCs w:val="22"/>
        </w:rPr>
        <w:t>以转折笔形为中心，选取马圈湾汉简图版清晰的隶书简样本及《真草千字文》部分楷书辅助样本，通过</w:t>
      </w:r>
      <w:r>
        <w:rPr>
          <w:rFonts w:ascii="宋体" w:eastAsia="宋体" w:hAnsi="宋体" w:cs="Times New Roman" w:hint="eastAsia"/>
          <w:szCs w:val="22"/>
        </w:rPr>
        <w:lastRenderedPageBreak/>
        <w:t>量化分析对比，探讨转折笔形在数量、置向、方圆、粗细、长短等方面的变化，来考察其书写状况及找出楷化规律。</w:t>
      </w:r>
    </w:p>
    <w:p w14:paraId="64A9CDB2" w14:textId="77777777" w:rsidR="00195945" w:rsidRDefault="00000000">
      <w:pPr>
        <w:pStyle w:val="ac"/>
        <w:ind w:firstLine="562"/>
        <w:jc w:val="center"/>
        <w:rPr>
          <w:rFonts w:ascii="宋体" w:eastAsia="宋体" w:hAnsi="宋体" w:cs="Times New Roman" w:hint="eastAsia"/>
          <w:b/>
          <w:bCs/>
          <w:szCs w:val="22"/>
        </w:rPr>
      </w:pPr>
      <w:r>
        <w:rPr>
          <w:rFonts w:ascii="宋体" w:eastAsia="宋体" w:hAnsi="宋体" w:cs="Times New Roman" w:hint="eastAsia"/>
          <w:b/>
          <w:bCs/>
          <w:szCs w:val="22"/>
        </w:rPr>
        <w:t>结 语</w:t>
      </w:r>
    </w:p>
    <w:p w14:paraId="614506FF" w14:textId="77777777" w:rsidR="00195945" w:rsidRDefault="00000000">
      <w:pPr>
        <w:pStyle w:val="ac"/>
        <w:ind w:firstLine="560"/>
        <w:rPr>
          <w:rFonts w:ascii="宋体" w:eastAsia="宋体" w:hAnsi="宋体" w:cs="Times New Roman" w:hint="eastAsia"/>
          <w:szCs w:val="22"/>
        </w:rPr>
      </w:pPr>
      <w:r>
        <w:rPr>
          <w:rFonts w:ascii="宋体" w:eastAsia="宋体" w:hAnsi="宋体" w:cs="Times New Roman" w:hint="eastAsia"/>
          <w:szCs w:val="22"/>
        </w:rPr>
        <w:t>综上所述，2016-2023年敦煌马圈湾汉简的研究，主要偏重于释文辨识校正、书法理论临创实践方面，语言文字研究和史料考证补充方面的成果基本相当。相较于同时期发表的居延新简，及数量更多的悬泉置汉简乃至整个西北汉简，马圈湾汉简研究热度不高，主要因为简牍实物和图版保存状况不好、不清晰，使得以此为基础不断更新的研究还留有许多斟酌之处。</w:t>
      </w:r>
    </w:p>
    <w:p w14:paraId="302A3C9B" w14:textId="77777777" w:rsidR="00195945" w:rsidRDefault="00000000">
      <w:pPr>
        <w:pStyle w:val="ac"/>
        <w:ind w:firstLine="560"/>
        <w:rPr>
          <w:rFonts w:ascii="宋体" w:eastAsia="宋体" w:hAnsi="宋体" w:cs="Times New Roman" w:hint="eastAsia"/>
          <w:szCs w:val="22"/>
        </w:rPr>
      </w:pPr>
      <w:r>
        <w:rPr>
          <w:rFonts w:ascii="宋体" w:eastAsia="宋体" w:hAnsi="宋体" w:cs="Times New Roman" w:hint="eastAsia"/>
          <w:szCs w:val="22"/>
        </w:rPr>
        <w:t>自《集释》高清图版再次亮相后情况大为改善，加之草书字体在马圈湾汉简中很常见，大部分学者除了关注释文商榷与再释读，多涉及到书法艺术研究部分，研究进度和质量都有所提高。当然，也存在将简牍主要涉及的内容作为研究重点，成果既不集中也不多见的情况，比如有关边关屯戍活动、管理程序及中外交往等问题。马圈湾汉简研究在具体问题上讨论多，但对其在总体把握和宏观研究上有所欠缺，较少形成体系研究。随着新材料的出土公布，马圈湾汉简的释读研究需要和其他各地简牍材料结合起来佐证、比勘，需要简牍学者潜心积累、沉淀，如此既可开拓思路，又有助于在一些滞凝的问题上获得新的启示，相信在未来的研究中将会解决这方面的问题并取得突破性的进展。</w:t>
      </w:r>
    </w:p>
    <w:bookmarkEnd w:id="0"/>
    <w:p w14:paraId="5F63C339" w14:textId="77777777" w:rsidR="00195945" w:rsidRDefault="00195945">
      <w:pPr>
        <w:spacing w:line="360" w:lineRule="auto"/>
        <w:ind w:firstLineChars="200" w:firstLine="480"/>
        <w:rPr>
          <w:rFonts w:ascii="仿宋" w:eastAsia="仿宋" w:hAnsi="仿宋" w:cs="仿宋" w:hint="eastAsia"/>
          <w:sz w:val="24"/>
        </w:rPr>
      </w:pPr>
    </w:p>
    <w:sectPr w:rsidR="00195945">
      <w:headerReference w:type="default" r:id="rId7"/>
      <w:footerReference w:type="default" r:id="rId8"/>
      <w:footnotePr>
        <w:numFmt w:val="decimalEnclosedCircleChinese"/>
        <w:numRestart w:val="eachPage"/>
      </w:footnotePr>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B4524" w14:textId="77777777" w:rsidR="005D4347" w:rsidRDefault="005D4347">
      <w:r>
        <w:separator/>
      </w:r>
    </w:p>
  </w:endnote>
  <w:endnote w:type="continuationSeparator" w:id="0">
    <w:p w14:paraId="54B61C6E" w14:textId="77777777" w:rsidR="005D4347" w:rsidRDefault="005D4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1D74" w14:textId="77777777" w:rsidR="00195945" w:rsidRDefault="00000000">
    <w:pPr>
      <w:tabs>
        <w:tab w:val="center" w:pos="4153"/>
        <w:tab w:val="right" w:pos="8306"/>
      </w:tabs>
    </w:pPr>
    <w:r>
      <w:rPr>
        <w:rFonts w:hint="eastAsia"/>
        <w:sz w:val="18"/>
        <w:szCs w:val="18"/>
      </w:rPr>
      <w:t>收稿日期：</w:t>
    </w:r>
    <w:r>
      <w:rPr>
        <w:sz w:val="18"/>
        <w:szCs w:val="18"/>
      </w:rPr>
      <w:t>202</w:t>
    </w:r>
    <w:r>
      <w:rPr>
        <w:rFonts w:hint="eastAsia"/>
        <w:sz w:val="18"/>
        <w:szCs w:val="18"/>
      </w:rPr>
      <w:t>5</w:t>
    </w:r>
    <w:r>
      <w:rPr>
        <w:rFonts w:hint="eastAsia"/>
        <w:sz w:val="18"/>
        <w:szCs w:val="18"/>
      </w:rPr>
      <w:t>年</w:t>
    </w:r>
    <w:r>
      <w:rPr>
        <w:rFonts w:hint="eastAsia"/>
        <w:sz w:val="18"/>
        <w:szCs w:val="18"/>
      </w:rPr>
      <w:t>9</w:t>
    </w:r>
    <w:r>
      <w:rPr>
        <w:rFonts w:hint="eastAsia"/>
        <w:sz w:val="18"/>
        <w:szCs w:val="18"/>
      </w:rPr>
      <w:t>月</w:t>
    </w:r>
    <w:r>
      <w:rPr>
        <w:rFonts w:hint="eastAsia"/>
        <w:sz w:val="18"/>
        <w:szCs w:val="18"/>
      </w:rPr>
      <w:t>18</w:t>
    </w:r>
    <w:r>
      <w:rPr>
        <w:rFonts w:hint="eastAsia"/>
        <w:sz w:val="18"/>
        <w:szCs w:val="18"/>
      </w:rPr>
      <w:t>日</w:t>
    </w:r>
    <w:r>
      <w:rPr>
        <w:sz w:val="18"/>
        <w:szCs w:val="18"/>
      </w:rPr>
      <w:tab/>
    </w:r>
    <w:r>
      <w:rPr>
        <w:rFonts w:hint="eastAsia"/>
        <w:sz w:val="18"/>
        <w:szCs w:val="18"/>
      </w:rPr>
      <w:t>发布日期：</w:t>
    </w:r>
    <w:r>
      <w:rPr>
        <w:rFonts w:hint="eastAsia"/>
        <w:sz w:val="18"/>
        <w:szCs w:val="18"/>
      </w:rPr>
      <w:t>2025</w:t>
    </w:r>
    <w:r>
      <w:rPr>
        <w:rFonts w:hint="eastAsia"/>
        <w:sz w:val="18"/>
        <w:szCs w:val="18"/>
      </w:rPr>
      <w:t>年</w:t>
    </w:r>
    <w:r>
      <w:rPr>
        <w:rFonts w:hint="eastAsia"/>
        <w:sz w:val="18"/>
        <w:szCs w:val="18"/>
      </w:rPr>
      <w:t>9</w:t>
    </w:r>
    <w:r>
      <w:rPr>
        <w:rFonts w:hint="eastAsia"/>
        <w:sz w:val="18"/>
        <w:szCs w:val="18"/>
      </w:rPr>
      <w:t>月</w:t>
    </w:r>
    <w:r>
      <w:rPr>
        <w:rFonts w:hint="eastAsia"/>
        <w:sz w:val="18"/>
        <w:szCs w:val="18"/>
      </w:rPr>
      <w:t>21</w:t>
    </w:r>
    <w:r>
      <w:rPr>
        <w:rFonts w:hint="eastAsia"/>
        <w:sz w:val="18"/>
        <w:szCs w:val="18"/>
      </w:rPr>
      <w:t>日</w:t>
    </w:r>
    <w:r>
      <w:rPr>
        <w:sz w:val="18"/>
        <w:szCs w:val="18"/>
      </w:rPr>
      <w:tab/>
    </w:r>
    <w:r>
      <w:rPr>
        <w:rFonts w:hint="eastAsia"/>
        <w:sz w:val="18"/>
        <w:szCs w:val="18"/>
      </w:rPr>
      <w:t>页码：</w:t>
    </w:r>
    <w:r>
      <w:rPr>
        <w:sz w:val="18"/>
        <w:szCs w:val="18"/>
      </w:rPr>
      <w:fldChar w:fldCharType="begin"/>
    </w:r>
    <w:r>
      <w:rPr>
        <w:sz w:val="18"/>
        <w:szCs w:val="18"/>
      </w:rPr>
      <w:instrText xml:space="preserve"> PAGE </w:instrText>
    </w:r>
    <w:r>
      <w:rPr>
        <w:sz w:val="18"/>
        <w:szCs w:val="18"/>
      </w:rPr>
      <w:fldChar w:fldCharType="separate"/>
    </w:r>
    <w:r>
      <w:rPr>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NUMPAGES  </w:instrText>
    </w:r>
    <w:r>
      <w:rPr>
        <w:sz w:val="18"/>
        <w:szCs w:val="18"/>
      </w:rPr>
      <w:fldChar w:fldCharType="separate"/>
    </w:r>
    <w:r>
      <w:rPr>
        <w:sz w:val="18"/>
        <w:szCs w:val="18"/>
      </w:rPr>
      <w:t>6</w:t>
    </w:r>
    <w:r>
      <w:rPr>
        <w:sz w:val="18"/>
        <w:szCs w:val="18"/>
      </w:rPr>
      <w:fldChar w:fldCharType="end"/>
    </w:r>
  </w:p>
  <w:p w14:paraId="7CD09A91" w14:textId="77777777" w:rsidR="00195945" w:rsidRDefault="0019594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E1A7E" w14:textId="77777777" w:rsidR="005D4347" w:rsidRDefault="005D4347">
      <w:r>
        <w:separator/>
      </w:r>
    </w:p>
  </w:footnote>
  <w:footnote w:type="continuationSeparator" w:id="0">
    <w:p w14:paraId="69AFC657" w14:textId="77777777" w:rsidR="005D4347" w:rsidRDefault="005D4347">
      <w:r>
        <w:continuationSeparator/>
      </w:r>
    </w:p>
  </w:footnote>
  <w:footnote w:id="1">
    <w:p w14:paraId="344CD9BD" w14:textId="77777777" w:rsidR="00195945" w:rsidRDefault="00000000">
      <w:pPr>
        <w:pStyle w:val="a5"/>
        <w:ind w:firstLineChars="200" w:firstLine="496"/>
        <w:jc w:val="both"/>
        <w:rPr>
          <w:rStyle w:val="a9"/>
          <w:rFonts w:ascii="宋体" w:eastAsia="宋体" w:hAnsi="宋体" w:cs="Times New Roman" w:hint="eastAsia"/>
          <w:spacing w:val="4"/>
          <w:kern w:val="0"/>
          <w:sz w:val="24"/>
          <w:szCs w:val="22"/>
          <w:lang w:eastAsia="zh-TW"/>
        </w:rPr>
      </w:pPr>
      <w:r>
        <w:rPr>
          <w:rStyle w:val="a9"/>
          <w:rFonts w:ascii="宋体" w:eastAsia="宋体" w:hAnsi="宋体" w:cs="Times New Roman" w:hint="eastAsia"/>
          <w:spacing w:val="4"/>
          <w:kern w:val="0"/>
          <w:sz w:val="24"/>
          <w:szCs w:val="22"/>
          <w:lang w:eastAsia="zh-TW"/>
        </w:rPr>
        <w:t>基金项目：国家社</w:t>
      </w:r>
      <w:r>
        <w:rPr>
          <w:rStyle w:val="a9"/>
          <w:rFonts w:ascii="宋体" w:eastAsia="宋体" w:hAnsi="宋体" w:cs="Times New Roman" w:hint="eastAsia"/>
          <w:spacing w:val="4"/>
          <w:kern w:val="0"/>
          <w:sz w:val="24"/>
          <w:szCs w:val="22"/>
        </w:rPr>
        <w:t>会</w:t>
      </w:r>
      <w:r>
        <w:rPr>
          <w:rStyle w:val="a9"/>
          <w:rFonts w:ascii="宋体" w:eastAsia="宋体" w:hAnsi="宋体" w:cs="Times New Roman" w:hint="eastAsia"/>
          <w:spacing w:val="4"/>
          <w:kern w:val="0"/>
          <w:sz w:val="24"/>
          <w:szCs w:val="22"/>
          <w:lang w:eastAsia="zh-TW"/>
        </w:rPr>
        <w:t>科</w:t>
      </w:r>
      <w:r>
        <w:rPr>
          <w:rStyle w:val="a9"/>
          <w:rFonts w:ascii="宋体" w:eastAsia="宋体" w:hAnsi="宋体" w:cs="Times New Roman" w:hint="eastAsia"/>
          <w:spacing w:val="4"/>
          <w:kern w:val="0"/>
          <w:sz w:val="24"/>
          <w:szCs w:val="22"/>
        </w:rPr>
        <w:t>学</w:t>
      </w:r>
      <w:r>
        <w:rPr>
          <w:rStyle w:val="a9"/>
          <w:rFonts w:ascii="宋体" w:eastAsia="宋体" w:hAnsi="宋体" w:cs="Times New Roman" w:hint="eastAsia"/>
          <w:spacing w:val="4"/>
          <w:kern w:val="0"/>
          <w:sz w:val="24"/>
          <w:szCs w:val="22"/>
          <w:lang w:eastAsia="zh-TW"/>
        </w:rPr>
        <w:t>基金项目“佉卢文文献所见汉晋鄯善国史研究”（</w:t>
      </w:r>
      <w:r>
        <w:rPr>
          <w:rStyle w:val="a9"/>
          <w:rFonts w:ascii="宋体" w:eastAsia="宋体" w:hAnsi="宋体" w:cs="Times New Roman"/>
          <w:spacing w:val="4"/>
          <w:kern w:val="0"/>
          <w:sz w:val="24"/>
          <w:szCs w:val="22"/>
          <w:lang w:eastAsia="zh-TW"/>
        </w:rPr>
        <w:t>21XZS016</w:t>
      </w:r>
      <w:r>
        <w:rPr>
          <w:rStyle w:val="a9"/>
          <w:rFonts w:ascii="宋体" w:eastAsia="宋体" w:hAnsi="宋体" w:cs="Times New Roman" w:hint="eastAsia"/>
          <w:spacing w:val="4"/>
          <w:kern w:val="0"/>
          <w:sz w:val="24"/>
          <w:szCs w:val="22"/>
          <w:lang w:eastAsia="zh-TW"/>
        </w:rPr>
        <w:t xml:space="preserve">）。 </w:t>
      </w:r>
    </w:p>
    <w:p w14:paraId="0349F1C5" w14:textId="77777777" w:rsidR="00195945" w:rsidRDefault="00000000">
      <w:pPr>
        <w:pStyle w:val="a5"/>
        <w:ind w:firstLineChars="200" w:firstLine="496"/>
        <w:jc w:val="both"/>
        <w:rPr>
          <w:rStyle w:val="a9"/>
          <w:rFonts w:ascii="宋体" w:eastAsia="宋体" w:hAnsi="宋体" w:cs="Times New Roman" w:hint="eastAsia"/>
          <w:spacing w:val="4"/>
          <w:kern w:val="0"/>
          <w:sz w:val="24"/>
          <w:szCs w:val="22"/>
          <w:lang w:eastAsia="zh-TW"/>
        </w:rPr>
      </w:pPr>
      <w:r>
        <w:rPr>
          <w:rStyle w:val="a9"/>
          <w:rFonts w:ascii="宋体" w:eastAsia="宋体" w:hAnsi="宋体" w:cs="Times New Roman" w:hint="eastAsia"/>
          <w:spacing w:val="4"/>
          <w:kern w:val="0"/>
          <w:sz w:val="24"/>
          <w:szCs w:val="22"/>
          <w:lang w:eastAsia="zh-TW"/>
        </w:rPr>
        <w:t>作者简介：</w:t>
      </w:r>
      <w:r>
        <w:rPr>
          <w:rStyle w:val="a9"/>
          <w:rFonts w:ascii="宋体" w:eastAsia="宋体" w:hAnsi="宋体" w:cs="Times New Roman" w:hint="eastAsia"/>
          <w:spacing w:val="4"/>
          <w:kern w:val="0"/>
          <w:sz w:val="24"/>
          <w:szCs w:val="22"/>
        </w:rPr>
        <w:t>王玉婷（1998-），</w:t>
      </w:r>
      <w:r>
        <w:rPr>
          <w:rStyle w:val="a9"/>
          <w:rFonts w:ascii="宋体" w:eastAsia="宋体" w:hAnsi="宋体" w:cs="Times New Roman" w:hint="eastAsia"/>
          <w:spacing w:val="4"/>
          <w:kern w:val="0"/>
          <w:sz w:val="24"/>
          <w:szCs w:val="22"/>
          <w:lang w:eastAsia="zh-TW"/>
        </w:rPr>
        <w:t>甘肃</w:t>
      </w:r>
      <w:r>
        <w:rPr>
          <w:rStyle w:val="a9"/>
          <w:rFonts w:ascii="宋体" w:eastAsia="宋体" w:hAnsi="宋体" w:cs="Times New Roman" w:hint="eastAsia"/>
          <w:spacing w:val="4"/>
          <w:kern w:val="0"/>
          <w:sz w:val="24"/>
          <w:szCs w:val="22"/>
        </w:rPr>
        <w:t>临潭</w:t>
      </w:r>
      <w:r>
        <w:rPr>
          <w:rStyle w:val="a9"/>
          <w:rFonts w:ascii="宋体" w:eastAsia="宋体" w:hAnsi="宋体" w:cs="Times New Roman" w:hint="eastAsia"/>
          <w:spacing w:val="4"/>
          <w:kern w:val="0"/>
          <w:sz w:val="24"/>
          <w:szCs w:val="22"/>
          <w:lang w:eastAsia="zh-TW"/>
        </w:rPr>
        <w:t>人，</w:t>
      </w:r>
      <w:r>
        <w:rPr>
          <w:rStyle w:val="a9"/>
          <w:rFonts w:ascii="宋体" w:eastAsia="宋体" w:hAnsi="宋体" w:cs="Times New Roman" w:hint="eastAsia"/>
          <w:spacing w:val="4"/>
          <w:kern w:val="0"/>
          <w:sz w:val="24"/>
          <w:szCs w:val="22"/>
        </w:rPr>
        <w:t>文学</w:t>
      </w:r>
      <w:r>
        <w:rPr>
          <w:rStyle w:val="a9"/>
          <w:rFonts w:ascii="宋体" w:eastAsia="宋体" w:hAnsi="宋体" w:cs="Times New Roman" w:hint="eastAsia"/>
          <w:spacing w:val="4"/>
          <w:kern w:val="0"/>
          <w:sz w:val="24"/>
          <w:szCs w:val="22"/>
          <w:lang w:eastAsia="zh-TW"/>
        </w:rPr>
        <w:t>硕士，甘肃简牍博物馆助理馆员，主要从事</w:t>
      </w:r>
      <w:r>
        <w:rPr>
          <w:rStyle w:val="a9"/>
          <w:rFonts w:ascii="宋体" w:eastAsia="宋体" w:hAnsi="宋体" w:cs="Times New Roman" w:hint="eastAsia"/>
          <w:spacing w:val="4"/>
          <w:kern w:val="0"/>
          <w:sz w:val="24"/>
          <w:szCs w:val="22"/>
        </w:rPr>
        <w:t>汉语史、</w:t>
      </w:r>
      <w:r>
        <w:rPr>
          <w:rStyle w:val="a9"/>
          <w:rFonts w:ascii="宋体" w:eastAsia="宋体" w:hAnsi="宋体" w:cs="Times New Roman" w:hint="eastAsia"/>
          <w:spacing w:val="4"/>
          <w:kern w:val="0"/>
          <w:sz w:val="24"/>
          <w:szCs w:val="22"/>
          <w:lang w:eastAsia="zh-TW"/>
        </w:rPr>
        <w:t>简牍整理与研究。韩树伟</w:t>
      </w:r>
      <w:r>
        <w:rPr>
          <w:rStyle w:val="a9"/>
          <w:rFonts w:ascii="宋体" w:eastAsia="宋体" w:hAnsi="宋体" w:cs="Times New Roman" w:hint="eastAsia"/>
          <w:spacing w:val="4"/>
          <w:kern w:val="0"/>
          <w:sz w:val="24"/>
          <w:szCs w:val="22"/>
        </w:rPr>
        <w:t>，博士</w:t>
      </w:r>
      <w:r>
        <w:rPr>
          <w:rStyle w:val="a9"/>
          <w:rFonts w:ascii="宋体" w:eastAsia="宋体" w:hAnsi="宋体" w:cs="Times New Roman" w:hint="eastAsia"/>
          <w:spacing w:val="4"/>
          <w:kern w:val="0"/>
          <w:sz w:val="24"/>
          <w:szCs w:val="22"/>
          <w:lang w:eastAsia="zh-TW"/>
        </w:rPr>
        <w:t>，副教授</w:t>
      </w:r>
      <w:r>
        <w:rPr>
          <w:rStyle w:val="a9"/>
          <w:rFonts w:ascii="宋体" w:eastAsia="宋体" w:hAnsi="宋体" w:cs="Times New Roman" w:hint="eastAsia"/>
          <w:spacing w:val="4"/>
          <w:kern w:val="0"/>
          <w:sz w:val="24"/>
          <w:szCs w:val="22"/>
        </w:rPr>
        <w:t>、硕士生导师</w:t>
      </w:r>
      <w:r>
        <w:rPr>
          <w:rStyle w:val="a9"/>
          <w:rFonts w:ascii="宋体" w:eastAsia="宋体" w:hAnsi="宋体" w:cs="Times New Roman" w:hint="eastAsia"/>
          <w:spacing w:val="4"/>
          <w:kern w:val="0"/>
          <w:sz w:val="24"/>
          <w:szCs w:val="22"/>
          <w:lang w:eastAsia="zh-TW"/>
        </w:rPr>
        <w:t>，</w:t>
      </w:r>
      <w:r>
        <w:rPr>
          <w:rStyle w:val="a9"/>
          <w:rFonts w:ascii="宋体" w:eastAsia="宋体" w:hAnsi="宋体" w:cs="Times New Roman" w:hint="eastAsia"/>
          <w:spacing w:val="4"/>
          <w:kern w:val="0"/>
          <w:sz w:val="24"/>
          <w:szCs w:val="22"/>
        </w:rPr>
        <w:t>《西北学》主编，</w:t>
      </w:r>
      <w:r>
        <w:rPr>
          <w:rStyle w:val="a9"/>
          <w:rFonts w:ascii="宋体" w:eastAsia="宋体" w:hAnsi="宋体" w:cs="Times New Roman" w:hint="eastAsia"/>
          <w:spacing w:val="4"/>
          <w:kern w:val="0"/>
          <w:sz w:val="24"/>
          <w:szCs w:val="22"/>
          <w:lang w:eastAsia="zh-TW"/>
        </w:rPr>
        <w:t>主要从事敦煌学、法律社会史、西域史研究。</w:t>
      </w:r>
    </w:p>
  </w:footnote>
  <w:footnote w:id="2">
    <w:p w14:paraId="46CCB855" w14:textId="77777777" w:rsidR="00195945" w:rsidRDefault="00000000">
      <w:pPr>
        <w:rPr>
          <w:rFonts w:ascii="宋体" w:eastAsia="宋体" w:hAnsi="宋体" w:cs="宋体" w:hint="eastAsia"/>
          <w:sz w:val="18"/>
          <w:szCs w:val="18"/>
        </w:rPr>
      </w:pPr>
      <w:r>
        <w:rPr>
          <w:rStyle w:val="a9"/>
          <w:rFonts w:ascii="宋体" w:eastAsia="宋体" w:hAnsi="宋体" w:cs="宋体" w:hint="eastAsia"/>
          <w:sz w:val="18"/>
          <w:szCs w:val="18"/>
        </w:rPr>
        <w:footnoteRef/>
      </w:r>
      <w:r>
        <w:rPr>
          <w:rFonts w:ascii="宋体" w:eastAsia="宋体" w:hAnsi="宋体" w:cs="宋体" w:hint="eastAsia"/>
          <w:sz w:val="18"/>
          <w:szCs w:val="18"/>
        </w:rPr>
        <w:t xml:space="preserve"> 张德芳：《敦煌马圈湾汉简概述》，《中国书法》2019年第3期，第26-41页。</w:t>
      </w:r>
    </w:p>
  </w:footnote>
  <w:footnote w:id="3">
    <w:p w14:paraId="36C85D56" w14:textId="77777777" w:rsidR="00195945" w:rsidRDefault="00000000">
      <w:pPr>
        <w:rPr>
          <w:rFonts w:ascii="宋体" w:eastAsia="宋体" w:hAnsi="宋体" w:cs="宋体" w:hint="eastAsia"/>
          <w:sz w:val="18"/>
          <w:szCs w:val="18"/>
        </w:rPr>
      </w:pPr>
      <w:r>
        <w:rPr>
          <w:rStyle w:val="a9"/>
          <w:rFonts w:ascii="宋体" w:eastAsia="宋体" w:hAnsi="宋体" w:cs="宋体" w:hint="eastAsia"/>
          <w:sz w:val="18"/>
          <w:szCs w:val="18"/>
        </w:rPr>
        <w:footnoteRef/>
      </w:r>
      <w:r>
        <w:rPr>
          <w:rFonts w:ascii="宋体" w:eastAsia="宋体" w:hAnsi="宋体" w:cs="宋体" w:hint="eastAsia"/>
          <w:sz w:val="18"/>
          <w:szCs w:val="18"/>
        </w:rPr>
        <w:t xml:space="preserve"> 甘肃省文物考古研究所编：《敦煌汉简》，北京：中华书局，1991年。</w:t>
      </w:r>
    </w:p>
  </w:footnote>
  <w:footnote w:id="4">
    <w:p w14:paraId="3FB18F86" w14:textId="77777777" w:rsidR="00195945" w:rsidRDefault="00000000">
      <w:pPr>
        <w:rPr>
          <w:rFonts w:ascii="宋体" w:eastAsia="宋体" w:hAnsi="宋体" w:cs="宋体" w:hint="eastAsia"/>
          <w:sz w:val="18"/>
          <w:szCs w:val="18"/>
        </w:rPr>
      </w:pPr>
      <w:r>
        <w:rPr>
          <w:rStyle w:val="a9"/>
          <w:rFonts w:ascii="宋体" w:eastAsia="宋体" w:hAnsi="宋体" w:cs="宋体" w:hint="eastAsia"/>
          <w:sz w:val="18"/>
          <w:szCs w:val="18"/>
        </w:rPr>
        <w:footnoteRef/>
      </w:r>
      <w:r>
        <w:rPr>
          <w:rFonts w:ascii="宋体" w:eastAsia="宋体" w:hAnsi="宋体" w:cs="宋体" w:hint="eastAsia"/>
          <w:sz w:val="18"/>
          <w:szCs w:val="18"/>
        </w:rPr>
        <w:t xml:space="preserve"> 张德芳：《敦煌马圈湾汉简集释》，兰州：甘肃文化出版社，2013年。</w:t>
      </w:r>
    </w:p>
  </w:footnote>
  <w:footnote w:id="5">
    <w:p w14:paraId="19DBD502" w14:textId="77777777" w:rsidR="00195945" w:rsidRDefault="00000000">
      <w:pPr>
        <w:pStyle w:val="a5"/>
        <w:rPr>
          <w:rFonts w:ascii="宋体" w:eastAsia="宋体" w:hAnsi="宋体" w:cs="宋体" w:hint="eastAsia"/>
          <w:szCs w:val="18"/>
        </w:rPr>
      </w:pPr>
      <w:r>
        <w:rPr>
          <w:rStyle w:val="a9"/>
          <w:rFonts w:ascii="宋体" w:eastAsia="宋体" w:hAnsi="宋体" w:cs="宋体" w:hint="eastAsia"/>
          <w:szCs w:val="18"/>
        </w:rPr>
        <w:footnoteRef/>
      </w:r>
      <w:r>
        <w:rPr>
          <w:rFonts w:ascii="宋体" w:eastAsia="宋体" w:hAnsi="宋体" w:cs="宋体" w:hint="eastAsia"/>
          <w:szCs w:val="18"/>
        </w:rPr>
        <w:t xml:space="preserve"> 白军鹏：《敦煌汉简整理与研究》，吉林大学博士学位论文，2014年。</w:t>
      </w:r>
    </w:p>
  </w:footnote>
  <w:footnote w:id="6">
    <w:p w14:paraId="21877296" w14:textId="77777777" w:rsidR="00195945" w:rsidRDefault="00000000">
      <w:pPr>
        <w:pStyle w:val="a5"/>
        <w:rPr>
          <w:rFonts w:ascii="宋体" w:eastAsia="宋体" w:hAnsi="宋体" w:cs="宋体" w:hint="eastAsia"/>
          <w:szCs w:val="18"/>
        </w:rPr>
      </w:pPr>
      <w:r>
        <w:rPr>
          <w:rStyle w:val="a9"/>
          <w:rFonts w:ascii="宋体" w:eastAsia="宋体" w:hAnsi="宋体" w:cs="宋体" w:hint="eastAsia"/>
          <w:szCs w:val="18"/>
        </w:rPr>
        <w:footnoteRef/>
      </w:r>
      <w:r>
        <w:rPr>
          <w:rFonts w:ascii="宋体" w:eastAsia="宋体" w:hAnsi="宋体" w:cs="宋体" w:hint="eastAsia"/>
          <w:szCs w:val="18"/>
        </w:rPr>
        <w:t xml:space="preserve"> 白军鹏：《敦煌汉简校释》，上海：上海古籍出版社，2018年。</w:t>
      </w:r>
    </w:p>
  </w:footnote>
  <w:footnote w:id="7">
    <w:p w14:paraId="6443BB8F" w14:textId="77777777" w:rsidR="00195945" w:rsidRDefault="00000000">
      <w:pPr>
        <w:rPr>
          <w:rFonts w:ascii="宋体" w:eastAsia="宋体" w:hAnsi="宋体" w:cs="宋体" w:hint="eastAsia"/>
          <w:sz w:val="18"/>
          <w:szCs w:val="18"/>
        </w:rPr>
      </w:pPr>
      <w:r>
        <w:rPr>
          <w:rStyle w:val="a9"/>
          <w:rFonts w:ascii="宋体" w:eastAsia="宋体" w:hAnsi="宋体" w:cs="宋体" w:hint="eastAsia"/>
          <w:sz w:val="18"/>
          <w:szCs w:val="18"/>
        </w:rPr>
        <w:footnoteRef/>
      </w:r>
      <w:r>
        <w:rPr>
          <w:rFonts w:ascii="宋体" w:eastAsia="宋体" w:hAnsi="宋体" w:cs="宋体" w:hint="eastAsia"/>
          <w:sz w:val="18"/>
          <w:szCs w:val="18"/>
        </w:rPr>
        <w:t xml:space="preserve"> 张俊民：《马圈湾汉简整理与研究》，兰州：甘肃教育出版社，2023年。</w:t>
      </w:r>
    </w:p>
  </w:footnote>
  <w:footnote w:id="8">
    <w:p w14:paraId="157F3957" w14:textId="77777777" w:rsidR="00195945" w:rsidRDefault="00000000">
      <w:pPr>
        <w:rPr>
          <w:rFonts w:ascii="宋体" w:eastAsia="宋体" w:hAnsi="宋体" w:cs="宋体" w:hint="eastAsia"/>
          <w:sz w:val="18"/>
          <w:szCs w:val="18"/>
        </w:rPr>
      </w:pPr>
      <w:r>
        <w:rPr>
          <w:rStyle w:val="a9"/>
          <w:rFonts w:ascii="宋体" w:eastAsia="宋体" w:hAnsi="宋体" w:cs="宋体" w:hint="eastAsia"/>
          <w:sz w:val="18"/>
          <w:szCs w:val="18"/>
        </w:rPr>
        <w:footnoteRef/>
      </w:r>
      <w:r>
        <w:rPr>
          <w:rFonts w:ascii="宋体" w:eastAsia="宋体" w:hAnsi="宋体" w:cs="宋体" w:hint="eastAsia"/>
          <w:sz w:val="18"/>
          <w:szCs w:val="18"/>
        </w:rPr>
        <w:t xml:space="preserve"> 张丽萍、王丹：《&lt;敦煌马圈湾汉简集释&gt;未释疑难字考》，《古籍整理研究学刊》2016年第3期，第95-98页。</w:t>
      </w:r>
    </w:p>
  </w:footnote>
  <w:footnote w:id="9">
    <w:p w14:paraId="4CC770A8" w14:textId="77777777" w:rsidR="00195945" w:rsidRDefault="00000000">
      <w:pPr>
        <w:rPr>
          <w:rFonts w:ascii="宋体" w:eastAsia="宋体" w:hAnsi="宋体" w:cs="宋体" w:hint="eastAsia"/>
          <w:sz w:val="18"/>
          <w:szCs w:val="18"/>
        </w:rPr>
      </w:pPr>
      <w:r>
        <w:rPr>
          <w:rStyle w:val="a9"/>
          <w:rFonts w:ascii="宋体" w:eastAsia="宋体" w:hAnsi="宋体" w:cs="宋体" w:hint="eastAsia"/>
          <w:sz w:val="18"/>
          <w:szCs w:val="18"/>
        </w:rPr>
        <w:footnoteRef/>
      </w:r>
      <w:r>
        <w:rPr>
          <w:rFonts w:ascii="宋体" w:eastAsia="宋体" w:hAnsi="宋体" w:cs="宋体" w:hint="eastAsia"/>
          <w:sz w:val="18"/>
          <w:szCs w:val="18"/>
        </w:rPr>
        <w:t xml:space="preserve"> 张丽萍、张显成：《&lt;敦煌马圈湾汉简集释&gt;释读订误》，《简帛》第十四辑，上海：上海古籍出版社，2017年，第175-184页。</w:t>
      </w:r>
    </w:p>
  </w:footnote>
  <w:footnote w:id="10">
    <w:p w14:paraId="1A39C3C3" w14:textId="77777777" w:rsidR="00195945" w:rsidRDefault="00000000">
      <w:pPr>
        <w:rPr>
          <w:rFonts w:ascii="宋体" w:eastAsia="宋体" w:hAnsi="宋体" w:cs="宋体" w:hint="eastAsia"/>
          <w:sz w:val="18"/>
          <w:szCs w:val="18"/>
        </w:rPr>
      </w:pPr>
      <w:r>
        <w:rPr>
          <w:rStyle w:val="a9"/>
          <w:rFonts w:ascii="宋体" w:eastAsia="宋体" w:hAnsi="宋体" w:cs="宋体" w:hint="eastAsia"/>
          <w:sz w:val="18"/>
          <w:szCs w:val="18"/>
        </w:rPr>
        <w:footnoteRef/>
      </w:r>
      <w:r>
        <w:rPr>
          <w:rFonts w:ascii="宋体" w:eastAsia="宋体" w:hAnsi="宋体" w:cs="宋体" w:hint="eastAsia"/>
          <w:sz w:val="18"/>
          <w:szCs w:val="18"/>
        </w:rPr>
        <w:t xml:space="preserve"> 白军鹏、汪云龙：《敦煌马圈湾汉简释文订补（六則）》，邬文玲主编《简帛研究·二〇一七秋冬卷》，桂林：广西师范大学出版社，2018年，第166-171页。</w:t>
      </w:r>
    </w:p>
  </w:footnote>
  <w:footnote w:id="11">
    <w:p w14:paraId="3517C471" w14:textId="77777777" w:rsidR="00195945" w:rsidRDefault="00000000">
      <w:pPr>
        <w:rPr>
          <w:rFonts w:ascii="宋体" w:eastAsia="宋体" w:hAnsi="宋体" w:cs="宋体" w:hint="eastAsia"/>
          <w:sz w:val="18"/>
          <w:szCs w:val="18"/>
        </w:rPr>
      </w:pPr>
      <w:r>
        <w:rPr>
          <w:rStyle w:val="a9"/>
          <w:rFonts w:ascii="宋体" w:eastAsia="宋体" w:hAnsi="宋体" w:cs="宋体" w:hint="eastAsia"/>
          <w:sz w:val="18"/>
          <w:szCs w:val="18"/>
        </w:rPr>
        <w:footnoteRef/>
      </w:r>
      <w:r>
        <w:rPr>
          <w:rFonts w:ascii="宋体" w:eastAsia="宋体" w:hAnsi="宋体" w:cs="宋体" w:hint="eastAsia"/>
          <w:sz w:val="18"/>
          <w:szCs w:val="18"/>
        </w:rPr>
        <w:t xml:space="preserve"> 袁金平、卢海霞：《敦煌马圈湾汉简“埻道”释义辨正》，《敦煌研究》2019年第6期，第82-87页。</w:t>
      </w:r>
    </w:p>
  </w:footnote>
  <w:footnote w:id="12">
    <w:p w14:paraId="6BD7EA28" w14:textId="77777777" w:rsidR="00195945" w:rsidRDefault="00000000">
      <w:pPr>
        <w:rPr>
          <w:rFonts w:ascii="宋体" w:eastAsia="宋体" w:hAnsi="宋体" w:cs="宋体" w:hint="eastAsia"/>
          <w:sz w:val="18"/>
          <w:szCs w:val="18"/>
        </w:rPr>
      </w:pPr>
      <w:r>
        <w:rPr>
          <w:rStyle w:val="a9"/>
          <w:rFonts w:ascii="宋体" w:eastAsia="宋体" w:hAnsi="宋体" w:cs="宋体" w:hint="eastAsia"/>
          <w:sz w:val="18"/>
          <w:szCs w:val="18"/>
        </w:rPr>
        <w:footnoteRef/>
      </w:r>
      <w:r>
        <w:rPr>
          <w:rFonts w:ascii="宋体" w:eastAsia="宋体" w:hAnsi="宋体" w:cs="宋体" w:hint="eastAsia"/>
          <w:sz w:val="18"/>
          <w:szCs w:val="18"/>
        </w:rPr>
        <w:t xml:space="preserve"> 李洪财：《敦煌马圈湾汉简草书释正》，《出土文献》2021年第3期，第65-70页。</w:t>
      </w:r>
    </w:p>
  </w:footnote>
  <w:footnote w:id="13">
    <w:p w14:paraId="553EE8D5" w14:textId="77777777" w:rsidR="00195945" w:rsidRDefault="00000000">
      <w:pPr>
        <w:rPr>
          <w:rFonts w:ascii="宋体" w:eastAsia="宋体" w:hAnsi="宋体" w:cs="宋体" w:hint="eastAsia"/>
          <w:sz w:val="18"/>
          <w:szCs w:val="18"/>
        </w:rPr>
      </w:pPr>
      <w:r>
        <w:rPr>
          <w:rStyle w:val="a9"/>
          <w:rFonts w:ascii="宋体" w:eastAsia="宋体" w:hAnsi="宋体" w:cs="宋体" w:hint="eastAsia"/>
          <w:sz w:val="18"/>
          <w:szCs w:val="18"/>
        </w:rPr>
        <w:footnoteRef/>
      </w:r>
      <w:r>
        <w:rPr>
          <w:rFonts w:ascii="宋体" w:eastAsia="宋体" w:hAnsi="宋体" w:cs="宋体" w:hint="eastAsia"/>
          <w:sz w:val="18"/>
          <w:szCs w:val="18"/>
        </w:rPr>
        <w:t xml:space="preserve"> 秦凤鹤：《敦煌马圈湾汉简释文校读记》，《中国文字研究》2018年第1期，第94-97页。</w:t>
      </w:r>
    </w:p>
  </w:footnote>
  <w:footnote w:id="14">
    <w:p w14:paraId="69770739" w14:textId="77777777" w:rsidR="00195945" w:rsidRDefault="00000000">
      <w:pPr>
        <w:rPr>
          <w:rFonts w:ascii="宋体" w:eastAsia="宋体" w:hAnsi="宋体" w:cs="宋体" w:hint="eastAsia"/>
          <w:sz w:val="18"/>
          <w:szCs w:val="18"/>
        </w:rPr>
      </w:pPr>
      <w:r>
        <w:rPr>
          <w:rStyle w:val="a9"/>
          <w:rFonts w:ascii="宋体" w:eastAsia="宋体" w:hAnsi="宋体" w:cs="宋体" w:hint="eastAsia"/>
          <w:sz w:val="18"/>
          <w:szCs w:val="18"/>
        </w:rPr>
        <w:footnoteRef/>
      </w:r>
      <w:r>
        <w:rPr>
          <w:rFonts w:ascii="宋体" w:eastAsia="宋体" w:hAnsi="宋体" w:cs="宋体" w:hint="eastAsia"/>
          <w:sz w:val="18"/>
          <w:szCs w:val="18"/>
        </w:rPr>
        <w:t xml:space="preserve"> 张</w:t>
      </w:r>
      <w:r>
        <w:rPr>
          <w:rFonts w:ascii="宋体" w:eastAsia="宋体" w:hAnsi="宋体" w:cs="宋体" w:hint="eastAsia"/>
          <w:color w:val="0D0D0D" w:themeColor="text1" w:themeTint="F2"/>
          <w:sz w:val="18"/>
          <w:szCs w:val="18"/>
        </w:rPr>
        <w:t>俊民：《马圈湾汉简释文校释之一》，白云翔、王辉主编《丝绸之路与秦汉文明》，北京：文物出版社，2020年，第155-160页。收入</w:t>
      </w:r>
      <w:r>
        <w:rPr>
          <w:rFonts w:ascii="宋体" w:eastAsia="宋体" w:hAnsi="宋体" w:cs="宋体" w:hint="eastAsia"/>
          <w:sz w:val="18"/>
          <w:szCs w:val="18"/>
        </w:rPr>
        <w:t>张俊民《马圈湾汉简整理与研究》，兰州：甘肃教育出版社，2023年，第281-289页。</w:t>
      </w:r>
    </w:p>
  </w:footnote>
  <w:footnote w:id="15">
    <w:p w14:paraId="165CF95D" w14:textId="77777777" w:rsidR="00195945" w:rsidRDefault="00000000">
      <w:pPr>
        <w:pStyle w:val="a5"/>
        <w:rPr>
          <w:rFonts w:ascii="宋体" w:eastAsia="宋体" w:hAnsi="宋体" w:cs="宋体" w:hint="eastAsia"/>
          <w:szCs w:val="18"/>
        </w:rPr>
      </w:pPr>
      <w:r>
        <w:rPr>
          <w:rStyle w:val="a9"/>
          <w:rFonts w:ascii="宋体" w:eastAsia="宋体" w:hAnsi="宋体" w:cs="宋体" w:hint="eastAsia"/>
          <w:szCs w:val="18"/>
        </w:rPr>
        <w:footnoteRef/>
      </w:r>
      <w:r>
        <w:rPr>
          <w:rFonts w:ascii="宋体" w:eastAsia="宋体" w:hAnsi="宋体" w:cs="宋体" w:hint="eastAsia"/>
          <w:szCs w:val="18"/>
        </w:rPr>
        <w:t xml:space="preserve"> 陈雨菡：《敦煌马圈湾出土医简及“白椟带”再释读》，《丝绸之路》2017年第6期，第16-18页。</w:t>
      </w:r>
    </w:p>
  </w:footnote>
  <w:footnote w:id="16">
    <w:p w14:paraId="07D72E98" w14:textId="77777777" w:rsidR="00195945" w:rsidRDefault="00000000">
      <w:pPr>
        <w:rPr>
          <w:rFonts w:ascii="宋体" w:eastAsia="宋体" w:hAnsi="宋体" w:cs="宋体" w:hint="eastAsia"/>
          <w:sz w:val="18"/>
          <w:szCs w:val="18"/>
        </w:rPr>
      </w:pPr>
      <w:r>
        <w:rPr>
          <w:rStyle w:val="a9"/>
          <w:rFonts w:ascii="宋体" w:eastAsia="宋体" w:hAnsi="宋体" w:cs="宋体" w:hint="eastAsia"/>
          <w:sz w:val="18"/>
          <w:szCs w:val="18"/>
        </w:rPr>
        <w:footnoteRef/>
      </w:r>
      <w:r>
        <w:rPr>
          <w:rFonts w:ascii="宋体" w:eastAsia="宋体" w:hAnsi="宋体" w:cs="宋体" w:hint="eastAsia"/>
          <w:sz w:val="18"/>
          <w:szCs w:val="18"/>
        </w:rPr>
        <w:t xml:space="preserve"> 张俊民：《马圈湾汉简几组与西域有关文字的释读问题》，《敦煌研究》2020年第5期，第27-32页。收入张俊民《马圈湾汉简整理与研究》，兰州：甘肃教育出版社，2023年，第322-332页。</w:t>
      </w:r>
    </w:p>
  </w:footnote>
  <w:footnote w:id="17">
    <w:p w14:paraId="65232D78" w14:textId="77777777" w:rsidR="00195945" w:rsidRDefault="00000000">
      <w:pPr>
        <w:rPr>
          <w:rFonts w:ascii="宋体" w:eastAsia="宋体" w:hAnsi="宋体" w:cs="宋体" w:hint="eastAsia"/>
          <w:sz w:val="18"/>
          <w:szCs w:val="18"/>
        </w:rPr>
      </w:pPr>
      <w:r>
        <w:rPr>
          <w:rStyle w:val="a9"/>
          <w:rFonts w:ascii="宋体" w:eastAsia="宋体" w:hAnsi="宋体" w:cs="宋体" w:hint="eastAsia"/>
          <w:sz w:val="18"/>
          <w:szCs w:val="18"/>
        </w:rPr>
        <w:footnoteRef/>
      </w:r>
      <w:r>
        <w:rPr>
          <w:rFonts w:ascii="宋体" w:eastAsia="宋体" w:hAnsi="宋体" w:cs="宋体" w:hint="eastAsia"/>
          <w:sz w:val="18"/>
          <w:szCs w:val="18"/>
        </w:rPr>
        <w:t xml:space="preserve"> 白军鹏：《马圈湾汉简“焦党陶圣”章释文、性质及人名互证研究》，《出土文献》2021年第1期，第121-131页。</w:t>
      </w:r>
    </w:p>
  </w:footnote>
  <w:footnote w:id="18">
    <w:p w14:paraId="119453E6" w14:textId="77777777" w:rsidR="00195945" w:rsidRDefault="00000000">
      <w:pPr>
        <w:pStyle w:val="a5"/>
        <w:rPr>
          <w:rFonts w:ascii="宋体" w:eastAsia="宋体" w:hAnsi="宋体" w:cs="宋体" w:hint="eastAsia"/>
          <w:szCs w:val="18"/>
        </w:rPr>
      </w:pPr>
      <w:r>
        <w:rPr>
          <w:rStyle w:val="a9"/>
          <w:rFonts w:ascii="宋体" w:eastAsia="宋体" w:hAnsi="宋体" w:cs="宋体" w:hint="eastAsia"/>
          <w:szCs w:val="18"/>
        </w:rPr>
        <w:footnoteRef/>
      </w:r>
      <w:r>
        <w:rPr>
          <w:rFonts w:ascii="宋体" w:eastAsia="宋体" w:hAnsi="宋体" w:cs="宋体" w:hint="eastAsia"/>
          <w:szCs w:val="18"/>
        </w:rPr>
        <w:t xml:space="preserve"> 刘乐贤：《敦煌马圈湾出土药方简补释——为纪念谢桂华先生而作》，杨振红、邬文玲主编《简帛研究·二〇一六秋冬卷》，桂林：广西师范大学出版社，2017年，第206-213页。</w:t>
      </w:r>
    </w:p>
  </w:footnote>
  <w:footnote w:id="19">
    <w:p w14:paraId="02636956" w14:textId="77777777" w:rsidR="00195945" w:rsidRDefault="00000000">
      <w:pPr>
        <w:rPr>
          <w:rFonts w:ascii="宋体" w:eastAsia="宋体" w:hAnsi="宋体" w:cs="宋体" w:hint="eastAsia"/>
          <w:sz w:val="18"/>
          <w:szCs w:val="18"/>
        </w:rPr>
      </w:pPr>
      <w:r>
        <w:rPr>
          <w:rStyle w:val="a9"/>
          <w:rFonts w:ascii="宋体" w:eastAsia="宋体" w:hAnsi="宋体" w:cs="宋体" w:hint="eastAsia"/>
          <w:sz w:val="18"/>
          <w:szCs w:val="18"/>
        </w:rPr>
        <w:footnoteRef/>
      </w:r>
      <w:r>
        <w:rPr>
          <w:rFonts w:ascii="宋体" w:eastAsia="宋体" w:hAnsi="宋体" w:cs="宋体" w:hint="eastAsia"/>
          <w:sz w:val="18"/>
          <w:szCs w:val="18"/>
        </w:rPr>
        <w:t xml:space="preserve"> 刘乐贤：《敦煌马圈湾汉简第122号、133号补释》，《出土文献综合研究集刊》第十辑，成都：巴蜀书社，2019年，第42-49页。</w:t>
      </w:r>
    </w:p>
  </w:footnote>
  <w:footnote w:id="20">
    <w:p w14:paraId="3ACCC65C" w14:textId="77777777" w:rsidR="00195945" w:rsidRDefault="00000000">
      <w:pPr>
        <w:rPr>
          <w:rFonts w:ascii="宋体" w:eastAsia="宋体" w:hAnsi="宋体" w:cs="宋体" w:hint="eastAsia"/>
          <w:sz w:val="18"/>
          <w:szCs w:val="18"/>
        </w:rPr>
      </w:pPr>
      <w:r>
        <w:rPr>
          <w:rStyle w:val="a9"/>
          <w:rFonts w:ascii="宋体" w:eastAsia="宋体" w:hAnsi="宋体" w:cs="宋体" w:hint="eastAsia"/>
          <w:sz w:val="18"/>
          <w:szCs w:val="18"/>
        </w:rPr>
        <w:footnoteRef/>
      </w:r>
      <w:r>
        <w:rPr>
          <w:rFonts w:ascii="宋体" w:eastAsia="宋体" w:hAnsi="宋体" w:cs="宋体" w:hint="eastAsia"/>
          <w:sz w:val="18"/>
          <w:szCs w:val="18"/>
        </w:rPr>
        <w:t xml:space="preserve"> 张俊民：《敦</w:t>
      </w:r>
      <w:r>
        <w:rPr>
          <w:rFonts w:ascii="宋体" w:eastAsia="宋体" w:hAnsi="宋体" w:cs="宋体" w:hint="eastAsia"/>
          <w:color w:val="0D0D0D" w:themeColor="text1" w:themeTint="F2"/>
          <w:sz w:val="18"/>
          <w:szCs w:val="18"/>
        </w:rPr>
        <w:t>煌马圈湾汉简释文辞例补释</w:t>
      </w:r>
      <w:r>
        <w:rPr>
          <w:rFonts w:ascii="宋体" w:eastAsia="宋体" w:hAnsi="宋体" w:cs="宋体" w:hint="eastAsia"/>
          <w:sz w:val="18"/>
          <w:szCs w:val="18"/>
        </w:rPr>
        <w:t>》</w:t>
      </w:r>
      <w:r>
        <w:rPr>
          <w:rFonts w:ascii="宋体" w:eastAsia="宋体" w:hAnsi="宋体" w:cs="宋体" w:hint="eastAsia"/>
          <w:color w:val="0D0D0D" w:themeColor="text1" w:themeTint="F2"/>
          <w:sz w:val="18"/>
          <w:szCs w:val="18"/>
        </w:rPr>
        <w:t>，敦煌市博物馆编《第二届丝绸之路与敦煌历史文化学术研讨会论文集》，沈阳：万卷出版公司，2020年，第115-126页。收入</w:t>
      </w:r>
      <w:r>
        <w:rPr>
          <w:rFonts w:ascii="宋体" w:eastAsia="宋体" w:hAnsi="宋体" w:cs="宋体" w:hint="eastAsia"/>
          <w:sz w:val="18"/>
          <w:szCs w:val="18"/>
        </w:rPr>
        <w:t>张俊民《马圈湾汉简整理与研究》，兰州：甘肃教育出版社，2023年，第290-307页。</w:t>
      </w:r>
    </w:p>
  </w:footnote>
  <w:footnote w:id="21">
    <w:p w14:paraId="5CE28127" w14:textId="77777777" w:rsidR="00195945" w:rsidRDefault="00000000">
      <w:pPr>
        <w:rPr>
          <w:rFonts w:ascii="宋体" w:eastAsia="宋体" w:hAnsi="宋体" w:cs="宋体" w:hint="eastAsia"/>
          <w:sz w:val="18"/>
          <w:szCs w:val="18"/>
        </w:rPr>
      </w:pPr>
      <w:r>
        <w:rPr>
          <w:rStyle w:val="a9"/>
          <w:rFonts w:ascii="宋体" w:eastAsia="宋体" w:hAnsi="宋体" w:cs="宋体" w:hint="eastAsia"/>
          <w:sz w:val="18"/>
          <w:szCs w:val="18"/>
        </w:rPr>
        <w:footnoteRef/>
      </w:r>
      <w:r>
        <w:rPr>
          <w:rFonts w:ascii="宋体" w:eastAsia="宋体" w:hAnsi="宋体" w:cs="宋体" w:hint="eastAsia"/>
          <w:sz w:val="18"/>
          <w:szCs w:val="18"/>
        </w:rPr>
        <w:t xml:space="preserve"> 雷黎明：《敦煌马圈湾汉简新见通假字通释》，《西部学刊》2017年第7期，第32-37页。</w:t>
      </w:r>
    </w:p>
  </w:footnote>
  <w:footnote w:id="22">
    <w:p w14:paraId="78819BD1" w14:textId="77777777" w:rsidR="00195945" w:rsidRDefault="00000000">
      <w:pPr>
        <w:rPr>
          <w:rFonts w:ascii="宋体" w:eastAsia="宋体" w:hAnsi="宋体" w:cs="宋体" w:hint="eastAsia"/>
          <w:sz w:val="18"/>
          <w:szCs w:val="18"/>
        </w:rPr>
      </w:pPr>
      <w:r>
        <w:rPr>
          <w:rStyle w:val="a9"/>
          <w:rFonts w:ascii="宋体" w:eastAsia="宋体" w:hAnsi="宋体" w:cs="宋体" w:hint="eastAsia"/>
          <w:sz w:val="18"/>
          <w:szCs w:val="18"/>
        </w:rPr>
        <w:footnoteRef/>
      </w:r>
      <w:r>
        <w:rPr>
          <w:rFonts w:ascii="宋体" w:eastAsia="宋体" w:hAnsi="宋体" w:cs="宋体" w:hint="eastAsia"/>
          <w:sz w:val="18"/>
          <w:szCs w:val="18"/>
        </w:rPr>
        <w:t xml:space="preserve"> 周慧敏：《&lt;敦煌马圈湾汉简&gt;谐声关系与上古声母研究》，西北大学硕士学位论文，2022年。</w:t>
      </w:r>
    </w:p>
  </w:footnote>
  <w:footnote w:id="23">
    <w:p w14:paraId="1F439B49" w14:textId="77777777" w:rsidR="00195945" w:rsidRDefault="00000000">
      <w:pPr>
        <w:rPr>
          <w:rFonts w:ascii="宋体" w:eastAsia="宋体" w:hAnsi="宋体" w:cs="宋体" w:hint="eastAsia"/>
          <w:sz w:val="18"/>
          <w:szCs w:val="18"/>
        </w:rPr>
      </w:pPr>
      <w:r>
        <w:rPr>
          <w:rStyle w:val="a9"/>
          <w:rFonts w:ascii="宋体" w:eastAsia="宋体" w:hAnsi="宋体" w:cs="宋体" w:hint="eastAsia"/>
          <w:sz w:val="18"/>
          <w:szCs w:val="18"/>
        </w:rPr>
        <w:footnoteRef/>
      </w:r>
      <w:r>
        <w:rPr>
          <w:rFonts w:ascii="宋体" w:eastAsia="宋体" w:hAnsi="宋体" w:cs="宋体" w:hint="eastAsia"/>
          <w:sz w:val="18"/>
          <w:szCs w:val="18"/>
        </w:rPr>
        <w:t xml:space="preserve"> 雷黎明：《敦煌马圈湾汉简简化字及其汉字学价值考》，《励耘语言学刊》2017年第2期，第288-299页。</w:t>
      </w:r>
    </w:p>
  </w:footnote>
  <w:footnote w:id="24">
    <w:p w14:paraId="7FA90AD2" w14:textId="77777777" w:rsidR="00195945" w:rsidRDefault="00000000">
      <w:pPr>
        <w:rPr>
          <w:rFonts w:ascii="宋体" w:eastAsia="宋体" w:hAnsi="宋体" w:cs="宋体" w:hint="eastAsia"/>
          <w:sz w:val="18"/>
          <w:szCs w:val="18"/>
        </w:rPr>
      </w:pPr>
      <w:r>
        <w:rPr>
          <w:rStyle w:val="a9"/>
          <w:rFonts w:ascii="宋体" w:eastAsia="宋体" w:hAnsi="宋体" w:cs="宋体" w:hint="eastAsia"/>
          <w:sz w:val="18"/>
          <w:szCs w:val="18"/>
        </w:rPr>
        <w:footnoteRef/>
      </w:r>
      <w:r>
        <w:rPr>
          <w:rFonts w:ascii="宋体" w:eastAsia="宋体" w:hAnsi="宋体" w:cs="宋体" w:hint="eastAsia"/>
          <w:sz w:val="18"/>
          <w:szCs w:val="18"/>
        </w:rPr>
        <w:t xml:space="preserve"> 雷黎明：《敦煌马圈湾汉简通假字系统量化研究》，《西北师大学报》2019年第5期，第82-88页。</w:t>
      </w:r>
    </w:p>
  </w:footnote>
  <w:footnote w:id="25">
    <w:p w14:paraId="13110930" w14:textId="77777777" w:rsidR="00195945" w:rsidRDefault="00000000">
      <w:pPr>
        <w:rPr>
          <w:rFonts w:ascii="宋体" w:eastAsia="宋体" w:hAnsi="宋体" w:cs="宋体" w:hint="eastAsia"/>
          <w:sz w:val="18"/>
          <w:szCs w:val="18"/>
        </w:rPr>
      </w:pPr>
      <w:r>
        <w:rPr>
          <w:rStyle w:val="a9"/>
          <w:rFonts w:ascii="宋体" w:eastAsia="宋体" w:hAnsi="宋体" w:cs="宋体" w:hint="eastAsia"/>
          <w:sz w:val="18"/>
          <w:szCs w:val="18"/>
        </w:rPr>
        <w:footnoteRef/>
      </w:r>
      <w:r>
        <w:rPr>
          <w:rFonts w:ascii="宋体" w:eastAsia="宋体" w:hAnsi="宋体" w:cs="宋体" w:hint="eastAsia"/>
          <w:sz w:val="18"/>
          <w:szCs w:val="18"/>
        </w:rPr>
        <w:t xml:space="preserve"> 赵丹丹：《敦煌马圈湾汉简文字编》，吉林大学硕士学位论文，2019年。</w:t>
      </w:r>
    </w:p>
  </w:footnote>
  <w:footnote w:id="26">
    <w:p w14:paraId="0F9A2353" w14:textId="77777777" w:rsidR="00195945" w:rsidRDefault="00000000">
      <w:pPr>
        <w:rPr>
          <w:rFonts w:ascii="宋体" w:eastAsia="宋体" w:hAnsi="宋体" w:cs="宋体" w:hint="eastAsia"/>
          <w:sz w:val="18"/>
          <w:szCs w:val="18"/>
        </w:rPr>
      </w:pPr>
      <w:r>
        <w:rPr>
          <w:rStyle w:val="a9"/>
          <w:rFonts w:ascii="宋体" w:eastAsia="宋体" w:hAnsi="宋体" w:cs="宋体" w:hint="eastAsia"/>
          <w:sz w:val="18"/>
          <w:szCs w:val="18"/>
        </w:rPr>
        <w:footnoteRef/>
      </w:r>
      <w:r>
        <w:rPr>
          <w:rFonts w:ascii="宋体" w:eastAsia="宋体" w:hAnsi="宋体" w:cs="宋体" w:hint="eastAsia"/>
          <w:sz w:val="18"/>
          <w:szCs w:val="18"/>
        </w:rPr>
        <w:t xml:space="preserve"> 柳洋、周王嘉宇：《由香港中文大学藏汉简看部分文字的类化讹写规律》，《中国书法报》2022年8月30日第6版。</w:t>
      </w:r>
    </w:p>
  </w:footnote>
  <w:footnote w:id="27">
    <w:p w14:paraId="2749D310" w14:textId="77777777" w:rsidR="00195945" w:rsidRDefault="00000000">
      <w:pPr>
        <w:rPr>
          <w:rFonts w:ascii="宋体" w:eastAsia="宋体" w:hAnsi="宋体" w:cs="宋体" w:hint="eastAsia"/>
          <w:sz w:val="18"/>
          <w:szCs w:val="18"/>
        </w:rPr>
      </w:pPr>
      <w:r>
        <w:rPr>
          <w:rStyle w:val="a9"/>
          <w:rFonts w:ascii="宋体" w:eastAsia="宋体" w:hAnsi="宋体" w:cs="宋体" w:hint="eastAsia"/>
          <w:sz w:val="18"/>
          <w:szCs w:val="18"/>
        </w:rPr>
        <w:footnoteRef/>
      </w:r>
      <w:r>
        <w:rPr>
          <w:rFonts w:ascii="宋体" w:eastAsia="宋体" w:hAnsi="宋体" w:cs="宋体" w:hint="eastAsia"/>
          <w:sz w:val="18"/>
          <w:szCs w:val="18"/>
        </w:rPr>
        <w:t xml:space="preserve"> 李蒙蝶：《秦汉简帛中补语的语法形式和语义类型》，四川外国语大学硕士学位论文，2019年。</w:t>
      </w:r>
    </w:p>
  </w:footnote>
  <w:footnote w:id="28">
    <w:p w14:paraId="5632D139" w14:textId="77777777" w:rsidR="00195945" w:rsidRDefault="00000000">
      <w:pPr>
        <w:pStyle w:val="a5"/>
        <w:rPr>
          <w:rFonts w:ascii="宋体" w:eastAsia="宋体" w:hAnsi="宋体" w:cs="宋体" w:hint="eastAsia"/>
          <w:szCs w:val="18"/>
        </w:rPr>
      </w:pPr>
      <w:r>
        <w:rPr>
          <w:rStyle w:val="a9"/>
          <w:rFonts w:ascii="宋体" w:eastAsia="宋体" w:hAnsi="宋体" w:cs="宋体" w:hint="eastAsia"/>
          <w:szCs w:val="18"/>
        </w:rPr>
        <w:footnoteRef/>
      </w:r>
      <w:r>
        <w:rPr>
          <w:rFonts w:ascii="宋体" w:eastAsia="宋体" w:hAnsi="宋体" w:cs="宋体" w:hint="eastAsia"/>
          <w:szCs w:val="18"/>
        </w:rPr>
        <w:t xml:space="preserve"> 冯淑雅：《&lt;古辞辨&gt;订补——以汉代简帛材料为中心》，东北师范大学硕士学位论文，2023年。</w:t>
      </w:r>
    </w:p>
  </w:footnote>
  <w:footnote w:id="29">
    <w:p w14:paraId="76914B53" w14:textId="77777777" w:rsidR="00195945" w:rsidRDefault="00000000">
      <w:pPr>
        <w:rPr>
          <w:rFonts w:ascii="宋体" w:eastAsia="宋体" w:hAnsi="宋体" w:cs="宋体" w:hint="eastAsia"/>
          <w:sz w:val="18"/>
          <w:szCs w:val="18"/>
        </w:rPr>
      </w:pPr>
      <w:r>
        <w:rPr>
          <w:rStyle w:val="a9"/>
          <w:rFonts w:ascii="宋体" w:eastAsia="宋体" w:hAnsi="宋体" w:cs="宋体" w:hint="eastAsia"/>
          <w:sz w:val="18"/>
          <w:szCs w:val="18"/>
        </w:rPr>
        <w:footnoteRef/>
      </w:r>
      <w:r>
        <w:rPr>
          <w:rFonts w:ascii="宋体" w:eastAsia="宋体" w:hAnsi="宋体" w:cs="宋体" w:hint="eastAsia"/>
          <w:sz w:val="18"/>
          <w:szCs w:val="18"/>
        </w:rPr>
        <w:t xml:space="preserve"> 后晓荣、苗润洁：《关于敦煌马圈湾汉简涉及西域战争的几个问题》，《河北大学学报》2016年第3期，第105-111页。</w:t>
      </w:r>
    </w:p>
  </w:footnote>
  <w:footnote w:id="30">
    <w:p w14:paraId="3F03A444" w14:textId="77777777" w:rsidR="00195945" w:rsidRDefault="00000000">
      <w:pPr>
        <w:rPr>
          <w:rFonts w:ascii="宋体" w:eastAsia="宋体" w:hAnsi="宋体" w:cs="宋体" w:hint="eastAsia"/>
          <w:sz w:val="18"/>
          <w:szCs w:val="18"/>
        </w:rPr>
      </w:pPr>
      <w:r>
        <w:rPr>
          <w:rStyle w:val="a9"/>
          <w:rFonts w:ascii="宋体" w:eastAsia="宋体" w:hAnsi="宋体" w:cs="宋体" w:hint="eastAsia"/>
          <w:sz w:val="18"/>
          <w:szCs w:val="18"/>
        </w:rPr>
        <w:footnoteRef/>
      </w:r>
      <w:r>
        <w:rPr>
          <w:rFonts w:ascii="宋体" w:eastAsia="宋体" w:hAnsi="宋体" w:cs="宋体" w:hint="eastAsia"/>
          <w:sz w:val="18"/>
          <w:szCs w:val="18"/>
        </w:rPr>
        <w:t xml:space="preserve"> 刘俊：《马圈湾汉简所見匈奴南将军史事发微》，邬文玲、戴卫红主编《简帛研究·二〇二二秋冬卷》，桂林：广西师范大学出版社，2023年，第297-308页。</w:t>
      </w:r>
    </w:p>
  </w:footnote>
  <w:footnote w:id="31">
    <w:p w14:paraId="09C19AF3" w14:textId="77777777" w:rsidR="00195945" w:rsidRDefault="00000000">
      <w:pPr>
        <w:pStyle w:val="a5"/>
        <w:rPr>
          <w:rFonts w:ascii="宋体" w:eastAsia="宋体" w:hAnsi="宋体" w:cs="宋体" w:hint="eastAsia"/>
          <w:szCs w:val="18"/>
        </w:rPr>
      </w:pPr>
      <w:r>
        <w:rPr>
          <w:rStyle w:val="a9"/>
          <w:rFonts w:ascii="宋体" w:eastAsia="宋体" w:hAnsi="宋体" w:cs="宋体" w:hint="eastAsia"/>
          <w:szCs w:val="18"/>
        </w:rPr>
        <w:footnoteRef/>
      </w:r>
      <w:r>
        <w:rPr>
          <w:rFonts w:ascii="宋体" w:eastAsia="宋体" w:hAnsi="宋体" w:cs="宋体" w:hint="eastAsia"/>
          <w:szCs w:val="18"/>
        </w:rPr>
        <w:t xml:space="preserve"> 王子今：《说敦煌马圈湾简文“驱驴士”“之蜀”》，《简帛》第十二辑，上海：上海古籍出版社，2016年，第197-210页。</w:t>
      </w:r>
    </w:p>
  </w:footnote>
  <w:footnote w:id="32">
    <w:p w14:paraId="63621260" w14:textId="77777777" w:rsidR="00195945" w:rsidRDefault="00000000">
      <w:pPr>
        <w:rPr>
          <w:rFonts w:ascii="宋体" w:eastAsia="宋体" w:hAnsi="宋体" w:cs="宋体" w:hint="eastAsia"/>
          <w:sz w:val="18"/>
          <w:szCs w:val="18"/>
        </w:rPr>
      </w:pPr>
      <w:r>
        <w:rPr>
          <w:rStyle w:val="a9"/>
          <w:rFonts w:ascii="宋体" w:eastAsia="宋体" w:hAnsi="宋体" w:cs="宋体" w:hint="eastAsia"/>
          <w:sz w:val="18"/>
          <w:szCs w:val="18"/>
        </w:rPr>
        <w:footnoteRef/>
      </w:r>
      <w:r>
        <w:rPr>
          <w:rFonts w:ascii="宋体" w:eastAsia="宋体" w:hAnsi="宋体" w:cs="宋体" w:hint="eastAsia"/>
          <w:sz w:val="18"/>
          <w:szCs w:val="18"/>
        </w:rPr>
        <w:t xml:space="preserve"> 张俊民：《</w:t>
      </w:r>
      <w:r>
        <w:rPr>
          <w:rFonts w:ascii="宋体" w:eastAsia="宋体" w:hAnsi="宋体" w:cs="宋体" w:hint="eastAsia"/>
          <w:color w:val="0D0D0D" w:themeColor="text1" w:themeTint="F2"/>
          <w:sz w:val="18"/>
          <w:szCs w:val="18"/>
        </w:rPr>
        <w:t>驿路豹斑：西汉末年汉与西域间的政令传递</w:t>
      </w:r>
      <w:r>
        <w:rPr>
          <w:rFonts w:ascii="宋体" w:eastAsia="宋体" w:hAnsi="宋体" w:cs="宋体" w:hint="eastAsia"/>
          <w:sz w:val="18"/>
          <w:szCs w:val="18"/>
        </w:rPr>
        <w:t>》，《</w:t>
      </w:r>
      <w:r>
        <w:rPr>
          <w:rFonts w:ascii="宋体" w:eastAsia="宋体" w:hAnsi="宋体" w:cs="宋体" w:hint="eastAsia"/>
          <w:color w:val="0D0D0D" w:themeColor="text1" w:themeTint="F2"/>
          <w:sz w:val="18"/>
          <w:szCs w:val="18"/>
        </w:rPr>
        <w:t>陇右文博</w:t>
      </w:r>
      <w:r>
        <w:rPr>
          <w:rFonts w:ascii="宋体" w:eastAsia="宋体" w:hAnsi="宋体" w:cs="宋体" w:hint="eastAsia"/>
          <w:sz w:val="18"/>
          <w:szCs w:val="18"/>
        </w:rPr>
        <w:t>》</w:t>
      </w:r>
      <w:r>
        <w:rPr>
          <w:rFonts w:ascii="宋体" w:eastAsia="宋体" w:hAnsi="宋体" w:cs="宋体" w:hint="eastAsia"/>
          <w:color w:val="0D0D0D" w:themeColor="text1" w:themeTint="F2"/>
          <w:sz w:val="18"/>
          <w:szCs w:val="18"/>
        </w:rPr>
        <w:t>2020年第2期，第9-17页。收入</w:t>
      </w:r>
      <w:r>
        <w:rPr>
          <w:rFonts w:ascii="宋体" w:eastAsia="宋体" w:hAnsi="宋体" w:cs="宋体" w:hint="eastAsia"/>
          <w:sz w:val="18"/>
          <w:szCs w:val="18"/>
        </w:rPr>
        <w:t>张俊民《马圈湾汉简整理与研究》，兰州：甘肃教育出版社，2023年，第308-321页。</w:t>
      </w:r>
    </w:p>
  </w:footnote>
  <w:footnote w:id="33">
    <w:p w14:paraId="4467CC42" w14:textId="77777777" w:rsidR="00195945" w:rsidRDefault="00000000">
      <w:pPr>
        <w:rPr>
          <w:rFonts w:ascii="宋体" w:eastAsia="宋体" w:hAnsi="宋体" w:cs="宋体" w:hint="eastAsia"/>
          <w:sz w:val="18"/>
          <w:szCs w:val="18"/>
        </w:rPr>
      </w:pPr>
      <w:r>
        <w:rPr>
          <w:rStyle w:val="a9"/>
          <w:rFonts w:ascii="宋体" w:eastAsia="宋体" w:hAnsi="宋体" w:cs="宋体" w:hint="eastAsia"/>
          <w:sz w:val="18"/>
          <w:szCs w:val="18"/>
        </w:rPr>
        <w:footnoteRef/>
      </w:r>
      <w:r>
        <w:rPr>
          <w:rFonts w:ascii="宋体" w:eastAsia="宋体" w:hAnsi="宋体" w:cs="宋体" w:hint="eastAsia"/>
          <w:sz w:val="18"/>
          <w:szCs w:val="18"/>
        </w:rPr>
        <w:t xml:space="preserve"> 李丽红：《西北汉简所见省作制度研究》，西北师范大学硕士学位论文，2021年。</w:t>
      </w:r>
    </w:p>
  </w:footnote>
  <w:footnote w:id="34">
    <w:p w14:paraId="5D13E295" w14:textId="77777777" w:rsidR="00195945" w:rsidRDefault="00000000">
      <w:pPr>
        <w:pStyle w:val="a5"/>
        <w:rPr>
          <w:rFonts w:ascii="宋体" w:eastAsia="宋体" w:hAnsi="宋体" w:cs="宋体" w:hint="eastAsia"/>
          <w:szCs w:val="18"/>
        </w:rPr>
      </w:pPr>
      <w:r>
        <w:rPr>
          <w:rStyle w:val="a9"/>
          <w:rFonts w:ascii="宋体" w:eastAsia="宋体" w:hAnsi="宋体" w:cs="宋体" w:hint="eastAsia"/>
          <w:szCs w:val="18"/>
        </w:rPr>
        <w:footnoteRef/>
      </w:r>
      <w:r>
        <w:rPr>
          <w:rFonts w:ascii="宋体" w:eastAsia="宋体" w:hAnsi="宋体" w:cs="宋体" w:hint="eastAsia"/>
          <w:szCs w:val="18"/>
        </w:rPr>
        <w:t xml:space="preserve"> 李亚军：《河西汉塞出土“人面形木牌”研究》，西北师范大学硕士学位论文，2016年。</w:t>
      </w:r>
    </w:p>
  </w:footnote>
  <w:footnote w:id="35">
    <w:p w14:paraId="5EE84977" w14:textId="77777777" w:rsidR="00195945" w:rsidRDefault="00000000">
      <w:pPr>
        <w:pStyle w:val="a5"/>
        <w:rPr>
          <w:rFonts w:ascii="宋体" w:eastAsia="宋体" w:hAnsi="宋体" w:cs="宋体" w:hint="eastAsia"/>
          <w:szCs w:val="18"/>
        </w:rPr>
      </w:pPr>
      <w:r>
        <w:rPr>
          <w:rStyle w:val="a9"/>
          <w:rFonts w:ascii="宋体" w:eastAsia="宋体" w:hAnsi="宋体" w:cs="宋体" w:hint="eastAsia"/>
          <w:szCs w:val="18"/>
        </w:rPr>
        <w:footnoteRef/>
      </w:r>
      <w:r>
        <w:rPr>
          <w:rFonts w:ascii="宋体" w:eastAsia="宋体" w:hAnsi="宋体" w:cs="宋体" w:hint="eastAsia"/>
          <w:szCs w:val="18"/>
        </w:rPr>
        <w:t xml:space="preserve"> 张德芳、王立翔主编：《敦煌马圈湾汉简书法》（全三册），上海：上海书画出版社，2019年。</w:t>
      </w:r>
    </w:p>
  </w:footnote>
  <w:footnote w:id="36">
    <w:p w14:paraId="1057442F" w14:textId="77777777" w:rsidR="00195945" w:rsidRDefault="00000000">
      <w:pPr>
        <w:rPr>
          <w:rFonts w:ascii="宋体" w:eastAsia="宋体" w:hAnsi="宋体" w:cs="宋体" w:hint="eastAsia"/>
          <w:sz w:val="18"/>
          <w:szCs w:val="18"/>
        </w:rPr>
      </w:pPr>
      <w:r>
        <w:rPr>
          <w:rStyle w:val="a9"/>
          <w:rFonts w:ascii="宋体" w:eastAsia="宋体" w:hAnsi="宋体" w:cs="宋体" w:hint="eastAsia"/>
          <w:sz w:val="18"/>
          <w:szCs w:val="18"/>
        </w:rPr>
        <w:footnoteRef/>
      </w:r>
      <w:r>
        <w:rPr>
          <w:rFonts w:ascii="宋体" w:eastAsia="宋体" w:hAnsi="宋体" w:cs="宋体" w:hint="eastAsia"/>
          <w:sz w:val="18"/>
          <w:szCs w:val="18"/>
        </w:rPr>
        <w:t xml:space="preserve"> 柳洋、房俊贤：《四体皆盛——&lt;敦煌马圈湾汉简书法&gt;对书法学习的意义》，《书与画》2022年第10期，第62-67页。</w:t>
      </w:r>
    </w:p>
  </w:footnote>
  <w:footnote w:id="37">
    <w:p w14:paraId="7EDF6C67" w14:textId="77777777" w:rsidR="00195945" w:rsidRDefault="00000000">
      <w:pPr>
        <w:rPr>
          <w:rFonts w:ascii="宋体" w:eastAsia="宋体" w:hAnsi="宋体" w:cs="宋体" w:hint="eastAsia"/>
          <w:sz w:val="18"/>
          <w:szCs w:val="18"/>
        </w:rPr>
      </w:pPr>
      <w:r>
        <w:rPr>
          <w:rStyle w:val="a9"/>
          <w:rFonts w:ascii="宋体" w:eastAsia="宋体" w:hAnsi="宋体" w:cs="宋体" w:hint="eastAsia"/>
          <w:sz w:val="18"/>
          <w:szCs w:val="18"/>
        </w:rPr>
        <w:footnoteRef/>
      </w:r>
      <w:r>
        <w:rPr>
          <w:rFonts w:ascii="宋体" w:eastAsia="宋体" w:hAnsi="宋体" w:cs="宋体" w:hint="eastAsia"/>
          <w:sz w:val="18"/>
          <w:szCs w:val="18"/>
        </w:rPr>
        <w:t xml:space="preserve"> 雷黎明：《敦煌马圈湾汉简的字体特征及其书法价值》，《中国书法》2019年第6期，第77-83页。</w:t>
      </w:r>
    </w:p>
  </w:footnote>
  <w:footnote w:id="38">
    <w:p w14:paraId="5C4EA77F" w14:textId="77777777" w:rsidR="00195945" w:rsidRDefault="00000000">
      <w:pPr>
        <w:rPr>
          <w:rFonts w:ascii="宋体" w:eastAsia="宋体" w:hAnsi="宋体" w:cs="宋体" w:hint="eastAsia"/>
          <w:sz w:val="18"/>
          <w:szCs w:val="18"/>
        </w:rPr>
      </w:pPr>
      <w:r>
        <w:rPr>
          <w:rStyle w:val="a9"/>
          <w:rFonts w:ascii="宋体" w:eastAsia="宋体" w:hAnsi="宋体" w:cs="宋体" w:hint="eastAsia"/>
          <w:sz w:val="18"/>
          <w:szCs w:val="18"/>
        </w:rPr>
        <w:footnoteRef/>
      </w:r>
      <w:r>
        <w:rPr>
          <w:rFonts w:ascii="宋体" w:eastAsia="宋体" w:hAnsi="宋体" w:cs="宋体" w:hint="eastAsia"/>
          <w:sz w:val="18"/>
          <w:szCs w:val="18"/>
        </w:rPr>
        <w:t xml:space="preserve"> 戴裕洲：《秦汉习字简牍研究》，中央美术学院博士学位论文，2020年。</w:t>
      </w:r>
    </w:p>
  </w:footnote>
  <w:footnote w:id="39">
    <w:p w14:paraId="507CAB8C" w14:textId="77777777" w:rsidR="00195945" w:rsidRDefault="00000000">
      <w:pPr>
        <w:rPr>
          <w:rFonts w:ascii="宋体" w:eastAsia="宋体" w:hAnsi="宋体" w:cs="宋体" w:hint="eastAsia"/>
          <w:sz w:val="18"/>
          <w:szCs w:val="18"/>
        </w:rPr>
      </w:pPr>
      <w:r>
        <w:rPr>
          <w:rStyle w:val="a9"/>
          <w:rFonts w:ascii="宋体" w:eastAsia="宋体" w:hAnsi="宋体" w:cs="宋体" w:hint="eastAsia"/>
          <w:sz w:val="18"/>
          <w:szCs w:val="18"/>
        </w:rPr>
        <w:footnoteRef/>
      </w:r>
      <w:r>
        <w:rPr>
          <w:rFonts w:ascii="宋体" w:eastAsia="宋体" w:hAnsi="宋体" w:cs="宋体" w:hint="eastAsia"/>
          <w:sz w:val="18"/>
          <w:szCs w:val="18"/>
        </w:rPr>
        <w:t xml:space="preserve"> 李洪智、高淑燕：《从简牍特殊字样看汉代的书写文化——以敦煌马圈湾汉简为例》，《西泠艺丛》2020年第5期，第2-7页。</w:t>
      </w:r>
    </w:p>
  </w:footnote>
  <w:footnote w:id="40">
    <w:p w14:paraId="59CDEFBA" w14:textId="77777777" w:rsidR="00195945" w:rsidRDefault="00000000">
      <w:pPr>
        <w:pStyle w:val="a5"/>
        <w:rPr>
          <w:rFonts w:ascii="宋体" w:eastAsia="宋体" w:hAnsi="宋体" w:cs="宋体" w:hint="eastAsia"/>
          <w:szCs w:val="18"/>
        </w:rPr>
      </w:pPr>
      <w:r>
        <w:rPr>
          <w:rStyle w:val="a9"/>
          <w:rFonts w:ascii="宋体" w:eastAsia="宋体" w:hAnsi="宋体" w:cs="宋体" w:hint="eastAsia"/>
          <w:szCs w:val="18"/>
        </w:rPr>
        <w:footnoteRef/>
      </w:r>
      <w:r>
        <w:rPr>
          <w:rFonts w:ascii="宋体" w:eastAsia="宋体" w:hAnsi="宋体" w:cs="宋体" w:hint="eastAsia"/>
          <w:szCs w:val="18"/>
        </w:rPr>
        <w:t xml:space="preserve"> 崔世芳：《从马圈湾&lt;王骏幕府档案简&gt;看经典章草技法的形成》，《书法教育》2021年第10期，第27-33页。</w:t>
      </w:r>
    </w:p>
  </w:footnote>
  <w:footnote w:id="41">
    <w:p w14:paraId="4C72928E" w14:textId="77777777" w:rsidR="00195945" w:rsidRDefault="00000000">
      <w:pPr>
        <w:rPr>
          <w:rFonts w:ascii="宋体" w:eastAsia="宋体" w:hAnsi="宋体" w:cs="宋体" w:hint="eastAsia"/>
          <w:sz w:val="18"/>
          <w:szCs w:val="18"/>
        </w:rPr>
      </w:pPr>
      <w:r>
        <w:rPr>
          <w:rStyle w:val="a9"/>
          <w:rFonts w:ascii="宋体" w:eastAsia="宋体" w:hAnsi="宋体" w:cs="宋体" w:hint="eastAsia"/>
          <w:sz w:val="18"/>
          <w:szCs w:val="18"/>
        </w:rPr>
        <w:footnoteRef/>
      </w:r>
      <w:r>
        <w:rPr>
          <w:rFonts w:ascii="宋体" w:eastAsia="宋体" w:hAnsi="宋体" w:cs="宋体" w:hint="eastAsia"/>
          <w:sz w:val="18"/>
          <w:szCs w:val="18"/>
        </w:rPr>
        <w:t xml:space="preserve"> 蒋俊文：《从&lt;平复帖&gt;及同类型简牍草书的临摹论及我的章草创作》，西华师范大学硕士学位论文，2023年。</w:t>
      </w:r>
    </w:p>
  </w:footnote>
  <w:footnote w:id="42">
    <w:p w14:paraId="626D1F36" w14:textId="77777777" w:rsidR="00195945" w:rsidRDefault="00000000">
      <w:pPr>
        <w:rPr>
          <w:rFonts w:ascii="宋体" w:eastAsia="宋体" w:hAnsi="宋体" w:cs="宋体" w:hint="eastAsia"/>
          <w:sz w:val="18"/>
          <w:szCs w:val="18"/>
        </w:rPr>
      </w:pPr>
      <w:r>
        <w:rPr>
          <w:rStyle w:val="a9"/>
          <w:rFonts w:ascii="宋体" w:eastAsia="宋体" w:hAnsi="宋体" w:cs="宋体" w:hint="eastAsia"/>
          <w:sz w:val="18"/>
          <w:szCs w:val="18"/>
        </w:rPr>
        <w:footnoteRef/>
      </w:r>
      <w:r>
        <w:rPr>
          <w:rFonts w:ascii="宋体" w:eastAsia="宋体" w:hAnsi="宋体" w:cs="宋体" w:hint="eastAsia"/>
          <w:sz w:val="18"/>
          <w:szCs w:val="18"/>
        </w:rPr>
        <w:t xml:space="preserve"> 李逸峰：《敦煌草书简书写文化考察——以马圈湾汉简为中心》，《中国书法》2019年第3期，第76-101页。</w:t>
      </w:r>
    </w:p>
  </w:footnote>
  <w:footnote w:id="43">
    <w:p w14:paraId="0F533B5A" w14:textId="77777777" w:rsidR="00195945" w:rsidRDefault="00000000">
      <w:pPr>
        <w:rPr>
          <w:rFonts w:ascii="宋体" w:eastAsia="宋体" w:hAnsi="宋体" w:cs="宋体" w:hint="eastAsia"/>
          <w:sz w:val="18"/>
          <w:szCs w:val="18"/>
        </w:rPr>
      </w:pPr>
      <w:r>
        <w:rPr>
          <w:rStyle w:val="a9"/>
          <w:rFonts w:ascii="宋体" w:eastAsia="宋体" w:hAnsi="宋体" w:cs="宋体" w:hint="eastAsia"/>
          <w:sz w:val="18"/>
          <w:szCs w:val="18"/>
        </w:rPr>
        <w:footnoteRef/>
      </w:r>
      <w:r>
        <w:rPr>
          <w:rFonts w:ascii="宋体" w:eastAsia="宋体" w:hAnsi="宋体" w:cs="宋体" w:hint="eastAsia"/>
          <w:sz w:val="18"/>
          <w:szCs w:val="18"/>
        </w:rPr>
        <w:t xml:space="preserve"> 王晓光：《由马圈湾等汉简看两汉之交时书用体及其他》，《中国书法》2019年第3期，第42-75页。</w:t>
      </w:r>
    </w:p>
  </w:footnote>
  <w:footnote w:id="44">
    <w:p w14:paraId="0718B248" w14:textId="77777777" w:rsidR="00195945" w:rsidRDefault="00000000">
      <w:pPr>
        <w:rPr>
          <w:rFonts w:ascii="宋体" w:eastAsia="宋体" w:hAnsi="宋体" w:cs="宋体" w:hint="eastAsia"/>
          <w:sz w:val="18"/>
          <w:szCs w:val="18"/>
        </w:rPr>
      </w:pPr>
      <w:r>
        <w:rPr>
          <w:rStyle w:val="a9"/>
          <w:rFonts w:ascii="宋体" w:eastAsia="宋体" w:hAnsi="宋体" w:cs="宋体" w:hint="eastAsia"/>
          <w:sz w:val="18"/>
          <w:szCs w:val="18"/>
        </w:rPr>
        <w:footnoteRef/>
      </w:r>
      <w:r>
        <w:rPr>
          <w:rFonts w:ascii="宋体" w:eastAsia="宋体" w:hAnsi="宋体" w:cs="宋体" w:hint="eastAsia"/>
          <w:sz w:val="18"/>
          <w:szCs w:val="18"/>
        </w:rPr>
        <w:t xml:space="preserve"> 孙嘉敏：《马圈湾汉简书写研究》，陕西师范大学硕士学位论文，2020年。</w:t>
      </w:r>
    </w:p>
  </w:footnote>
  <w:footnote w:id="45">
    <w:p w14:paraId="597C2BAD" w14:textId="77777777" w:rsidR="00195945" w:rsidRDefault="00000000">
      <w:pPr>
        <w:pStyle w:val="a5"/>
        <w:rPr>
          <w:rFonts w:ascii="宋体" w:eastAsia="宋体" w:hAnsi="宋体" w:cs="宋体" w:hint="eastAsia"/>
          <w:szCs w:val="18"/>
        </w:rPr>
      </w:pPr>
      <w:r>
        <w:rPr>
          <w:rStyle w:val="a9"/>
          <w:rFonts w:ascii="宋体" w:eastAsia="宋体" w:hAnsi="宋体" w:cs="宋体" w:hint="eastAsia"/>
          <w:szCs w:val="18"/>
        </w:rPr>
        <w:footnoteRef/>
      </w:r>
      <w:r>
        <w:rPr>
          <w:rFonts w:ascii="宋体" w:eastAsia="宋体" w:hAnsi="宋体" w:cs="宋体" w:hint="eastAsia"/>
          <w:szCs w:val="18"/>
        </w:rPr>
        <w:t xml:space="preserve"> 要文慧：《简牍墨迹中隶书楷化书写考察——以转折笔形为例》，《西部文艺研究》2022年第3期，第157-166页。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2A324" w14:textId="77777777" w:rsidR="00195945" w:rsidRDefault="00000000">
    <w:pPr>
      <w:pStyle w:val="a4"/>
      <w:pBdr>
        <w:top w:val="none" w:sz="0" w:space="0" w:color="auto"/>
        <w:left w:val="none" w:sz="0" w:space="0" w:color="auto"/>
        <w:bottom w:val="single" w:sz="6" w:space="1" w:color="auto"/>
        <w:right w:val="none" w:sz="0" w:space="0" w:color="auto"/>
      </w:pBdr>
      <w:spacing w:before="240" w:after="240"/>
      <w:ind w:firstLine="436"/>
      <w:jc w:val="center"/>
      <w:rPr>
        <w:rFonts w:ascii="宋体" w:eastAsia="宋体" w:hAnsi="宋体" w:cs="Times New Roman" w:hint="eastAsia"/>
        <w:szCs w:val="18"/>
      </w:rPr>
    </w:pPr>
    <w:r>
      <w:rPr>
        <w:rFonts w:ascii="宋体" w:eastAsia="宋体" w:hAnsi="宋体" w:cs="Times New Roman" w:hint="eastAsia"/>
        <w:szCs w:val="18"/>
      </w:rPr>
      <w:t>复旦大学出土文献与古文字研究中心网站论文</w:t>
    </w:r>
  </w:p>
  <w:p w14:paraId="4290B0A9" w14:textId="49D9486B" w:rsidR="00195945" w:rsidRPr="00951299" w:rsidRDefault="00000000" w:rsidP="00951299">
    <w:pPr>
      <w:pStyle w:val="a4"/>
      <w:pBdr>
        <w:top w:val="none" w:sz="0" w:space="0" w:color="auto"/>
        <w:left w:val="none" w:sz="0" w:space="0" w:color="auto"/>
        <w:bottom w:val="single" w:sz="6" w:space="1" w:color="auto"/>
        <w:right w:val="none" w:sz="0" w:space="0" w:color="auto"/>
      </w:pBdr>
      <w:spacing w:before="240" w:after="240"/>
      <w:ind w:firstLine="436"/>
      <w:jc w:val="center"/>
      <w:rPr>
        <w:rFonts w:ascii="宋体" w:eastAsia="宋体" w:hAnsi="宋体" w:cs="Times New Roman" w:hint="eastAsia"/>
        <w:szCs w:val="18"/>
      </w:rPr>
    </w:pPr>
    <w:r>
      <w:rPr>
        <w:rFonts w:ascii="宋体" w:eastAsia="宋体" w:hAnsi="宋体" w:cs="Times New Roman" w:hint="eastAsia"/>
        <w:szCs w:val="18"/>
      </w:rPr>
      <w:t>链接：http://www.fdgwz.org.cn/Web/Show/11296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defaultTabStop w:val="420"/>
  <w:drawingGridVerticalSpacing w:val="156"/>
  <w:noPunctuationKerning/>
  <w:characterSpacingControl w:val="compressPunctuation"/>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zcyMmQwNjA5MjcwNWJhM2Q3NDQyMTVlNDMwZjg2NTgifQ=="/>
  </w:docVars>
  <w:rsids>
    <w:rsidRoot w:val="00195945"/>
    <w:rsid w:val="D6ED101B"/>
    <w:rsid w:val="D6FE54F9"/>
    <w:rsid w:val="D75D4E2D"/>
    <w:rsid w:val="D7A752DA"/>
    <w:rsid w:val="D7B7CF87"/>
    <w:rsid w:val="D7ED36BD"/>
    <w:rsid w:val="D9EF464A"/>
    <w:rsid w:val="DBBF6653"/>
    <w:rsid w:val="DBEB2EB6"/>
    <w:rsid w:val="DD972E55"/>
    <w:rsid w:val="DDBF06B5"/>
    <w:rsid w:val="DDBFFF0D"/>
    <w:rsid w:val="DDDBB5A2"/>
    <w:rsid w:val="DDEFCF09"/>
    <w:rsid w:val="DDFB99A7"/>
    <w:rsid w:val="DDFBF31B"/>
    <w:rsid w:val="DE7FEAFE"/>
    <w:rsid w:val="DF75A334"/>
    <w:rsid w:val="DF7BB9BA"/>
    <w:rsid w:val="DFBFA6E4"/>
    <w:rsid w:val="DFD861E8"/>
    <w:rsid w:val="DFEFB361"/>
    <w:rsid w:val="DFFA9417"/>
    <w:rsid w:val="DFFF325E"/>
    <w:rsid w:val="DFFF40DA"/>
    <w:rsid w:val="DFFFF75C"/>
    <w:rsid w:val="E0EC6647"/>
    <w:rsid w:val="E3013AE4"/>
    <w:rsid w:val="E389029E"/>
    <w:rsid w:val="E39FBE26"/>
    <w:rsid w:val="E4ED23B7"/>
    <w:rsid w:val="E5F30789"/>
    <w:rsid w:val="E7DFA343"/>
    <w:rsid w:val="E7FB3B46"/>
    <w:rsid w:val="E86B4D1D"/>
    <w:rsid w:val="E8E7B7EF"/>
    <w:rsid w:val="E9D7BA95"/>
    <w:rsid w:val="E9EB526D"/>
    <w:rsid w:val="EA9F34A3"/>
    <w:rsid w:val="EBF3650B"/>
    <w:rsid w:val="ECBB9F5C"/>
    <w:rsid w:val="ECBF15D1"/>
    <w:rsid w:val="ED6F1CE4"/>
    <w:rsid w:val="ED7376D2"/>
    <w:rsid w:val="ED9B0EAD"/>
    <w:rsid w:val="EDCD8FF0"/>
    <w:rsid w:val="EE7E12EE"/>
    <w:rsid w:val="EEBB6884"/>
    <w:rsid w:val="EEE6B6FA"/>
    <w:rsid w:val="EF32618A"/>
    <w:rsid w:val="EF37B9C7"/>
    <w:rsid w:val="EF6F13B3"/>
    <w:rsid w:val="EF815408"/>
    <w:rsid w:val="EFAF62C5"/>
    <w:rsid w:val="EFF7497C"/>
    <w:rsid w:val="EFFF5383"/>
    <w:rsid w:val="EFFF8594"/>
    <w:rsid w:val="F0E56100"/>
    <w:rsid w:val="F17BD109"/>
    <w:rsid w:val="F1ED5A0A"/>
    <w:rsid w:val="F1F7D8E8"/>
    <w:rsid w:val="F2BF2D50"/>
    <w:rsid w:val="F3EFDE21"/>
    <w:rsid w:val="F3FB7E8B"/>
    <w:rsid w:val="F48ABCC8"/>
    <w:rsid w:val="F57C9175"/>
    <w:rsid w:val="F5B7D22D"/>
    <w:rsid w:val="F5D67FA7"/>
    <w:rsid w:val="F73FBB0F"/>
    <w:rsid w:val="F7744ABD"/>
    <w:rsid w:val="F7CF1683"/>
    <w:rsid w:val="F7D1D1FE"/>
    <w:rsid w:val="F7DD0844"/>
    <w:rsid w:val="F7DE50B1"/>
    <w:rsid w:val="F7EEE751"/>
    <w:rsid w:val="F7EF3F26"/>
    <w:rsid w:val="F7F9B670"/>
    <w:rsid w:val="F7FBBD31"/>
    <w:rsid w:val="F87382D6"/>
    <w:rsid w:val="F9FEA518"/>
    <w:rsid w:val="FA3F9960"/>
    <w:rsid w:val="FB7F80C8"/>
    <w:rsid w:val="FB9E0961"/>
    <w:rsid w:val="FBAFF10A"/>
    <w:rsid w:val="FBDF7DB3"/>
    <w:rsid w:val="FBEF53D1"/>
    <w:rsid w:val="FBF943BF"/>
    <w:rsid w:val="FBFA0F71"/>
    <w:rsid w:val="FBFB21DC"/>
    <w:rsid w:val="FC026499"/>
    <w:rsid w:val="FC7F5335"/>
    <w:rsid w:val="FD1F93AA"/>
    <w:rsid w:val="FD7DB516"/>
    <w:rsid w:val="FD7FB16E"/>
    <w:rsid w:val="FD9F1EC4"/>
    <w:rsid w:val="FDC2F79B"/>
    <w:rsid w:val="FDCFA8FA"/>
    <w:rsid w:val="FDF15D30"/>
    <w:rsid w:val="FDF72A82"/>
    <w:rsid w:val="FDFB2776"/>
    <w:rsid w:val="FDFED4F4"/>
    <w:rsid w:val="FDFF7349"/>
    <w:rsid w:val="FE2D0DEB"/>
    <w:rsid w:val="FE5BF5A3"/>
    <w:rsid w:val="FE7F1871"/>
    <w:rsid w:val="FE7F1DF4"/>
    <w:rsid w:val="FE8FF3B9"/>
    <w:rsid w:val="FEAB7C39"/>
    <w:rsid w:val="FEBD2404"/>
    <w:rsid w:val="FEBF5CF5"/>
    <w:rsid w:val="FED770E9"/>
    <w:rsid w:val="FEE31FD8"/>
    <w:rsid w:val="FEE9ABBE"/>
    <w:rsid w:val="FEFE5566"/>
    <w:rsid w:val="FEFF83A4"/>
    <w:rsid w:val="FF3F45F1"/>
    <w:rsid w:val="FF6D5F0E"/>
    <w:rsid w:val="FF77DFD0"/>
    <w:rsid w:val="FF793F5C"/>
    <w:rsid w:val="FF7E19F3"/>
    <w:rsid w:val="FF7F56D8"/>
    <w:rsid w:val="FFAFC829"/>
    <w:rsid w:val="FFC68056"/>
    <w:rsid w:val="FFD950DF"/>
    <w:rsid w:val="FFD9874B"/>
    <w:rsid w:val="FFE32623"/>
    <w:rsid w:val="FFE34CD6"/>
    <w:rsid w:val="FFE749B7"/>
    <w:rsid w:val="FFEE474F"/>
    <w:rsid w:val="FFF5454D"/>
    <w:rsid w:val="FFF7F82B"/>
    <w:rsid w:val="FFFADB6C"/>
    <w:rsid w:val="FFFB2C59"/>
    <w:rsid w:val="FFFE4A7E"/>
    <w:rsid w:val="FFFF5889"/>
    <w:rsid w:val="FFFFE30E"/>
    <w:rsid w:val="FFFFF7D5"/>
    <w:rsid w:val="000E7B1F"/>
    <w:rsid w:val="0011760F"/>
    <w:rsid w:val="00195945"/>
    <w:rsid w:val="00270BE1"/>
    <w:rsid w:val="00376A00"/>
    <w:rsid w:val="005D4347"/>
    <w:rsid w:val="00615EA1"/>
    <w:rsid w:val="00951299"/>
    <w:rsid w:val="00AB1812"/>
    <w:rsid w:val="00AD7338"/>
    <w:rsid w:val="00C34DAD"/>
    <w:rsid w:val="00C607F7"/>
    <w:rsid w:val="00E23E0E"/>
    <w:rsid w:val="00FC3E1B"/>
    <w:rsid w:val="00FE7B94"/>
    <w:rsid w:val="017165B7"/>
    <w:rsid w:val="01AF71DE"/>
    <w:rsid w:val="01B110AA"/>
    <w:rsid w:val="01DB6127"/>
    <w:rsid w:val="02353A89"/>
    <w:rsid w:val="02CD5A6F"/>
    <w:rsid w:val="033A1F28"/>
    <w:rsid w:val="03604B36"/>
    <w:rsid w:val="03A5079A"/>
    <w:rsid w:val="03EC461B"/>
    <w:rsid w:val="03F92894"/>
    <w:rsid w:val="041D6583"/>
    <w:rsid w:val="04367644"/>
    <w:rsid w:val="04675A50"/>
    <w:rsid w:val="04AB3B8E"/>
    <w:rsid w:val="04AC5B58"/>
    <w:rsid w:val="04AE7B23"/>
    <w:rsid w:val="04BF763A"/>
    <w:rsid w:val="04FA288F"/>
    <w:rsid w:val="061614DB"/>
    <w:rsid w:val="0696261C"/>
    <w:rsid w:val="06D27AF8"/>
    <w:rsid w:val="06E93094"/>
    <w:rsid w:val="07B58B34"/>
    <w:rsid w:val="07DF03CB"/>
    <w:rsid w:val="07E6312F"/>
    <w:rsid w:val="0911242E"/>
    <w:rsid w:val="0A206DCD"/>
    <w:rsid w:val="0A5E59B1"/>
    <w:rsid w:val="0A7E1D45"/>
    <w:rsid w:val="0B6C7DF0"/>
    <w:rsid w:val="0B786794"/>
    <w:rsid w:val="0B995089"/>
    <w:rsid w:val="0BEB6F66"/>
    <w:rsid w:val="0DD759F4"/>
    <w:rsid w:val="0E1B19B0"/>
    <w:rsid w:val="0EDB7766"/>
    <w:rsid w:val="0EE715B3"/>
    <w:rsid w:val="0F000F7B"/>
    <w:rsid w:val="0F7F00F1"/>
    <w:rsid w:val="0F900551"/>
    <w:rsid w:val="0FF732B5"/>
    <w:rsid w:val="100D7DF3"/>
    <w:rsid w:val="103A04BC"/>
    <w:rsid w:val="10730AFE"/>
    <w:rsid w:val="10CC7C96"/>
    <w:rsid w:val="110A60E1"/>
    <w:rsid w:val="111B0338"/>
    <w:rsid w:val="11562F93"/>
    <w:rsid w:val="116C28F7"/>
    <w:rsid w:val="118440E5"/>
    <w:rsid w:val="11874FF1"/>
    <w:rsid w:val="119A7465"/>
    <w:rsid w:val="119B31DD"/>
    <w:rsid w:val="11EE5A02"/>
    <w:rsid w:val="127E1DE3"/>
    <w:rsid w:val="12AD31C8"/>
    <w:rsid w:val="13093542"/>
    <w:rsid w:val="13935EAB"/>
    <w:rsid w:val="14D94748"/>
    <w:rsid w:val="14F11A91"/>
    <w:rsid w:val="16111CBF"/>
    <w:rsid w:val="161517B0"/>
    <w:rsid w:val="163D5F9C"/>
    <w:rsid w:val="16C26C27"/>
    <w:rsid w:val="17354C0B"/>
    <w:rsid w:val="17884D38"/>
    <w:rsid w:val="181D2B9D"/>
    <w:rsid w:val="18273A1C"/>
    <w:rsid w:val="19120228"/>
    <w:rsid w:val="19E90626"/>
    <w:rsid w:val="1A646862"/>
    <w:rsid w:val="1ACE63D1"/>
    <w:rsid w:val="1AF220BF"/>
    <w:rsid w:val="1AF44089"/>
    <w:rsid w:val="1B2A7AAB"/>
    <w:rsid w:val="1BD977A9"/>
    <w:rsid w:val="1BDD4B1E"/>
    <w:rsid w:val="1BF6798D"/>
    <w:rsid w:val="1BFFB86D"/>
    <w:rsid w:val="1CBA2C10"/>
    <w:rsid w:val="1CEB6556"/>
    <w:rsid w:val="1CF739BD"/>
    <w:rsid w:val="1CFD2F9D"/>
    <w:rsid w:val="1D28001A"/>
    <w:rsid w:val="1D7644E2"/>
    <w:rsid w:val="1D9FEFF6"/>
    <w:rsid w:val="1DCD2970"/>
    <w:rsid w:val="1E593291"/>
    <w:rsid w:val="1E5EDD1F"/>
    <w:rsid w:val="1EF77FDB"/>
    <w:rsid w:val="1F4B8B5B"/>
    <w:rsid w:val="1F7C5D29"/>
    <w:rsid w:val="1FBC0EEE"/>
    <w:rsid w:val="1FFFAAB8"/>
    <w:rsid w:val="20711CD8"/>
    <w:rsid w:val="20A52EAE"/>
    <w:rsid w:val="20BD19E4"/>
    <w:rsid w:val="216B497A"/>
    <w:rsid w:val="220D3C83"/>
    <w:rsid w:val="22B7106C"/>
    <w:rsid w:val="232102B1"/>
    <w:rsid w:val="23E46C65"/>
    <w:rsid w:val="246F652F"/>
    <w:rsid w:val="247509BC"/>
    <w:rsid w:val="24757BA7"/>
    <w:rsid w:val="24763D61"/>
    <w:rsid w:val="24912B4A"/>
    <w:rsid w:val="24D52A7D"/>
    <w:rsid w:val="24ED3960"/>
    <w:rsid w:val="256040C9"/>
    <w:rsid w:val="25A20B86"/>
    <w:rsid w:val="261945C3"/>
    <w:rsid w:val="262F4E81"/>
    <w:rsid w:val="26CB11CA"/>
    <w:rsid w:val="273E043A"/>
    <w:rsid w:val="27517B0F"/>
    <w:rsid w:val="27826579"/>
    <w:rsid w:val="27962024"/>
    <w:rsid w:val="27AC5CEC"/>
    <w:rsid w:val="285C14C0"/>
    <w:rsid w:val="28FB4835"/>
    <w:rsid w:val="29A0718A"/>
    <w:rsid w:val="29E452C9"/>
    <w:rsid w:val="29F86FC6"/>
    <w:rsid w:val="2A81520E"/>
    <w:rsid w:val="2AD01CF1"/>
    <w:rsid w:val="2AD25A69"/>
    <w:rsid w:val="2B1020EE"/>
    <w:rsid w:val="2BA72A52"/>
    <w:rsid w:val="2BB3186F"/>
    <w:rsid w:val="2BFB05E1"/>
    <w:rsid w:val="2D856DC3"/>
    <w:rsid w:val="2DB74991"/>
    <w:rsid w:val="2DFB9E17"/>
    <w:rsid w:val="2E77FB15"/>
    <w:rsid w:val="2EDF74F3"/>
    <w:rsid w:val="2F4FDC12"/>
    <w:rsid w:val="2F6A44C2"/>
    <w:rsid w:val="2F7B9ECF"/>
    <w:rsid w:val="2F8F3F29"/>
    <w:rsid w:val="2FDF96E3"/>
    <w:rsid w:val="2FE75071"/>
    <w:rsid w:val="2FF65D56"/>
    <w:rsid w:val="2FF975F4"/>
    <w:rsid w:val="302A5A00"/>
    <w:rsid w:val="304C3BC8"/>
    <w:rsid w:val="305B3E0B"/>
    <w:rsid w:val="30823A8E"/>
    <w:rsid w:val="309A0DD7"/>
    <w:rsid w:val="30FD207E"/>
    <w:rsid w:val="31331EC5"/>
    <w:rsid w:val="31682C84"/>
    <w:rsid w:val="31CD2AE7"/>
    <w:rsid w:val="328F6E47"/>
    <w:rsid w:val="32DD4FAB"/>
    <w:rsid w:val="331F55C4"/>
    <w:rsid w:val="33501496"/>
    <w:rsid w:val="33615BDC"/>
    <w:rsid w:val="33BF8469"/>
    <w:rsid w:val="33EC7B9C"/>
    <w:rsid w:val="351B1DBB"/>
    <w:rsid w:val="367A2875"/>
    <w:rsid w:val="37311C27"/>
    <w:rsid w:val="3736112E"/>
    <w:rsid w:val="3748158D"/>
    <w:rsid w:val="375E1AE7"/>
    <w:rsid w:val="379522F8"/>
    <w:rsid w:val="37BF3CF2"/>
    <w:rsid w:val="37BFC690"/>
    <w:rsid w:val="383D2EC5"/>
    <w:rsid w:val="386A72E1"/>
    <w:rsid w:val="386C12AB"/>
    <w:rsid w:val="38BE8F59"/>
    <w:rsid w:val="38C42E95"/>
    <w:rsid w:val="38FE7A29"/>
    <w:rsid w:val="397D3A2F"/>
    <w:rsid w:val="39ADFDDA"/>
    <w:rsid w:val="3AE785EF"/>
    <w:rsid w:val="3B0C28D2"/>
    <w:rsid w:val="3B6B1F0B"/>
    <w:rsid w:val="3B895CD0"/>
    <w:rsid w:val="3BB56AC5"/>
    <w:rsid w:val="3BF9B8AC"/>
    <w:rsid w:val="3BFFC70D"/>
    <w:rsid w:val="3BFFFF03"/>
    <w:rsid w:val="3C667DC0"/>
    <w:rsid w:val="3C6F738D"/>
    <w:rsid w:val="3C90308E"/>
    <w:rsid w:val="3CE37662"/>
    <w:rsid w:val="3D16C195"/>
    <w:rsid w:val="3D2A703F"/>
    <w:rsid w:val="3D2C725B"/>
    <w:rsid w:val="3D346110"/>
    <w:rsid w:val="3D53C62B"/>
    <w:rsid w:val="3D5F441A"/>
    <w:rsid w:val="3D6BFF51"/>
    <w:rsid w:val="3D733A3F"/>
    <w:rsid w:val="3DBDFA59"/>
    <w:rsid w:val="3E027FBC"/>
    <w:rsid w:val="3E261EFC"/>
    <w:rsid w:val="3E8804C1"/>
    <w:rsid w:val="3EB9A1FA"/>
    <w:rsid w:val="3EBF63C9"/>
    <w:rsid w:val="3ED656D0"/>
    <w:rsid w:val="3ED90D1D"/>
    <w:rsid w:val="3EF65A40"/>
    <w:rsid w:val="3EFC4DCE"/>
    <w:rsid w:val="3F36616F"/>
    <w:rsid w:val="3F604F9A"/>
    <w:rsid w:val="3F6DD4E1"/>
    <w:rsid w:val="3F752E62"/>
    <w:rsid w:val="3F7D55B2"/>
    <w:rsid w:val="3F957910"/>
    <w:rsid w:val="3FB949D7"/>
    <w:rsid w:val="3FB9A6AE"/>
    <w:rsid w:val="3FBF14E2"/>
    <w:rsid w:val="3FBF8060"/>
    <w:rsid w:val="3FE44A49"/>
    <w:rsid w:val="3FEF3FB7"/>
    <w:rsid w:val="3FF62406"/>
    <w:rsid w:val="3FFD23B1"/>
    <w:rsid w:val="3FFD6D80"/>
    <w:rsid w:val="3FFDEB13"/>
    <w:rsid w:val="3FFF703B"/>
    <w:rsid w:val="40D45C40"/>
    <w:rsid w:val="412B15D8"/>
    <w:rsid w:val="41782A6F"/>
    <w:rsid w:val="41994793"/>
    <w:rsid w:val="41AF2209"/>
    <w:rsid w:val="421B3068"/>
    <w:rsid w:val="42707BEA"/>
    <w:rsid w:val="428D4D77"/>
    <w:rsid w:val="433A3D54"/>
    <w:rsid w:val="43497B64"/>
    <w:rsid w:val="439873F8"/>
    <w:rsid w:val="43A51B15"/>
    <w:rsid w:val="442F13DF"/>
    <w:rsid w:val="4453331F"/>
    <w:rsid w:val="44784B34"/>
    <w:rsid w:val="44D0671E"/>
    <w:rsid w:val="453E7B2C"/>
    <w:rsid w:val="455410FD"/>
    <w:rsid w:val="457E261E"/>
    <w:rsid w:val="45BE6EBE"/>
    <w:rsid w:val="46164604"/>
    <w:rsid w:val="470D5A07"/>
    <w:rsid w:val="471F0C7A"/>
    <w:rsid w:val="475FCB21"/>
    <w:rsid w:val="47A3011A"/>
    <w:rsid w:val="47B265AF"/>
    <w:rsid w:val="47FF7569"/>
    <w:rsid w:val="48074B4D"/>
    <w:rsid w:val="481334F1"/>
    <w:rsid w:val="481E1E96"/>
    <w:rsid w:val="48272AF9"/>
    <w:rsid w:val="484216E1"/>
    <w:rsid w:val="49731D6E"/>
    <w:rsid w:val="4A3459A1"/>
    <w:rsid w:val="4A6C4ABE"/>
    <w:rsid w:val="4A8C758B"/>
    <w:rsid w:val="4AB202B5"/>
    <w:rsid w:val="4B182BCD"/>
    <w:rsid w:val="4B35552D"/>
    <w:rsid w:val="4BB26B7D"/>
    <w:rsid w:val="4BFF2467"/>
    <w:rsid w:val="4CAE1A3B"/>
    <w:rsid w:val="4CB8014E"/>
    <w:rsid w:val="4CC052CA"/>
    <w:rsid w:val="4DCB3F26"/>
    <w:rsid w:val="4EB66985"/>
    <w:rsid w:val="4F375B4D"/>
    <w:rsid w:val="4F6F43D1"/>
    <w:rsid w:val="4F74239C"/>
    <w:rsid w:val="4F77E2E4"/>
    <w:rsid w:val="4FDBB9D1"/>
    <w:rsid w:val="505C17AE"/>
    <w:rsid w:val="508B3E41"/>
    <w:rsid w:val="50BDC2AA"/>
    <w:rsid w:val="50F80838"/>
    <w:rsid w:val="51103F97"/>
    <w:rsid w:val="51360251"/>
    <w:rsid w:val="51556929"/>
    <w:rsid w:val="516D2B37"/>
    <w:rsid w:val="51D3784E"/>
    <w:rsid w:val="51E26AC3"/>
    <w:rsid w:val="520420FD"/>
    <w:rsid w:val="523A78CD"/>
    <w:rsid w:val="527E5A0B"/>
    <w:rsid w:val="52974D1F"/>
    <w:rsid w:val="52AD017A"/>
    <w:rsid w:val="53654E1D"/>
    <w:rsid w:val="536E6F26"/>
    <w:rsid w:val="53FB308C"/>
    <w:rsid w:val="540208BE"/>
    <w:rsid w:val="547F15DE"/>
    <w:rsid w:val="54AB6860"/>
    <w:rsid w:val="55267E39"/>
    <w:rsid w:val="55277092"/>
    <w:rsid w:val="55366A71"/>
    <w:rsid w:val="55472A2C"/>
    <w:rsid w:val="555F1C9E"/>
    <w:rsid w:val="55615631"/>
    <w:rsid w:val="5573DAD3"/>
    <w:rsid w:val="55BE8C00"/>
    <w:rsid w:val="55F52488"/>
    <w:rsid w:val="5632548A"/>
    <w:rsid w:val="56757125"/>
    <w:rsid w:val="56DD8839"/>
    <w:rsid w:val="573B3969"/>
    <w:rsid w:val="575A26FC"/>
    <w:rsid w:val="577B4366"/>
    <w:rsid w:val="57AFCBE4"/>
    <w:rsid w:val="57F70164"/>
    <w:rsid w:val="57F92881"/>
    <w:rsid w:val="584335DA"/>
    <w:rsid w:val="588E0972"/>
    <w:rsid w:val="59545E0D"/>
    <w:rsid w:val="59995821"/>
    <w:rsid w:val="599C2C1B"/>
    <w:rsid w:val="59A71CEC"/>
    <w:rsid w:val="5A7D2A4C"/>
    <w:rsid w:val="5B417F1E"/>
    <w:rsid w:val="5B474BD8"/>
    <w:rsid w:val="5B5163B3"/>
    <w:rsid w:val="5B810FCA"/>
    <w:rsid w:val="5B9416E5"/>
    <w:rsid w:val="5BD6E988"/>
    <w:rsid w:val="5BEFF414"/>
    <w:rsid w:val="5BF31218"/>
    <w:rsid w:val="5C221AFD"/>
    <w:rsid w:val="5C61405A"/>
    <w:rsid w:val="5C9347A9"/>
    <w:rsid w:val="5DBB3FB7"/>
    <w:rsid w:val="5DE132F2"/>
    <w:rsid w:val="5DFFD19E"/>
    <w:rsid w:val="5E0C2DFB"/>
    <w:rsid w:val="5E1F222B"/>
    <w:rsid w:val="5E79177D"/>
    <w:rsid w:val="5ED2780B"/>
    <w:rsid w:val="5ED370DF"/>
    <w:rsid w:val="5EE4CB74"/>
    <w:rsid w:val="5F13E0FE"/>
    <w:rsid w:val="5F166FCB"/>
    <w:rsid w:val="5F5E00E2"/>
    <w:rsid w:val="5F6234C2"/>
    <w:rsid w:val="5F688CE2"/>
    <w:rsid w:val="5F6FED99"/>
    <w:rsid w:val="5FABA13E"/>
    <w:rsid w:val="5FBD9874"/>
    <w:rsid w:val="5FC609F2"/>
    <w:rsid w:val="5FF5B64C"/>
    <w:rsid w:val="5FFF3822"/>
    <w:rsid w:val="5FFF3C75"/>
    <w:rsid w:val="60563B24"/>
    <w:rsid w:val="60C07B37"/>
    <w:rsid w:val="60F577E0"/>
    <w:rsid w:val="6109503A"/>
    <w:rsid w:val="620F6680"/>
    <w:rsid w:val="62214605"/>
    <w:rsid w:val="62257C51"/>
    <w:rsid w:val="62620EA5"/>
    <w:rsid w:val="626F7901"/>
    <w:rsid w:val="62CF2AD8"/>
    <w:rsid w:val="630B32EB"/>
    <w:rsid w:val="638E1826"/>
    <w:rsid w:val="639C2195"/>
    <w:rsid w:val="63EE21A1"/>
    <w:rsid w:val="63FF3322"/>
    <w:rsid w:val="64917820"/>
    <w:rsid w:val="64D714A3"/>
    <w:rsid w:val="64ED07CF"/>
    <w:rsid w:val="64FD6C64"/>
    <w:rsid w:val="650E6535"/>
    <w:rsid w:val="652F2B95"/>
    <w:rsid w:val="65401246"/>
    <w:rsid w:val="65D5198E"/>
    <w:rsid w:val="65D774B5"/>
    <w:rsid w:val="666F3B91"/>
    <w:rsid w:val="667E2026"/>
    <w:rsid w:val="6748428C"/>
    <w:rsid w:val="67896ED4"/>
    <w:rsid w:val="67997C61"/>
    <w:rsid w:val="67BFE260"/>
    <w:rsid w:val="67EE31DB"/>
    <w:rsid w:val="67FB0BCF"/>
    <w:rsid w:val="67FF31C8"/>
    <w:rsid w:val="6864524C"/>
    <w:rsid w:val="68776D2D"/>
    <w:rsid w:val="68B0223F"/>
    <w:rsid w:val="68D66149"/>
    <w:rsid w:val="68FD2488"/>
    <w:rsid w:val="69B47B0D"/>
    <w:rsid w:val="69B5136B"/>
    <w:rsid w:val="69F801B6"/>
    <w:rsid w:val="6A1A02B8"/>
    <w:rsid w:val="6A49513B"/>
    <w:rsid w:val="6A99742E"/>
    <w:rsid w:val="6B2A0511"/>
    <w:rsid w:val="6B3F5CDA"/>
    <w:rsid w:val="6B465AFD"/>
    <w:rsid w:val="6B7363FC"/>
    <w:rsid w:val="6B79344E"/>
    <w:rsid w:val="6BCF4CD1"/>
    <w:rsid w:val="6C117498"/>
    <w:rsid w:val="6C1B3E73"/>
    <w:rsid w:val="6C4D6722"/>
    <w:rsid w:val="6D415B5B"/>
    <w:rsid w:val="6DA700B4"/>
    <w:rsid w:val="6DC67416"/>
    <w:rsid w:val="6ECC4085"/>
    <w:rsid w:val="6EEF234E"/>
    <w:rsid w:val="6EF598A8"/>
    <w:rsid w:val="6F3FC398"/>
    <w:rsid w:val="6F4EA617"/>
    <w:rsid w:val="6F5074C1"/>
    <w:rsid w:val="6F9D49A7"/>
    <w:rsid w:val="6FA50623"/>
    <w:rsid w:val="6FAF5F5F"/>
    <w:rsid w:val="6FBFAF81"/>
    <w:rsid w:val="6FC908BB"/>
    <w:rsid w:val="6FDF1577"/>
    <w:rsid w:val="6FEF189F"/>
    <w:rsid w:val="6FFDF984"/>
    <w:rsid w:val="6FFE3DF2"/>
    <w:rsid w:val="6FFF6BB1"/>
    <w:rsid w:val="70384FF4"/>
    <w:rsid w:val="704240C4"/>
    <w:rsid w:val="704875E6"/>
    <w:rsid w:val="70E17439"/>
    <w:rsid w:val="71237A52"/>
    <w:rsid w:val="713E488C"/>
    <w:rsid w:val="71722787"/>
    <w:rsid w:val="719A3A8C"/>
    <w:rsid w:val="71C54FAD"/>
    <w:rsid w:val="71D62D16"/>
    <w:rsid w:val="72541E8D"/>
    <w:rsid w:val="72C74D55"/>
    <w:rsid w:val="72EFB4D2"/>
    <w:rsid w:val="72F5334A"/>
    <w:rsid w:val="73005B71"/>
    <w:rsid w:val="735C549D"/>
    <w:rsid w:val="73726A6F"/>
    <w:rsid w:val="737D42BE"/>
    <w:rsid w:val="737F04AD"/>
    <w:rsid w:val="73A048CA"/>
    <w:rsid w:val="73B7542F"/>
    <w:rsid w:val="73EF2BFA"/>
    <w:rsid w:val="73FFAE42"/>
    <w:rsid w:val="745207C9"/>
    <w:rsid w:val="74DE37F1"/>
    <w:rsid w:val="74FBBAE6"/>
    <w:rsid w:val="74FF2584"/>
    <w:rsid w:val="753A35BC"/>
    <w:rsid w:val="753DB0EC"/>
    <w:rsid w:val="756AB846"/>
    <w:rsid w:val="756F1EF5"/>
    <w:rsid w:val="75ED17B9"/>
    <w:rsid w:val="75FD6AE3"/>
    <w:rsid w:val="75FEC8CC"/>
    <w:rsid w:val="767B8DBD"/>
    <w:rsid w:val="769413F2"/>
    <w:rsid w:val="76D67314"/>
    <w:rsid w:val="76EAAA5F"/>
    <w:rsid w:val="76F3BEA8"/>
    <w:rsid w:val="775EC8F4"/>
    <w:rsid w:val="776EB52E"/>
    <w:rsid w:val="778537F5"/>
    <w:rsid w:val="779E2327"/>
    <w:rsid w:val="77B517D8"/>
    <w:rsid w:val="77DF68FF"/>
    <w:rsid w:val="77DF7FB0"/>
    <w:rsid w:val="77EA0CB8"/>
    <w:rsid w:val="783C3AEF"/>
    <w:rsid w:val="78BA23DC"/>
    <w:rsid w:val="78E201F2"/>
    <w:rsid w:val="78EFA675"/>
    <w:rsid w:val="79667075"/>
    <w:rsid w:val="79674B9C"/>
    <w:rsid w:val="797BFF0B"/>
    <w:rsid w:val="798474FC"/>
    <w:rsid w:val="79FF47ED"/>
    <w:rsid w:val="7A811C8D"/>
    <w:rsid w:val="7A8D62E0"/>
    <w:rsid w:val="7AE3821D"/>
    <w:rsid w:val="7AE91D0C"/>
    <w:rsid w:val="7AF4350B"/>
    <w:rsid w:val="7AFC8F54"/>
    <w:rsid w:val="7AFDFEC9"/>
    <w:rsid w:val="7AFE96B5"/>
    <w:rsid w:val="7B2A351A"/>
    <w:rsid w:val="7B7707C0"/>
    <w:rsid w:val="7B7B6794"/>
    <w:rsid w:val="7B978F9C"/>
    <w:rsid w:val="7B9F05BE"/>
    <w:rsid w:val="7BB546C9"/>
    <w:rsid w:val="7BBBFDDA"/>
    <w:rsid w:val="7BCBE4D0"/>
    <w:rsid w:val="7BEE5D06"/>
    <w:rsid w:val="7BF3CB1B"/>
    <w:rsid w:val="7BF70C67"/>
    <w:rsid w:val="7BFFAA5F"/>
    <w:rsid w:val="7C7ADEC5"/>
    <w:rsid w:val="7CBEC0BC"/>
    <w:rsid w:val="7CDF362A"/>
    <w:rsid w:val="7CDF9DE1"/>
    <w:rsid w:val="7CE04A49"/>
    <w:rsid w:val="7CEF2EDE"/>
    <w:rsid w:val="7CF60710"/>
    <w:rsid w:val="7CFF69E8"/>
    <w:rsid w:val="7D4B537C"/>
    <w:rsid w:val="7D57E39D"/>
    <w:rsid w:val="7D768302"/>
    <w:rsid w:val="7D7F0D13"/>
    <w:rsid w:val="7D974B7E"/>
    <w:rsid w:val="7DBF1A15"/>
    <w:rsid w:val="7DDB9E91"/>
    <w:rsid w:val="7DEF875F"/>
    <w:rsid w:val="7DF69C57"/>
    <w:rsid w:val="7DF77356"/>
    <w:rsid w:val="7DF7ED68"/>
    <w:rsid w:val="7E3EBD68"/>
    <w:rsid w:val="7E3F8CBB"/>
    <w:rsid w:val="7E5E4A3E"/>
    <w:rsid w:val="7E617E0B"/>
    <w:rsid w:val="7EAF60A3"/>
    <w:rsid w:val="7EBE50F5"/>
    <w:rsid w:val="7ED709B9"/>
    <w:rsid w:val="7EDE8BDC"/>
    <w:rsid w:val="7EEF3B3D"/>
    <w:rsid w:val="7EF173E1"/>
    <w:rsid w:val="7EFF31E0"/>
    <w:rsid w:val="7F2C69B8"/>
    <w:rsid w:val="7F396732"/>
    <w:rsid w:val="7F3E1EFB"/>
    <w:rsid w:val="7F736D93"/>
    <w:rsid w:val="7F7D62D3"/>
    <w:rsid w:val="7F7DB0E4"/>
    <w:rsid w:val="7F9F76A0"/>
    <w:rsid w:val="7FB97C10"/>
    <w:rsid w:val="7FBB858B"/>
    <w:rsid w:val="7FBEDD33"/>
    <w:rsid w:val="7FBF7BDB"/>
    <w:rsid w:val="7FBFA01A"/>
    <w:rsid w:val="7FC06DB4"/>
    <w:rsid w:val="7FC631F2"/>
    <w:rsid w:val="7FCD39F9"/>
    <w:rsid w:val="7FD40832"/>
    <w:rsid w:val="7FDE5EDE"/>
    <w:rsid w:val="7FDEF62D"/>
    <w:rsid w:val="7FDFEDEB"/>
    <w:rsid w:val="7FF445DB"/>
    <w:rsid w:val="7FF75D86"/>
    <w:rsid w:val="7FFBA1A9"/>
    <w:rsid w:val="7FFBA604"/>
    <w:rsid w:val="7FFC047B"/>
    <w:rsid w:val="7FFEEA54"/>
    <w:rsid w:val="7FFF09B8"/>
    <w:rsid w:val="7FFF2E98"/>
    <w:rsid w:val="7FFF34D4"/>
    <w:rsid w:val="7FFF7043"/>
    <w:rsid w:val="7FFF9C86"/>
    <w:rsid w:val="7FFFE6D0"/>
    <w:rsid w:val="85FBC353"/>
    <w:rsid w:val="87EF0572"/>
    <w:rsid w:val="89ED6F5A"/>
    <w:rsid w:val="8EBFBD72"/>
    <w:rsid w:val="8FE856DC"/>
    <w:rsid w:val="972FECAE"/>
    <w:rsid w:val="9CDA5F58"/>
    <w:rsid w:val="9DFF14E8"/>
    <w:rsid w:val="9E5B935C"/>
    <w:rsid w:val="9F5F59BD"/>
    <w:rsid w:val="9FEF1062"/>
    <w:rsid w:val="9FFF24EA"/>
    <w:rsid w:val="A1FA51BE"/>
    <w:rsid w:val="A6CF483D"/>
    <w:rsid w:val="A7FF2339"/>
    <w:rsid w:val="AAEE4C27"/>
    <w:rsid w:val="AC7AE857"/>
    <w:rsid w:val="ADF17350"/>
    <w:rsid w:val="AEDFB525"/>
    <w:rsid w:val="AF7B0E0D"/>
    <w:rsid w:val="AFBFDFB0"/>
    <w:rsid w:val="AFEB8BE2"/>
    <w:rsid w:val="AFEC7054"/>
    <w:rsid w:val="AFFFCAAF"/>
    <w:rsid w:val="B1FA659F"/>
    <w:rsid w:val="B36F2ED9"/>
    <w:rsid w:val="B397DD6F"/>
    <w:rsid w:val="B3EA8CA9"/>
    <w:rsid w:val="B53FC843"/>
    <w:rsid w:val="B67ABC2B"/>
    <w:rsid w:val="B6FB36C0"/>
    <w:rsid w:val="B7EF92D4"/>
    <w:rsid w:val="B7FF11A5"/>
    <w:rsid w:val="B9EDF908"/>
    <w:rsid w:val="BBFFFA6B"/>
    <w:rsid w:val="BCFB84FC"/>
    <w:rsid w:val="BD5B43AF"/>
    <w:rsid w:val="BDF322A9"/>
    <w:rsid w:val="BEB1A0A8"/>
    <w:rsid w:val="BEB7A1C5"/>
    <w:rsid w:val="BED75AF1"/>
    <w:rsid w:val="BEFB7717"/>
    <w:rsid w:val="BEFBE4DE"/>
    <w:rsid w:val="BF7D633A"/>
    <w:rsid w:val="BF979211"/>
    <w:rsid w:val="BFCFAAE1"/>
    <w:rsid w:val="BFEFBF65"/>
    <w:rsid w:val="BFEFF62B"/>
    <w:rsid w:val="BFF7255F"/>
    <w:rsid w:val="BFFF02CC"/>
    <w:rsid w:val="BFFF8192"/>
    <w:rsid w:val="C7CB18AC"/>
    <w:rsid w:val="C7FE3920"/>
    <w:rsid w:val="CCBF52F9"/>
    <w:rsid w:val="CDF58FAD"/>
    <w:rsid w:val="CEF73EA9"/>
    <w:rsid w:val="D0B56E7D"/>
    <w:rsid w:val="D1FA7626"/>
    <w:rsid w:val="D37B4F13"/>
    <w:rsid w:val="D5BE2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2F7CB8"/>
  <w15:docId w15:val="{7428423A-4613-42E3-9EFA-774DF46CD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3">
    <w:name w:val="heading 3"/>
    <w:basedOn w:val="a"/>
    <w:next w:val="a"/>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note text"/>
    <w:basedOn w:val="a"/>
    <w:qFormat/>
    <w:pPr>
      <w:snapToGrid w:val="0"/>
      <w:jc w:val="left"/>
    </w:pPr>
    <w:rPr>
      <w:sz w:val="18"/>
    </w:rPr>
  </w:style>
  <w:style w:type="paragraph" w:styleId="a6">
    <w:name w:val="Normal (Web)"/>
    <w:basedOn w:val="a"/>
    <w:qFormat/>
    <w:pPr>
      <w:spacing w:beforeAutospacing="1" w:afterAutospacing="1"/>
      <w:jc w:val="left"/>
    </w:pPr>
    <w:rPr>
      <w:rFonts w:cs="Times New Roman"/>
      <w:kern w:val="0"/>
      <w:sz w:val="24"/>
    </w:rPr>
  </w:style>
  <w:style w:type="character" w:styleId="a7">
    <w:name w:val="Strong"/>
    <w:basedOn w:val="a0"/>
    <w:qFormat/>
    <w:rPr>
      <w:b/>
    </w:rPr>
  </w:style>
  <w:style w:type="character" w:styleId="a8">
    <w:name w:val="Hyperlink"/>
    <w:basedOn w:val="a0"/>
    <w:qFormat/>
    <w:rPr>
      <w:color w:val="0000FF"/>
      <w:u w:val="single"/>
    </w:rPr>
  </w:style>
  <w:style w:type="character" w:styleId="a9">
    <w:name w:val="footnote reference"/>
    <w:basedOn w:val="a0"/>
    <w:qFormat/>
    <w:rPr>
      <w:vertAlign w:val="superscript"/>
    </w:rPr>
  </w:style>
  <w:style w:type="paragraph" w:customStyle="1" w:styleId="aa">
    <w:name w:val="網文標題"/>
    <w:basedOn w:val="a"/>
    <w:autoRedefine/>
    <w:qFormat/>
    <w:pPr>
      <w:jc w:val="center"/>
    </w:pPr>
    <w:rPr>
      <w:rFonts w:ascii="黑体"/>
      <w:b/>
      <w:sz w:val="32"/>
      <w:szCs w:val="44"/>
    </w:rPr>
  </w:style>
  <w:style w:type="paragraph" w:customStyle="1" w:styleId="ab">
    <w:name w:val="網文作者"/>
    <w:basedOn w:val="a"/>
    <w:autoRedefine/>
    <w:qFormat/>
    <w:pPr>
      <w:jc w:val="center"/>
    </w:pPr>
    <w:rPr>
      <w:b/>
      <w:sz w:val="28"/>
      <w:lang w:eastAsia="zh-TW"/>
    </w:rPr>
  </w:style>
  <w:style w:type="paragraph" w:customStyle="1" w:styleId="ac">
    <w:name w:val="網文正文"/>
    <w:basedOn w:val="a"/>
    <w:autoRedefine/>
    <w:qFormat/>
    <w:pPr>
      <w:spacing w:line="480" w:lineRule="auto"/>
      <w:ind w:firstLineChars="200" w:firstLine="200"/>
      <w:textAlignment w:val="center"/>
    </w:pPr>
    <w:rPr>
      <w:sz w:val="28"/>
    </w:rPr>
  </w:style>
  <w:style w:type="paragraph" w:customStyle="1" w:styleId="ad">
    <w:name w:val="網文引用"/>
    <w:basedOn w:val="a"/>
    <w:autoRedefine/>
    <w:qFormat/>
    <w:pPr>
      <w:overflowPunct w:val="0"/>
      <w:topLinePunct/>
      <w:autoSpaceDE w:val="0"/>
      <w:autoSpaceDN w:val="0"/>
      <w:adjustRightInd w:val="0"/>
      <w:spacing w:beforeLines="150" w:before="150" w:afterLines="150" w:after="150" w:line="480" w:lineRule="auto"/>
      <w:ind w:left="420" w:firstLineChars="200" w:firstLine="200"/>
      <w:contextualSpacing/>
      <w:textAlignment w:val="baseline"/>
    </w:pPr>
    <w:rPr>
      <w:rFonts w:ascii="楷体" w:eastAsia="楷体" w:hAnsi="楷体"/>
      <w:spacing w:val="4"/>
      <w:kern w:val="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13</Pages>
  <Words>3127</Words>
  <Characters>3191</Characters>
  <Application>Microsoft Office Word</Application>
  <DocSecurity>0</DocSecurity>
  <Lines>122</Lines>
  <Paragraphs>42</Paragraphs>
  <ScaleCrop>false</ScaleCrop>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YR M</cp:lastModifiedBy>
  <cp:revision>3</cp:revision>
  <dcterms:created xsi:type="dcterms:W3CDTF">2024-09-03T00:39:00Z</dcterms:created>
  <dcterms:modified xsi:type="dcterms:W3CDTF">2025-09-21T08:13:00Z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C555A0DD47DD46A0A14F5A2A4407D0FF_13</vt:lpwstr>
  </property>
  <property fmtid="{D5CDD505-2E9C-101B-9397-08002B2CF9AE}" pid="4" name="KSOTemplateDocerSaveRecord">
    <vt:lpwstr>eyJoZGlkIjoiYjk5ODM0YmMxOWJiYWQyNDU4MGIzYWRmYTA0ZmI5NDciLCJ1c2VySWQiOiIyOTAzMDQxNDcifQ==</vt:lpwstr>
  </property>
</Properties>
</file>