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58047" w14:textId="2A288B5C" w:rsidR="00726471" w:rsidRPr="00986CEF" w:rsidRDefault="00986CEF" w:rsidP="00726471">
      <w:pPr>
        <w:pStyle w:val="ac"/>
        <w:rPr>
          <w:lang w:eastAsia="zh-TW"/>
        </w:rPr>
      </w:pPr>
      <w:r w:rsidRPr="00986CEF">
        <w:rPr>
          <w:rFonts w:hint="eastAsia"/>
          <w:lang w:eastAsia="zh-TW"/>
        </w:rPr>
        <w:t>兼義造字與反訓——試論反訓的起源</w:t>
      </w:r>
    </w:p>
    <w:p w14:paraId="19A402F2" w14:textId="77777777" w:rsidR="00726471" w:rsidRDefault="00726471" w:rsidP="00726471">
      <w:pPr>
        <w:pStyle w:val="ad"/>
        <w:rPr>
          <w:rFonts w:eastAsia="PMingLiU"/>
        </w:rPr>
      </w:pPr>
    </w:p>
    <w:p w14:paraId="75737F20" w14:textId="77777777" w:rsidR="00986CEF" w:rsidRDefault="00986CEF" w:rsidP="00726471">
      <w:pPr>
        <w:pStyle w:val="ad"/>
        <w:rPr>
          <w:lang w:eastAsia="zh-CN"/>
        </w:rPr>
      </w:pPr>
      <w:r>
        <w:rPr>
          <w:rFonts w:hint="eastAsia"/>
        </w:rPr>
        <w:t>（首發）</w:t>
      </w:r>
    </w:p>
    <w:p w14:paraId="4A56E894" w14:textId="566C6512" w:rsidR="00726471" w:rsidRPr="00D53655" w:rsidRDefault="00986CEF" w:rsidP="00726471">
      <w:pPr>
        <w:pStyle w:val="ad"/>
        <w:rPr>
          <w:rFonts w:eastAsia="PMingLiU"/>
          <w:lang w:eastAsia="zh-CN"/>
        </w:rPr>
      </w:pPr>
      <w:r>
        <w:rPr>
          <w:rFonts w:hint="eastAsia"/>
        </w:rPr>
        <w:t>付虎</w:t>
      </w:r>
    </w:p>
    <w:p w14:paraId="7AB13B84" w14:textId="5ED58A6E" w:rsidR="00726471" w:rsidRPr="00D53655" w:rsidRDefault="00986CEF" w:rsidP="00726471">
      <w:pPr>
        <w:pStyle w:val="ad"/>
        <w:rPr>
          <w:rFonts w:eastAsia="PMingLiU"/>
        </w:rPr>
      </w:pPr>
      <w:r w:rsidRPr="00986CEF">
        <w:rPr>
          <w:rFonts w:hint="eastAsia"/>
        </w:rPr>
        <w:t>復旦大學古籍整理研究所</w:t>
      </w:r>
    </w:p>
    <w:p w14:paraId="25839513" w14:textId="77777777" w:rsidR="00986CEF" w:rsidRPr="00986CEF" w:rsidRDefault="00986CEF" w:rsidP="00986CEF">
      <w:pPr>
        <w:pStyle w:val="ab"/>
        <w:ind w:firstLine="560"/>
        <w:rPr>
          <w:lang w:eastAsia="zh-TW"/>
        </w:rPr>
      </w:pPr>
    </w:p>
    <w:p w14:paraId="43FAC73A" w14:textId="77777777" w:rsidR="00986CEF" w:rsidRPr="00986CEF" w:rsidRDefault="00986CEF" w:rsidP="00986CEF">
      <w:pPr>
        <w:pStyle w:val="ab"/>
        <w:ind w:firstLine="562"/>
        <w:rPr>
          <w:lang w:eastAsia="zh-TW"/>
        </w:rPr>
      </w:pPr>
      <w:r w:rsidRPr="00986CEF">
        <w:rPr>
          <w:rFonts w:hint="eastAsia"/>
          <w:b/>
          <w:bCs/>
          <w:lang w:eastAsia="zh-TW"/>
        </w:rPr>
        <w:t>摘要：</w:t>
      </w:r>
      <w:r w:rsidRPr="00986CEF">
        <w:rPr>
          <w:rFonts w:hint="eastAsia"/>
          <w:lang w:eastAsia="zh-TW"/>
        </w:rPr>
        <w:t>“反訓”現象在學界存在爭議，與研究“反訓”的先決條件和“反訓”的定名存在歧義有着重要關係。確定研究“反訓”的先決條件和重新爲“反訓”定名爲“反義共詞”後，運用現代漢語語義學的方法，結合甲骨文材料進行考察，我們認爲，“反義共詞”是“兼義造字”理論創造下的產物。甲骨文形體所體現詞義的局限性、甲骨文形體所指稱詞義的模糊性和豐富性、甲骨文形體所體現詞義的辯證統一的關係等因素，促進了“反義共詞”的產生。“兼義造字”是運用今人的角度觀察古人的語言文字材料，並非古人真正具備了兼具多個詞義去主動創造漢字的能力。</w:t>
      </w:r>
    </w:p>
    <w:p w14:paraId="06B9E74C" w14:textId="77777777" w:rsidR="00986CEF" w:rsidRPr="00986CEF" w:rsidRDefault="00986CEF" w:rsidP="00986CEF">
      <w:pPr>
        <w:pStyle w:val="ab"/>
        <w:ind w:firstLine="562"/>
        <w:rPr>
          <w:lang w:eastAsia="zh-TW"/>
        </w:rPr>
      </w:pPr>
      <w:r w:rsidRPr="00986CEF">
        <w:rPr>
          <w:rFonts w:hint="eastAsia"/>
          <w:b/>
          <w:bCs/>
          <w:lang w:eastAsia="zh-TW"/>
        </w:rPr>
        <w:t>關鍵詞：</w:t>
      </w:r>
      <w:r w:rsidRPr="00986CEF">
        <w:rPr>
          <w:rFonts w:hint="eastAsia"/>
          <w:lang w:eastAsia="zh-TW"/>
        </w:rPr>
        <w:t>兼義造字；反義共詞；反訓；甲骨文；漢語語義學</w:t>
      </w:r>
    </w:p>
    <w:p w14:paraId="24EAFF51" w14:textId="77777777" w:rsidR="00986CEF" w:rsidRPr="00986CEF" w:rsidRDefault="00986CEF" w:rsidP="00986CEF">
      <w:pPr>
        <w:pStyle w:val="ab"/>
        <w:ind w:firstLine="560"/>
        <w:rPr>
          <w:lang w:eastAsia="zh-TW"/>
        </w:rPr>
      </w:pPr>
    </w:p>
    <w:p w14:paraId="66517C72" w14:textId="77777777" w:rsidR="00986CEF" w:rsidRPr="00986CEF" w:rsidRDefault="00986CEF" w:rsidP="00AD226E">
      <w:pPr>
        <w:pStyle w:val="ab"/>
        <w:ind w:firstLineChars="0" w:firstLine="0"/>
        <w:jc w:val="center"/>
        <w:rPr>
          <w:b/>
          <w:bCs/>
          <w:lang w:eastAsia="zh-TW"/>
        </w:rPr>
      </w:pPr>
      <w:r w:rsidRPr="00986CEF">
        <w:rPr>
          <w:rFonts w:hint="eastAsia"/>
          <w:b/>
          <w:bCs/>
          <w:lang w:eastAsia="zh-TW"/>
        </w:rPr>
        <w:t>一、引言</w:t>
      </w:r>
    </w:p>
    <w:p w14:paraId="5F202031" w14:textId="3952CB4E" w:rsidR="00986CEF" w:rsidRPr="00986CEF" w:rsidRDefault="00986CEF" w:rsidP="00986CEF">
      <w:pPr>
        <w:pStyle w:val="ab"/>
        <w:ind w:firstLine="560"/>
        <w:rPr>
          <w:lang w:eastAsia="zh-TW"/>
        </w:rPr>
      </w:pPr>
      <w:r w:rsidRPr="00986CEF">
        <w:rPr>
          <w:rFonts w:hint="eastAsia"/>
          <w:lang w:eastAsia="zh-TW"/>
        </w:rPr>
        <w:lastRenderedPageBreak/>
        <w:t>自郭璞爲《爾雅》作注時提出“義相反而兼通”</w:t>
      </w:r>
      <w:r w:rsidRPr="00986CEF">
        <w:rPr>
          <w:vertAlign w:val="superscript"/>
          <w:lang w:eastAsia="zh-TW"/>
        </w:rPr>
        <w:endnoteReference w:id="1"/>
      </w:r>
      <w:r w:rsidRPr="00986CEF">
        <w:rPr>
          <w:rFonts w:hint="eastAsia"/>
          <w:lang w:eastAsia="zh-TW"/>
        </w:rPr>
        <w:t>“美惡不嫌同名”</w:t>
      </w:r>
      <w:r w:rsidRPr="00986CEF">
        <w:rPr>
          <w:vertAlign w:val="superscript"/>
          <w:lang w:eastAsia="zh-TW"/>
        </w:rPr>
        <w:endnoteReference w:id="2"/>
      </w:r>
      <w:r w:rsidRPr="00986CEF">
        <w:rPr>
          <w:rFonts w:hint="eastAsia"/>
          <w:lang w:eastAsia="zh-TW"/>
        </w:rPr>
        <w:t>的觀點以後，學者們進一步演繹和發展，進入到現代，形成了傳統訓詁學中所謂的“反訓”</w:t>
      </w:r>
      <w:r w:rsidRPr="00986CEF">
        <w:rPr>
          <w:vertAlign w:val="superscript"/>
          <w:lang w:eastAsia="zh-TW"/>
        </w:rPr>
        <w:endnoteReference w:id="3"/>
      </w:r>
      <w:r w:rsidRPr="00986CEF">
        <w:rPr>
          <w:rFonts w:hint="eastAsia"/>
          <w:lang w:eastAsia="zh-TW"/>
        </w:rPr>
        <w:t>，即“用反義詞來解釋詞義”</w:t>
      </w:r>
      <w:r w:rsidRPr="00986CEF">
        <w:rPr>
          <w:vertAlign w:val="superscript"/>
          <w:lang w:eastAsia="zh-TW"/>
        </w:rPr>
        <w:endnoteReference w:id="4"/>
      </w:r>
      <w:r w:rsidRPr="00986CEF">
        <w:rPr>
          <w:rFonts w:hint="eastAsia"/>
          <w:lang w:eastAsia="zh-TW"/>
        </w:rPr>
        <w:t>。郭璞所舉出的例子雖然存在一些問題</w:t>
      </w:r>
      <w:r w:rsidRPr="00986CEF">
        <w:rPr>
          <w:vertAlign w:val="superscript"/>
          <w:lang w:eastAsia="zh-TW"/>
        </w:rPr>
        <w:endnoteReference w:id="5"/>
      </w:r>
      <w:r w:rsidRPr="00986CEF">
        <w:rPr>
          <w:rFonts w:hint="eastAsia"/>
          <w:lang w:eastAsia="zh-TW"/>
        </w:rPr>
        <w:t>，但是並不妨礙後來眾多學者對“反訓”現象的研究，“反訓”的理論也不斷被完善。“反訓”現象中最爲常見的例子，就是“亂”</w:t>
      </w:r>
      <w:r w:rsidRPr="00986CEF">
        <w:rPr>
          <w:vertAlign w:val="superscript"/>
          <w:lang w:eastAsia="zh-TW"/>
        </w:rPr>
        <w:endnoteReference w:id="6"/>
      </w:r>
      <w:r w:rsidRPr="00986CEF">
        <w:rPr>
          <w:rFonts w:hint="eastAsia"/>
          <w:lang w:eastAsia="zh-TW"/>
        </w:rPr>
        <w:t>有{治理}、{紊亂}兩義，後世只通行{紊亂}一義。《尚書·皋陶謨》“亂而敬”，《史記·夏本紀》作“治而敬”，以“治”訓“亂”，是爲“反訓”。</w:t>
      </w:r>
      <w:r w:rsidRPr="00986CEF">
        <w:rPr>
          <w:vertAlign w:val="superscript"/>
          <w:lang w:eastAsia="zh-TW"/>
        </w:rPr>
        <w:endnoteReference w:id="7"/>
      </w:r>
    </w:p>
    <w:p w14:paraId="6E7FDE86" w14:textId="77777777" w:rsidR="00986CEF" w:rsidRPr="00986CEF" w:rsidRDefault="00986CEF" w:rsidP="00986CEF">
      <w:pPr>
        <w:pStyle w:val="ab"/>
        <w:ind w:firstLine="560"/>
        <w:rPr>
          <w:lang w:eastAsia="zh-TW"/>
        </w:rPr>
      </w:pPr>
      <w:r w:rsidRPr="00986CEF">
        <w:rPr>
          <w:rFonts w:hint="eastAsia"/>
          <w:lang w:eastAsia="zh-TW"/>
        </w:rPr>
        <w:t>現代學者有讚同“反訓”這種現象的，也有反對的</w:t>
      </w:r>
      <w:r w:rsidRPr="00986CEF">
        <w:rPr>
          <w:vertAlign w:val="superscript"/>
          <w:lang w:eastAsia="zh-TW"/>
        </w:rPr>
        <w:endnoteReference w:id="8"/>
      </w:r>
      <w:r w:rsidRPr="00986CEF">
        <w:rPr>
          <w:rFonts w:hint="eastAsia"/>
          <w:lang w:eastAsia="zh-TW"/>
        </w:rPr>
        <w:t>。讚同者認爲“反訓”是古漢語中的確存在的一種現象，部分學者還指出“反訓”的稱名並不科學，應該重新加以定名，或可稱爲“反義共詞”</w:t>
      </w:r>
      <w:r w:rsidRPr="00986CEF">
        <w:rPr>
          <w:vertAlign w:val="superscript"/>
          <w:lang w:eastAsia="zh-TW"/>
        </w:rPr>
        <w:endnoteReference w:id="9"/>
      </w:r>
      <w:r w:rsidRPr="00986CEF">
        <w:rPr>
          <w:rFonts w:hint="eastAsia"/>
          <w:lang w:eastAsia="zh-TW"/>
        </w:rPr>
        <w:t>。反對者認爲一詞兼有兩個相反的意義的話，在語境中容易引起歧義，之所以出現“反義為訓”“美惡同辭”的説法，“實際上是傳統訓詁學在沒有弄清某些詞的詞義演變的情況下而作出的一種以今義釋古義的現象”</w:t>
      </w:r>
      <w:r w:rsidRPr="00986CEF">
        <w:rPr>
          <w:vertAlign w:val="superscript"/>
          <w:lang w:eastAsia="zh-TW"/>
        </w:rPr>
        <w:endnoteReference w:id="10"/>
      </w:r>
      <w:r w:rsidRPr="00986CEF">
        <w:rPr>
          <w:rFonts w:hint="eastAsia"/>
          <w:lang w:eastAsia="zh-TW"/>
        </w:rPr>
        <w:t>。目前，“反訓”現象還有許多問題沒有解決，爭議不斷，仍待進一步釐清。</w:t>
      </w:r>
      <w:r w:rsidRPr="00986CEF">
        <w:rPr>
          <w:vertAlign w:val="superscript"/>
          <w:lang w:eastAsia="zh-TW"/>
        </w:rPr>
        <w:endnoteReference w:id="11"/>
      </w:r>
    </w:p>
    <w:p w14:paraId="3A88BC02" w14:textId="77777777" w:rsidR="00986CEF" w:rsidRDefault="00986CEF" w:rsidP="00986CEF">
      <w:pPr>
        <w:pStyle w:val="ab"/>
        <w:ind w:firstLine="560"/>
      </w:pPr>
      <w:r w:rsidRPr="00986CEF">
        <w:rPr>
          <w:rFonts w:hint="eastAsia"/>
          <w:lang w:eastAsia="zh-TW"/>
        </w:rPr>
        <w:t>需要指出的是，以往研究“反訓”的成果大多是結合傳世文獻中的語料進行的，而充分利用出土文獻中的語料盡行研究則是少有的事</w:t>
      </w:r>
      <w:r w:rsidRPr="00986CEF">
        <w:rPr>
          <w:rFonts w:hint="eastAsia"/>
          <w:lang w:eastAsia="zh-TW"/>
        </w:rPr>
        <w:lastRenderedPageBreak/>
        <w:t>情。</w:t>
      </w:r>
      <w:r w:rsidRPr="00986CEF">
        <w:rPr>
          <w:vertAlign w:val="superscript"/>
          <w:lang w:eastAsia="zh-TW"/>
        </w:rPr>
        <w:endnoteReference w:id="12"/>
      </w:r>
      <w:r w:rsidRPr="00986CEF">
        <w:rPr>
          <w:rFonts w:hint="eastAsia"/>
          <w:lang w:eastAsia="zh-TW"/>
        </w:rPr>
        <w:t>甲骨文做爲漢字最爲原始的材料，可以深入到最初造字的層面，這無疑能夠在源頭上解決很多問題，爲“反訓”現象的起源和發展的研究提供重要支撐。結合出土文獻中的甲骨文材料，我們認爲，引入“兼義造字”</w:t>
      </w:r>
      <w:r w:rsidRPr="00986CEF">
        <w:rPr>
          <w:vertAlign w:val="superscript"/>
          <w:lang w:eastAsia="zh-TW"/>
        </w:rPr>
        <w:endnoteReference w:id="13"/>
      </w:r>
      <w:r w:rsidRPr="00986CEF">
        <w:rPr>
          <w:rFonts w:hint="eastAsia"/>
          <w:lang w:eastAsia="zh-TW"/>
        </w:rPr>
        <w:t>理論不僅可以解決“反訓”現象中的很多問題，爲“反訓”的研究提供思路，而且“反訓”現象又爲“兼義造字”理論提供證據，使我們能夠確定，漢字的確存在“兼義造字”的造字方式。</w:t>
      </w:r>
    </w:p>
    <w:p w14:paraId="1E6D4A06" w14:textId="77777777" w:rsidR="00AD226E" w:rsidRPr="00986CEF" w:rsidRDefault="00AD226E" w:rsidP="00986CEF">
      <w:pPr>
        <w:pStyle w:val="ab"/>
        <w:ind w:firstLine="560"/>
        <w:rPr>
          <w:rFonts w:hint="eastAsia"/>
        </w:rPr>
      </w:pPr>
    </w:p>
    <w:p w14:paraId="2AA15FFC" w14:textId="77777777" w:rsidR="00986CEF" w:rsidRPr="00986CEF" w:rsidRDefault="00986CEF" w:rsidP="00AD226E">
      <w:pPr>
        <w:pStyle w:val="ab"/>
        <w:ind w:firstLineChars="0" w:firstLine="0"/>
        <w:jc w:val="center"/>
        <w:rPr>
          <w:b/>
          <w:bCs/>
          <w:lang w:eastAsia="zh-TW"/>
        </w:rPr>
      </w:pPr>
      <w:r w:rsidRPr="00986CEF">
        <w:rPr>
          <w:rFonts w:hint="eastAsia"/>
          <w:b/>
          <w:bCs/>
          <w:lang w:eastAsia="zh-TW"/>
        </w:rPr>
        <w:t>二、研究“反訓”的先決條件和“反訓”的定名問題</w:t>
      </w:r>
    </w:p>
    <w:p w14:paraId="0BEC166D" w14:textId="77777777" w:rsidR="00986CEF" w:rsidRPr="00986CEF" w:rsidRDefault="00986CEF" w:rsidP="00986CEF">
      <w:pPr>
        <w:pStyle w:val="ab"/>
        <w:ind w:firstLine="560"/>
        <w:rPr>
          <w:lang w:eastAsia="zh-TW"/>
        </w:rPr>
      </w:pPr>
      <w:r w:rsidRPr="00986CEF">
        <w:rPr>
          <w:rFonts w:hint="eastAsia"/>
          <w:lang w:eastAsia="zh-TW"/>
        </w:rPr>
        <w:t>學界對“反訓”問題沒有統一的意見，與各自研究“反訓”的標準不統一和對“反訓”名稱的理解不同有着莫大的關係。因此，本文在談論“反訓”問題之前，有些問題是需要講明的。</w:t>
      </w:r>
    </w:p>
    <w:p w14:paraId="7B24F8D5" w14:textId="77777777" w:rsidR="00986CEF" w:rsidRPr="00986CEF" w:rsidRDefault="00986CEF" w:rsidP="00986CEF">
      <w:pPr>
        <w:pStyle w:val="ab"/>
        <w:ind w:firstLine="562"/>
        <w:rPr>
          <w:b/>
          <w:bCs/>
          <w:lang w:eastAsia="zh-TW"/>
        </w:rPr>
      </w:pPr>
      <w:r w:rsidRPr="00986CEF">
        <w:rPr>
          <w:rFonts w:hint="eastAsia"/>
          <w:b/>
          <w:bCs/>
          <w:lang w:eastAsia="zh-TW"/>
        </w:rPr>
        <w:t>（一）研究“反訓”的先決條件</w:t>
      </w:r>
    </w:p>
    <w:p w14:paraId="546B0E25" w14:textId="77777777" w:rsidR="00986CEF" w:rsidRPr="00986CEF" w:rsidRDefault="00986CEF" w:rsidP="00986CEF">
      <w:pPr>
        <w:pStyle w:val="ab"/>
        <w:ind w:firstLine="560"/>
        <w:rPr>
          <w:lang w:eastAsia="zh-TW"/>
        </w:rPr>
      </w:pPr>
      <w:r w:rsidRPr="00986CEF">
        <w:rPr>
          <w:rFonts w:hint="eastAsia"/>
          <w:lang w:eastAsia="zh-TW"/>
        </w:rPr>
        <w:t>首先，從共時的層面展開研究。齊佩瑢、郭錫良等先輩學者們早就提出，研究“反訓”現象不能以歷時的角度進行，而應以共時的角度進行，即在同一個歷史平面內展開研究。這樣可以避免，詞義的引申、字的假借和分化等歷時層面帶來的干擾影響我們的判斷。</w:t>
      </w:r>
    </w:p>
    <w:p w14:paraId="2A0A8A91" w14:textId="77777777" w:rsidR="00986CEF" w:rsidRPr="00986CEF" w:rsidRDefault="00986CEF" w:rsidP="00986CEF">
      <w:pPr>
        <w:pStyle w:val="ab"/>
        <w:ind w:firstLine="560"/>
        <w:rPr>
          <w:lang w:eastAsia="zh-TW"/>
        </w:rPr>
      </w:pPr>
      <w:r w:rsidRPr="00986CEF">
        <w:rPr>
          <w:rFonts w:hint="eastAsia"/>
          <w:lang w:eastAsia="zh-TW"/>
        </w:rPr>
        <w:t>其次，在同樣的文字形體記錄同一詞的條件下討論“反訓”現象，保持字與詞的正確的對應關係。在古代漢語裏，單音詞佔據多數，因</w:t>
      </w:r>
      <w:r w:rsidRPr="00986CEF">
        <w:rPr>
          <w:rFonts w:hint="eastAsia"/>
          <w:lang w:eastAsia="zh-TW"/>
        </w:rPr>
        <w:lastRenderedPageBreak/>
        <w:t>此大部分情況下字與詞能夠保持一一對應的關係，一個字就可以記錄一個詞，形音義能夠統一。但是，古漢語中也有少部分復音詞、合成詞，這就會出現多個字記錄一個詞的現象，導致一個字不能對應復音詞或合成詞的詞義。爲避免歧義，我們必須在同樣的文字形體記錄同一詞的條件下討論“反訓”現象，以避免同形異詞或同詞異形的問題，那麼假借自然也不在討論之列。</w:t>
      </w:r>
    </w:p>
    <w:p w14:paraId="7172B071" w14:textId="77777777" w:rsidR="00986CEF" w:rsidRPr="00986CEF" w:rsidRDefault="00986CEF" w:rsidP="00986CEF">
      <w:pPr>
        <w:pStyle w:val="ab"/>
        <w:ind w:firstLine="560"/>
        <w:rPr>
          <w:lang w:eastAsia="zh-TW"/>
        </w:rPr>
      </w:pPr>
      <w:r w:rsidRPr="00986CEF">
        <w:rPr>
          <w:rFonts w:hint="eastAsia"/>
          <w:lang w:eastAsia="zh-TW"/>
        </w:rPr>
        <w:t>第三，運用現代漢語語義學的方法，在詞義的範疇內探討“反訓”。因爲在共時的語言空間內，相反或相對的兩個義項共用一個詞的現象方稱作“反訓”，那麼必須在詞義的範疇內考察“反訓”，語法、語境、語用（如修辭方面的雙關語、反語）等因素給詞義帶來的影響需要排除。既然要排除語法給詞義帶來的影響，“詞類活用”是需要特別説明的，因爲“某詞的用法究竟屬於其詞性的‘本用’抑或‘活用’，常常糾纏不清”</w:t>
      </w:r>
      <w:r w:rsidRPr="00986CEF">
        <w:rPr>
          <w:vertAlign w:val="superscript"/>
          <w:lang w:eastAsia="zh-TW"/>
        </w:rPr>
        <w:endnoteReference w:id="14"/>
      </w:r>
      <w:r w:rsidRPr="00986CEF">
        <w:rPr>
          <w:rFonts w:hint="eastAsia"/>
          <w:lang w:eastAsia="zh-TW"/>
        </w:rPr>
        <w:t>，我們則從漢語語義學的角度出發，運用“義位分析法”觀察詞義，認爲不管是“本用”還是“活用”都是該詞所擁有的兩個義位</w:t>
      </w:r>
      <w:r w:rsidRPr="00986CEF">
        <w:rPr>
          <w:vertAlign w:val="superscript"/>
          <w:lang w:eastAsia="zh-TW"/>
        </w:rPr>
        <w:endnoteReference w:id="15"/>
      </w:r>
      <w:r w:rsidRPr="00986CEF">
        <w:rPr>
          <w:rFonts w:hint="eastAsia"/>
          <w:lang w:eastAsia="zh-TW"/>
        </w:rPr>
        <w:t>。排除語境給詞義的影響，是因爲語境會增加、減少或改變詞義所表示的範圍，使詞義產生偏移，</w:t>
      </w:r>
      <w:r w:rsidRPr="00986CEF">
        <w:rPr>
          <w:vertAlign w:val="superscript"/>
          <w:lang w:eastAsia="zh-TW"/>
        </w:rPr>
        <w:endnoteReference w:id="16"/>
      </w:r>
      <w:r w:rsidRPr="00986CEF">
        <w:rPr>
          <w:rFonts w:hint="eastAsia"/>
          <w:lang w:eastAsia="zh-TW"/>
        </w:rPr>
        <w:t>這就需要我們做好“同一”（或稱作“歸並”）</w:t>
      </w:r>
      <w:r w:rsidRPr="00986CEF">
        <w:rPr>
          <w:vertAlign w:val="superscript"/>
          <w:lang w:eastAsia="zh-TW"/>
        </w:rPr>
        <w:endnoteReference w:id="17"/>
      </w:r>
      <w:r w:rsidRPr="00986CEF">
        <w:rPr>
          <w:rFonts w:hint="eastAsia"/>
          <w:lang w:eastAsia="zh-TW"/>
        </w:rPr>
        <w:t>的工作，消除語境給詞義帶來的影響。</w:t>
      </w:r>
    </w:p>
    <w:p w14:paraId="57E7E219" w14:textId="77777777" w:rsidR="00986CEF" w:rsidRPr="00986CEF" w:rsidRDefault="00986CEF" w:rsidP="00986CEF">
      <w:pPr>
        <w:pStyle w:val="ab"/>
        <w:ind w:firstLine="562"/>
        <w:rPr>
          <w:b/>
          <w:bCs/>
          <w:lang w:eastAsia="zh-TW"/>
        </w:rPr>
      </w:pPr>
      <w:r w:rsidRPr="00986CEF">
        <w:rPr>
          <w:rFonts w:hint="eastAsia"/>
          <w:b/>
          <w:bCs/>
          <w:lang w:eastAsia="zh-TW"/>
        </w:rPr>
        <w:lastRenderedPageBreak/>
        <w:t>（二）“反訓”的定名問題</w:t>
      </w:r>
    </w:p>
    <w:p w14:paraId="75D9CD71" w14:textId="77777777" w:rsidR="00986CEF" w:rsidRDefault="00986CEF" w:rsidP="00986CEF">
      <w:pPr>
        <w:pStyle w:val="ab"/>
        <w:ind w:firstLine="560"/>
      </w:pPr>
      <w:r w:rsidRPr="00986CEF">
        <w:rPr>
          <w:rFonts w:hint="eastAsia"/>
          <w:lang w:eastAsia="zh-TW"/>
        </w:rPr>
        <w:t>齊佩瑢、馬啟俊、王寧等學者已指出把“反訓”做爲訓詁學術語和訓詁學方法是存在問題的。</w:t>
      </w:r>
      <w:r w:rsidRPr="00986CEF">
        <w:rPr>
          <w:vertAlign w:val="superscript"/>
          <w:lang w:eastAsia="zh-TW"/>
        </w:rPr>
        <w:endnoteReference w:id="18"/>
      </w:r>
      <w:r w:rsidRPr="00986CEF">
        <w:rPr>
          <w:rFonts w:hint="eastAsia"/>
          <w:lang w:eastAsia="zh-TW"/>
        </w:rPr>
        <w:t>因爲，僅就直訓來講，“訓釋詞和被訓詞之間在義值上只能有部分的重合之處，又總有那麼一部分不相重合。不過，重合的這部分，是構成訓釋的條件，凡是作訓釋都得儘量把這一部分找得多一點、准一點，使訓釋詞更具有訓釋對方的資格”。“試想，兩個意義截然相反的詞，究其值，沒有重合部分；論其用，不可能發生置換關係，怎麼能夠互相訓釋？就訓釋的實值來説，反義，則不能成訓；成訓者，必不取其反值”。</w:t>
      </w:r>
      <w:r w:rsidRPr="00986CEF">
        <w:rPr>
          <w:vertAlign w:val="superscript"/>
          <w:lang w:eastAsia="zh-TW"/>
        </w:rPr>
        <w:endnoteReference w:id="19"/>
      </w:r>
      <w:r w:rsidRPr="00986CEF">
        <w:rPr>
          <w:rFonts w:hint="eastAsia"/>
          <w:lang w:eastAsia="zh-TW"/>
        </w:rPr>
        <w:t>由此，我們需要給“反訓”重新定名。學者林菁説：“所謂‘反訓詞’是指那種相對或相反的意義在同一時間和語言空間內共存於一個詞中的詞。”</w:t>
      </w:r>
      <w:r w:rsidRPr="00986CEF">
        <w:rPr>
          <w:vertAlign w:val="superscript"/>
          <w:lang w:eastAsia="zh-TW"/>
        </w:rPr>
        <w:endnoteReference w:id="20"/>
      </w:r>
      <w:r w:rsidRPr="00986CEF">
        <w:rPr>
          <w:rFonts w:hint="eastAsia"/>
          <w:lang w:eastAsia="zh-TW"/>
        </w:rPr>
        <w:t>從這一界定出發，再參考馬啟俊、王寧等人的意見，我們不妨稱“反訓”爲“反義共詞”（下文無特殊情況，皆稱作“反義共詞”）。</w:t>
      </w:r>
    </w:p>
    <w:p w14:paraId="3FAA91C5" w14:textId="77777777" w:rsidR="00AD226E" w:rsidRPr="00986CEF" w:rsidRDefault="00AD226E" w:rsidP="00986CEF">
      <w:pPr>
        <w:pStyle w:val="ab"/>
        <w:ind w:firstLine="560"/>
        <w:rPr>
          <w:rFonts w:hint="eastAsia"/>
        </w:rPr>
      </w:pPr>
    </w:p>
    <w:p w14:paraId="3FAB6BA0" w14:textId="77777777" w:rsidR="00986CEF" w:rsidRPr="00986CEF" w:rsidRDefault="00986CEF" w:rsidP="00AD226E">
      <w:pPr>
        <w:pStyle w:val="ab"/>
        <w:ind w:firstLineChars="0" w:firstLine="0"/>
        <w:jc w:val="center"/>
        <w:rPr>
          <w:b/>
          <w:bCs/>
          <w:lang w:eastAsia="zh-TW"/>
        </w:rPr>
      </w:pPr>
      <w:r w:rsidRPr="00986CEF">
        <w:rPr>
          <w:rFonts w:hint="eastAsia"/>
          <w:b/>
          <w:bCs/>
          <w:lang w:eastAsia="zh-TW"/>
        </w:rPr>
        <w:t>三、“反義共詞”的起源</w:t>
      </w:r>
    </w:p>
    <w:p w14:paraId="2E4CB178" w14:textId="77777777" w:rsidR="00986CEF" w:rsidRPr="00986CEF" w:rsidRDefault="00986CEF" w:rsidP="00986CEF">
      <w:pPr>
        <w:pStyle w:val="ab"/>
        <w:ind w:firstLine="560"/>
        <w:rPr>
          <w:lang w:eastAsia="zh-TW"/>
        </w:rPr>
      </w:pPr>
      <w:r w:rsidRPr="00986CEF">
        <w:rPr>
          <w:rFonts w:hint="eastAsia"/>
          <w:lang w:eastAsia="zh-TW"/>
        </w:rPr>
        <w:t>研究“反義共詞”的起源，必須結合甲骨文等出土文獻材料才能講清楚。而甲骨文是目前所發現的最早的成熟的漢字書寫系統，那麼深入到“反義共詞”現象產生的源頭，就必然會涉及到甲骨文最初被</w:t>
      </w:r>
      <w:r w:rsidRPr="00986CEF">
        <w:rPr>
          <w:rFonts w:hint="eastAsia"/>
          <w:lang w:eastAsia="zh-TW"/>
        </w:rPr>
        <w:lastRenderedPageBreak/>
        <w:t>創造時的種種問題。通過考察甲骨文材料，我們認爲，在最初造字時，文字形體所表達詞義的局限性、文字形體所指稱詞義的模糊性和豐富性、文字形體所體現詞義的辯證統一的關係等因素，是“反義共詞”滋生的土壤。同時，“反義共詞”比較符合“兼義造字”的理論。所謂“兼義造字”是指：“形體所顯示的意義是非單一的。一個字形本身，就可以體現不同的意義，代表一個以上的詞。或者起碼可以説，這類漢字的單個形體往往孕育着表示一個以上的漢語詞義的能力。”</w:t>
      </w:r>
      <w:r w:rsidRPr="00986CEF">
        <w:rPr>
          <w:vertAlign w:val="superscript"/>
          <w:lang w:eastAsia="zh-TW"/>
        </w:rPr>
        <w:endnoteReference w:id="21"/>
      </w:r>
      <w:r w:rsidRPr="00986CEF">
        <w:rPr>
          <w:rFonts w:hint="eastAsia"/>
          <w:lang w:eastAsia="zh-TW"/>
        </w:rPr>
        <w:t>董琨先生把“兼義造字”的含義解釋的較爲準確，但需要説明的是，“兼義造字”是站在今天多角度來研究古代的語言文字，要注意“以今例古”的問題。同時，“兼義造字”中的“造字”一詞可能會產生誤會。我們認爲，造字時代的人們心智未開，他們是沒有能力有意識地去兼具多個詞義，而主動創造文字的，他們對世界的認知是混沌的，下文還會詳述此一問題。因此，“兼義造字”這個名稱可以再度斟酌，但在沒有找到合適的名稱前，我們不妨先沿用一下。下文則圍繞着“反義共詞”和“兼義造字”等內容展開論述。</w:t>
      </w:r>
    </w:p>
    <w:p w14:paraId="4F4101FD" w14:textId="77777777" w:rsidR="00986CEF" w:rsidRPr="00986CEF" w:rsidRDefault="00986CEF" w:rsidP="00986CEF">
      <w:pPr>
        <w:pStyle w:val="ab"/>
        <w:ind w:firstLine="562"/>
        <w:rPr>
          <w:b/>
          <w:bCs/>
          <w:lang w:eastAsia="zh-TW"/>
        </w:rPr>
      </w:pPr>
      <w:r w:rsidRPr="00986CEF">
        <w:rPr>
          <w:rFonts w:hint="eastAsia"/>
          <w:b/>
          <w:bCs/>
          <w:lang w:eastAsia="zh-TW"/>
        </w:rPr>
        <w:t>（一）甲骨文形體所體現詞義的局限性</w:t>
      </w:r>
    </w:p>
    <w:p w14:paraId="0BF625FF" w14:textId="77777777" w:rsidR="00986CEF" w:rsidRPr="00986CEF" w:rsidRDefault="00986CEF" w:rsidP="00986CEF">
      <w:pPr>
        <w:pStyle w:val="ab"/>
        <w:ind w:firstLine="560"/>
        <w:rPr>
          <w:lang w:eastAsia="zh-TW"/>
        </w:rPr>
      </w:pPr>
      <w:r w:rsidRPr="00986CEF">
        <w:rPr>
          <w:rFonts w:hint="eastAsia"/>
          <w:lang w:eastAsia="zh-TW"/>
        </w:rPr>
        <w:t>甲骨文形體所直觀體現的詞義具有局限性，無法完全指稱形體所蘊含的所有詞義，這就爲“反義共詞”的產生提供了條件。</w:t>
      </w:r>
    </w:p>
    <w:p w14:paraId="7D1C6E5E" w14:textId="77777777" w:rsidR="00986CEF" w:rsidRPr="00986CEF" w:rsidRDefault="00986CEF" w:rsidP="00986CEF">
      <w:pPr>
        <w:pStyle w:val="ab"/>
        <w:ind w:firstLine="560"/>
        <w:rPr>
          <w:lang w:eastAsia="zh-TW"/>
        </w:rPr>
      </w:pPr>
      <w:r w:rsidRPr="00986CEF">
        <w:rPr>
          <w:rFonts w:hint="eastAsia"/>
          <w:lang w:eastAsia="zh-TW"/>
        </w:rPr>
        <w:lastRenderedPageBreak/>
        <w:t>人類社會先有了豐富的語言之後，才產生文字。“當一個社會發展到需要記錄語言的時候，如果有關條件都已具備，文字就會出現。”</w:t>
      </w:r>
      <w:r w:rsidRPr="00986CEF">
        <w:rPr>
          <w:vertAlign w:val="superscript"/>
          <w:lang w:eastAsia="zh-TW"/>
        </w:rPr>
        <w:endnoteReference w:id="22"/>
      </w:r>
      <w:r w:rsidRPr="00986CEF">
        <w:rPr>
          <w:rFonts w:hint="eastAsia"/>
          <w:lang w:eastAsia="zh-TW"/>
        </w:rPr>
        <w:t>而且漢字是以形表意的文字系統，其創造的第一階段是“依類象形”“無中生有”</w:t>
      </w:r>
      <w:r w:rsidRPr="00986CEF">
        <w:rPr>
          <w:vertAlign w:val="superscript"/>
          <w:lang w:eastAsia="zh-TW"/>
        </w:rPr>
        <w:endnoteReference w:id="23"/>
      </w:r>
      <w:r w:rsidRPr="00986CEF">
        <w:rPr>
          <w:rFonts w:hint="eastAsia"/>
          <w:lang w:eastAsia="zh-TW"/>
        </w:rPr>
        <w:t>。如此一來，先民創造的某一漢字的形體在視覺上直觀體現的詞義，就會和人們當時已產生的豐富的語言產生矛盾。因爲表意文字的形體只能突出表現所指稱事物的某一方面，無法完全概括人們對文字所指稱事物的全部認識。例如，“妾”的甲骨文作</w:t>
      </w:r>
      <w:r w:rsidRPr="00986CEF">
        <w:rPr>
          <w:lang w:eastAsia="zh-TW"/>
        </w:rPr>
        <w:drawing>
          <wp:inline distT="0" distB="0" distL="0" distR="0" wp14:anchorId="47968F3B" wp14:editId="7601A83E">
            <wp:extent cx="136388" cy="360000"/>
            <wp:effectExtent l="0" t="0" r="0" b="2540"/>
            <wp:docPr id="2100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58625" name=""/>
                    <pic:cNvPicPr/>
                  </pic:nvPicPr>
                  <pic:blipFill>
                    <a:blip r:embed="rId8">
                      <a:biLevel thresh="25000"/>
                    </a:blip>
                    <a:stretch>
                      <a:fillRect/>
                    </a:stretch>
                  </pic:blipFill>
                  <pic:spPr>
                    <a:xfrm>
                      <a:off x="0" y="0"/>
                      <a:ext cx="136388" cy="360000"/>
                    </a:xfrm>
                    <a:prstGeom prst="rect">
                      <a:avLst/>
                    </a:prstGeom>
                  </pic:spPr>
                </pic:pic>
              </a:graphicData>
            </a:graphic>
          </wp:inline>
        </w:drawing>
      </w:r>
      <w:r w:rsidRPr="00986CEF">
        <w:rPr>
          <w:rFonts w:hint="eastAsia"/>
          <w:lang w:eastAsia="zh-TW"/>
        </w:rPr>
        <w:t>（《合集》</w:t>
      </w:r>
      <w:r w:rsidRPr="00986CEF">
        <w:rPr>
          <w:vertAlign w:val="superscript"/>
          <w:lang w:eastAsia="zh-TW"/>
        </w:rPr>
        <w:endnoteReference w:id="24"/>
      </w:r>
      <w:r w:rsidRPr="00986CEF">
        <w:rPr>
          <w:rFonts w:hint="eastAsia"/>
          <w:lang w:eastAsia="zh-TW"/>
        </w:rPr>
        <w:t>3</w:t>
      </w:r>
      <w:r w:rsidRPr="00986CEF">
        <w:rPr>
          <w:lang w:eastAsia="zh-TW"/>
        </w:rPr>
        <w:t xml:space="preserve">2165 </w:t>
      </w:r>
      <w:r w:rsidRPr="00986CEF">
        <w:rPr>
          <w:rFonts w:hint="eastAsia"/>
          <w:lang w:eastAsia="zh-TW"/>
        </w:rPr>
        <w:t>師歷間）形，“象有罪女子頭戴刑具之形”</w:t>
      </w:r>
      <w:r w:rsidRPr="00986CEF">
        <w:rPr>
          <w:vertAlign w:val="superscript"/>
          <w:lang w:eastAsia="zh-TW"/>
        </w:rPr>
        <w:endnoteReference w:id="25"/>
      </w:r>
      <w:r w:rsidRPr="00986CEF">
        <w:rPr>
          <w:rFonts w:hint="eastAsia"/>
          <w:lang w:eastAsia="zh-TW"/>
        </w:rPr>
        <w:t>，其直觀體現的造字本義即{女奴}</w:t>
      </w:r>
      <w:r w:rsidRPr="00986CEF">
        <w:rPr>
          <w:vertAlign w:val="superscript"/>
          <w:lang w:eastAsia="zh-TW"/>
        </w:rPr>
        <w:endnoteReference w:id="26"/>
      </w:r>
      <w:r w:rsidRPr="00986CEF">
        <w:rPr>
          <w:rFonts w:hint="eastAsia"/>
          <w:lang w:eastAsia="zh-TW"/>
        </w:rPr>
        <w:t>，武丁時期的卜辭便有用其本義的（如《合集》6</w:t>
      </w:r>
      <w:r w:rsidRPr="00986CEF">
        <w:rPr>
          <w:lang w:eastAsia="zh-TW"/>
        </w:rPr>
        <w:t>29</w:t>
      </w:r>
      <w:r w:rsidRPr="00986CEF">
        <w:rPr>
          <w:rFonts w:hint="eastAsia"/>
          <w:lang w:eastAsia="zh-TW"/>
        </w:rPr>
        <w:t>、9</w:t>
      </w:r>
      <w:r w:rsidRPr="00986CEF">
        <w:rPr>
          <w:lang w:eastAsia="zh-TW"/>
        </w:rPr>
        <w:t>04</w:t>
      </w:r>
      <w:r w:rsidRPr="00986CEF">
        <w:rPr>
          <w:rFonts w:hint="eastAsia"/>
          <w:lang w:eastAsia="zh-TW"/>
        </w:rPr>
        <w:t>正）。但同一時期的卜辭中，“妾”字還有{商先公先王及諸子的配偶}的義項（如《合集》6</w:t>
      </w:r>
      <w:r w:rsidRPr="00986CEF">
        <w:rPr>
          <w:lang w:eastAsia="zh-TW"/>
        </w:rPr>
        <w:t>60</w:t>
      </w:r>
      <w:r w:rsidRPr="00986CEF">
        <w:rPr>
          <w:rFonts w:hint="eastAsia"/>
          <w:lang w:eastAsia="zh-TW"/>
        </w:rPr>
        <w:t>、2</w:t>
      </w:r>
      <w:r w:rsidRPr="00986CEF">
        <w:rPr>
          <w:lang w:eastAsia="zh-TW"/>
        </w:rPr>
        <w:t>386</w:t>
      </w:r>
      <w:r w:rsidRPr="00986CEF">
        <w:rPr>
          <w:rFonts w:hint="eastAsia"/>
          <w:lang w:eastAsia="zh-TW"/>
        </w:rPr>
        <w:t>）。{女奴}和{商先公先王及諸子的配偶}兩個義項共用一個詞。“妾”字的形體僅直觀體現了{女奴}的義項，而{商先公先王及諸子的配偶}的義項卻不能直觀體現。我們認爲，掌握了豐富語言的先民們在創造“妾”字時，是想要表達有關“妾”的全部義項的。他們創造了“妾”的符號，兼具數個義項。但是因爲最初所創造的文字形體有限，只得取具有明顯特徵的{女奴}的象形來表達有關“妾”的所有義項。向熹先生説：“卜辭裏已有相當數量的多義詞，有的多達五六個義項。”</w:t>
      </w:r>
      <w:r w:rsidRPr="00986CEF">
        <w:rPr>
          <w:vertAlign w:val="superscript"/>
          <w:lang w:eastAsia="zh-TW"/>
        </w:rPr>
        <w:endnoteReference w:id="27"/>
      </w:r>
      <w:r w:rsidRPr="00986CEF">
        <w:rPr>
          <w:rFonts w:hint="eastAsia"/>
          <w:lang w:eastAsia="zh-TW"/>
        </w:rPr>
        <w:t>正是因爲最初造</w:t>
      </w:r>
      <w:r w:rsidRPr="00986CEF">
        <w:rPr>
          <w:rFonts w:hint="eastAsia"/>
          <w:lang w:eastAsia="zh-TW"/>
        </w:rPr>
        <w:lastRenderedPageBreak/>
        <w:t>字時的文字形體，在視覺上所直觀體現的詞義的有限性，爲一字兼有多義提供了可能。需要指出的是，我們眼裏的這些如此細化的義項，在造字時代的人們眼裏未必如此細化，他們認識可能是籠統的，下文還會詳述此一問題。</w:t>
      </w:r>
    </w:p>
    <w:p w14:paraId="46C2F7F8" w14:textId="77777777" w:rsidR="00986CEF" w:rsidRPr="00986CEF" w:rsidRDefault="00986CEF" w:rsidP="00986CEF">
      <w:pPr>
        <w:pStyle w:val="ab"/>
        <w:ind w:firstLine="560"/>
        <w:rPr>
          <w:lang w:eastAsia="zh-TW"/>
        </w:rPr>
      </w:pPr>
      <w:r w:rsidRPr="00986CEF">
        <w:rPr>
          <w:rFonts w:hint="eastAsia"/>
          <w:lang w:eastAsia="zh-TW"/>
        </w:rPr>
        <w:t>上述情況類推到“反義共詞”現象，也是如此。在甲骨文材料中，“反義共詞”現象已見端倪。甲骨文的“入”字作</w:t>
      </w:r>
      <w:r w:rsidRPr="00986CEF">
        <w:rPr>
          <w:lang w:eastAsia="zh-TW"/>
        </w:rPr>
        <w:drawing>
          <wp:inline distT="0" distB="0" distL="0" distR="0" wp14:anchorId="38A03C3F" wp14:editId="7634221D">
            <wp:extent cx="383120" cy="360000"/>
            <wp:effectExtent l="0" t="0" r="0" b="2540"/>
            <wp:docPr id="886683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36713" name=""/>
                    <pic:cNvPicPr/>
                  </pic:nvPicPr>
                  <pic:blipFill>
                    <a:blip r:embed="rId9"/>
                    <a:stretch>
                      <a:fillRect/>
                    </a:stretch>
                  </pic:blipFill>
                  <pic:spPr>
                    <a:xfrm>
                      <a:off x="0" y="0"/>
                      <a:ext cx="383120" cy="360000"/>
                    </a:xfrm>
                    <a:prstGeom prst="rect">
                      <a:avLst/>
                    </a:prstGeom>
                  </pic:spPr>
                </pic:pic>
              </a:graphicData>
            </a:graphic>
          </wp:inline>
        </w:drawing>
      </w:r>
      <w:r w:rsidRPr="00986CEF">
        <w:rPr>
          <w:rFonts w:hint="eastAsia"/>
          <w:lang w:eastAsia="zh-TW"/>
        </w:rPr>
        <w:t>（《合集》1</w:t>
      </w:r>
      <w:r w:rsidRPr="00986CEF">
        <w:rPr>
          <w:lang w:eastAsia="zh-TW"/>
        </w:rPr>
        <w:t xml:space="preserve">535 </w:t>
      </w:r>
      <w:r w:rsidRPr="00986CEF">
        <w:rPr>
          <w:rFonts w:hint="eastAsia"/>
          <w:lang w:eastAsia="zh-TW"/>
        </w:rPr>
        <w:t>典賓）、</w:t>
      </w:r>
      <w:r w:rsidRPr="00986CEF">
        <w:rPr>
          <w:lang w:eastAsia="zh-TW"/>
        </w:rPr>
        <w:drawing>
          <wp:inline distT="0" distB="0" distL="0" distR="0" wp14:anchorId="490D9B96" wp14:editId="2A169672">
            <wp:extent cx="244738" cy="360000"/>
            <wp:effectExtent l="0" t="0" r="3175" b="2540"/>
            <wp:docPr id="776613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6026" name=""/>
                    <pic:cNvPicPr/>
                  </pic:nvPicPr>
                  <pic:blipFill>
                    <a:blip r:embed="rId10"/>
                    <a:stretch>
                      <a:fillRect/>
                    </a:stretch>
                  </pic:blipFill>
                  <pic:spPr>
                    <a:xfrm>
                      <a:off x="0" y="0"/>
                      <a:ext cx="244738" cy="360000"/>
                    </a:xfrm>
                    <a:prstGeom prst="rect">
                      <a:avLst/>
                    </a:prstGeom>
                  </pic:spPr>
                </pic:pic>
              </a:graphicData>
            </a:graphic>
          </wp:inline>
        </w:drawing>
      </w:r>
      <w:r w:rsidRPr="00986CEF">
        <w:rPr>
          <w:rFonts w:hint="eastAsia"/>
          <w:lang w:eastAsia="zh-TW"/>
        </w:rPr>
        <w:t>（《合集》8</w:t>
      </w:r>
      <w:r w:rsidRPr="00986CEF">
        <w:rPr>
          <w:lang w:eastAsia="zh-TW"/>
        </w:rPr>
        <w:t xml:space="preserve">597 </w:t>
      </w:r>
      <w:r w:rsidRPr="00986CEF">
        <w:rPr>
          <w:rFonts w:hint="eastAsia"/>
          <w:lang w:eastAsia="zh-TW"/>
        </w:rPr>
        <w:t>賓三）等形，林義光言：“象鋭端之形，形鋭乃可入物也。”</w:t>
      </w:r>
      <w:r w:rsidRPr="00986CEF">
        <w:rPr>
          <w:rFonts w:hint="eastAsia"/>
          <w:vertAlign w:val="superscript"/>
          <w:lang w:eastAsia="zh-TW"/>
        </w:rPr>
        <w:endnoteReference w:id="28"/>
      </w:r>
      <w:r w:rsidRPr="00986CEF">
        <w:rPr>
          <w:rFonts w:hint="eastAsia"/>
          <w:lang w:eastAsia="zh-TW"/>
        </w:rPr>
        <w:t>因此其本義是{進入}的意思。卜辭中用其本義的辭例如：</w:t>
      </w:r>
    </w:p>
    <w:p w14:paraId="40AFCD9E" w14:textId="77777777" w:rsidR="00986CEF" w:rsidRPr="00986CEF" w:rsidRDefault="00986CEF" w:rsidP="00D83289">
      <w:pPr>
        <w:pStyle w:val="a4"/>
        <w:numPr>
          <w:ilvl w:val="2"/>
          <w:numId w:val="48"/>
        </w:numPr>
        <w:spacing w:before="540" w:after="540"/>
        <w:ind w:firstLineChars="0"/>
      </w:pPr>
      <w:r w:rsidRPr="00986CEF">
        <w:rPr>
          <w:rFonts w:hint="eastAsia"/>
        </w:rPr>
        <w:t>貞：王勿入于東。</w:t>
      </w:r>
      <w:r w:rsidRPr="00986CEF">
        <w:tab/>
      </w:r>
      <w:r w:rsidRPr="00986CEF">
        <w:tab/>
      </w:r>
      <w:r w:rsidRPr="00986CEF">
        <w:tab/>
      </w:r>
      <w:r w:rsidRPr="00986CEF">
        <w:tab/>
      </w:r>
      <w:r w:rsidRPr="00986CEF">
        <w:tab/>
      </w:r>
      <w:r w:rsidRPr="00986CEF">
        <w:tab/>
      </w:r>
      <w:r w:rsidRPr="00986CEF">
        <w:rPr>
          <w:rFonts w:hint="eastAsia"/>
        </w:rPr>
        <w:t>（《合集》6</w:t>
      </w:r>
      <w:r w:rsidRPr="00986CEF">
        <w:t>43</w:t>
      </w:r>
      <w:r w:rsidRPr="00986CEF">
        <w:rPr>
          <w:rFonts w:hint="eastAsia"/>
        </w:rPr>
        <w:t>正 典賓）</w:t>
      </w:r>
    </w:p>
    <w:p w14:paraId="33700F26" w14:textId="77777777" w:rsidR="00986CEF" w:rsidRPr="00986CEF" w:rsidRDefault="00986CEF" w:rsidP="00D83289">
      <w:pPr>
        <w:pStyle w:val="a4"/>
        <w:numPr>
          <w:ilvl w:val="2"/>
          <w:numId w:val="48"/>
        </w:numPr>
        <w:spacing w:before="540" w:after="540"/>
        <w:ind w:firstLineChars="0"/>
      </w:pPr>
      <w:r w:rsidRPr="00986CEF">
        <w:rPr>
          <w:rFonts w:hint="eastAsia"/>
        </w:rPr>
        <w:t>庚戌卜，內貞：王入于商。亡作</w:t>
      </w:r>
      <w:r w:rsidRPr="00986CEF">
        <w:rPr>
          <w:rFonts w:ascii="SimSun-ExtB" w:eastAsia="SimSun-ExtB" w:hAnsi="SimSun-ExtB" w:cs="SimSun-ExtB" w:hint="eastAsia"/>
        </w:rPr>
        <w:t>𡆥</w:t>
      </w:r>
      <w:r w:rsidRPr="00986CEF">
        <w:rPr>
          <w:rFonts w:hint="eastAsia"/>
        </w:rPr>
        <w:t>。</w:t>
      </w:r>
      <w:r w:rsidRPr="00986CEF">
        <w:tab/>
      </w:r>
      <w:r w:rsidRPr="00986CEF">
        <w:tab/>
      </w:r>
      <w:r w:rsidRPr="00986CEF">
        <w:rPr>
          <w:rFonts w:hint="eastAsia"/>
        </w:rPr>
        <w:t>（《合集》7</w:t>
      </w:r>
      <w:r w:rsidRPr="00986CEF">
        <w:t>772</w:t>
      </w:r>
      <w:r w:rsidRPr="00986CEF">
        <w:rPr>
          <w:rFonts w:hint="eastAsia"/>
        </w:rPr>
        <w:t>正 典賓）</w:t>
      </w:r>
    </w:p>
    <w:p w14:paraId="6D01FC18" w14:textId="77777777" w:rsidR="00986CEF" w:rsidRPr="00986CEF" w:rsidRDefault="00986CEF" w:rsidP="00D83289">
      <w:pPr>
        <w:pStyle w:val="a4"/>
        <w:numPr>
          <w:ilvl w:val="2"/>
          <w:numId w:val="48"/>
        </w:numPr>
        <w:spacing w:before="540" w:after="540"/>
        <w:ind w:firstLineChars="0"/>
      </w:pPr>
      <w:r w:rsidRPr="00986CEF">
        <w:rPr>
          <w:rFonts w:hint="eastAsia"/>
        </w:rPr>
        <w:t>翌癸，夕入。</w:t>
      </w:r>
      <w:r w:rsidRPr="00986CEF">
        <w:tab/>
      </w:r>
      <w:r w:rsidRPr="00986CEF">
        <w:tab/>
      </w:r>
      <w:r w:rsidRPr="00986CEF">
        <w:tab/>
      </w:r>
      <w:r w:rsidRPr="00986CEF">
        <w:tab/>
      </w:r>
      <w:r w:rsidRPr="00986CEF">
        <w:tab/>
      </w:r>
      <w:r w:rsidRPr="00986CEF">
        <w:tab/>
      </w:r>
      <w:r w:rsidRPr="00986CEF">
        <w:tab/>
      </w:r>
      <w:r w:rsidRPr="00986CEF">
        <w:rPr>
          <w:rFonts w:hint="eastAsia"/>
        </w:rPr>
        <w:t>（《合集》1</w:t>
      </w:r>
      <w:r w:rsidRPr="00986CEF">
        <w:t>3555</w:t>
      </w:r>
      <w:r w:rsidRPr="00986CEF">
        <w:rPr>
          <w:rFonts w:hint="eastAsia"/>
        </w:rPr>
        <w:t>反 典賓）</w:t>
      </w:r>
    </w:p>
    <w:p w14:paraId="00311604" w14:textId="77777777" w:rsidR="00986CEF" w:rsidRPr="00986CEF" w:rsidRDefault="00986CEF" w:rsidP="00D83289">
      <w:pPr>
        <w:pStyle w:val="a4"/>
        <w:numPr>
          <w:ilvl w:val="2"/>
          <w:numId w:val="48"/>
        </w:numPr>
        <w:spacing w:before="540" w:after="540"/>
        <w:ind w:firstLineChars="0"/>
      </w:pPr>
      <w:r w:rsidRPr="00986CEF">
        <w:rPr>
          <w:rFonts w:hint="eastAsia"/>
        </w:rPr>
        <w:t>夕入，不雨。</w:t>
      </w:r>
      <w:r w:rsidRPr="00986CEF">
        <w:tab/>
      </w:r>
      <w:r w:rsidRPr="00986CEF">
        <w:tab/>
      </w:r>
      <w:r w:rsidRPr="00986CEF">
        <w:tab/>
      </w:r>
      <w:r w:rsidRPr="00986CEF">
        <w:tab/>
      </w:r>
      <w:r w:rsidRPr="00986CEF">
        <w:tab/>
      </w:r>
      <w:r w:rsidRPr="00986CEF">
        <w:tab/>
      </w:r>
      <w:r w:rsidRPr="00986CEF">
        <w:tab/>
      </w:r>
      <w:r w:rsidRPr="00986CEF">
        <w:rPr>
          <w:rFonts w:hint="eastAsia"/>
        </w:rPr>
        <w:t>（《合集》2</w:t>
      </w:r>
      <w:r w:rsidRPr="00986CEF">
        <w:t xml:space="preserve">7766 </w:t>
      </w:r>
      <w:r w:rsidRPr="00986CEF">
        <w:rPr>
          <w:rFonts w:hint="eastAsia"/>
        </w:rPr>
        <w:t>無名）</w:t>
      </w:r>
    </w:p>
    <w:p w14:paraId="76263D24" w14:textId="77777777" w:rsidR="00986CEF" w:rsidRPr="00986CEF" w:rsidRDefault="00986CEF" w:rsidP="00986CEF">
      <w:pPr>
        <w:pStyle w:val="ab"/>
        <w:ind w:firstLine="560"/>
        <w:rPr>
          <w:lang w:eastAsia="zh-TW"/>
        </w:rPr>
      </w:pPr>
      <w:r w:rsidRPr="00986CEF">
        <w:rPr>
          <w:rFonts w:hint="eastAsia"/>
          <w:lang w:eastAsia="zh-TW"/>
        </w:rPr>
        <w:t>例（1）“王勿入于東”意爲“王不要進入東面”；例（2）“王入于商”意爲“王進入商地”。例（3）（4）“夕入”用於紀時，表示</w:t>
      </w:r>
      <w:r w:rsidRPr="00986CEF">
        <w:rPr>
          <w:rFonts w:hint="eastAsia"/>
          <w:lang w:eastAsia="zh-TW"/>
        </w:rPr>
        <w:lastRenderedPageBreak/>
        <w:t>進入到了夜晚。除了{進入}義外，同一時期的卜辭中，“入”還有{貢獻、獻出}的意思，如：</w:t>
      </w:r>
    </w:p>
    <w:p w14:paraId="340475EE" w14:textId="77777777" w:rsidR="00986CEF" w:rsidRPr="00986CEF" w:rsidRDefault="00986CEF" w:rsidP="00D83289">
      <w:pPr>
        <w:pStyle w:val="a4"/>
        <w:numPr>
          <w:ilvl w:val="2"/>
          <w:numId w:val="48"/>
        </w:numPr>
        <w:spacing w:before="540" w:after="540"/>
        <w:ind w:firstLineChars="0"/>
      </w:pPr>
      <w:r w:rsidRPr="00986CEF">
        <w:rPr>
          <w:rFonts w:hint="eastAsia"/>
        </w:rPr>
        <w:t>雀入二百五十。</w:t>
      </w:r>
      <w:r w:rsidRPr="00986CEF">
        <w:tab/>
      </w:r>
      <w:r w:rsidRPr="00986CEF">
        <w:tab/>
      </w:r>
      <w:r w:rsidRPr="00986CEF">
        <w:tab/>
      </w:r>
      <w:r w:rsidRPr="00986CEF">
        <w:tab/>
      </w:r>
      <w:r w:rsidRPr="00986CEF">
        <w:tab/>
      </w:r>
      <w:r w:rsidRPr="00986CEF">
        <w:tab/>
      </w:r>
      <w:r w:rsidRPr="00986CEF">
        <w:tab/>
      </w:r>
      <w:r w:rsidRPr="00986CEF">
        <w:rPr>
          <w:rFonts w:hint="eastAsia"/>
        </w:rPr>
        <w:t>（《合集》7</w:t>
      </w:r>
      <w:r w:rsidRPr="00986CEF">
        <w:t>22</w:t>
      </w:r>
      <w:r w:rsidRPr="00986CEF">
        <w:rPr>
          <w:rFonts w:hint="eastAsia"/>
        </w:rPr>
        <w:t>反 賓一）</w:t>
      </w:r>
    </w:p>
    <w:p w14:paraId="2A2D0A3F" w14:textId="77777777" w:rsidR="00986CEF" w:rsidRPr="00986CEF" w:rsidRDefault="00986CEF" w:rsidP="00D83289">
      <w:pPr>
        <w:pStyle w:val="a4"/>
        <w:numPr>
          <w:ilvl w:val="2"/>
          <w:numId w:val="48"/>
        </w:numPr>
        <w:spacing w:before="540" w:after="540"/>
        <w:ind w:firstLineChars="0"/>
      </w:pPr>
      <w:r w:rsidRPr="00986CEF">
        <w:rPr>
          <w:rFonts w:hint="eastAsia"/>
        </w:rPr>
        <w:t>婦好入五十。</w:t>
      </w:r>
      <w:r w:rsidRPr="00986CEF">
        <w:tab/>
      </w:r>
      <w:r w:rsidRPr="00986CEF">
        <w:tab/>
      </w:r>
      <w:r w:rsidRPr="00986CEF">
        <w:tab/>
      </w:r>
      <w:r w:rsidRPr="00986CEF">
        <w:tab/>
      </w:r>
      <w:r w:rsidRPr="00986CEF">
        <w:tab/>
      </w:r>
      <w:r w:rsidRPr="00986CEF">
        <w:tab/>
      </w:r>
      <w:r w:rsidRPr="00986CEF">
        <w:tab/>
      </w:r>
      <w:r w:rsidRPr="00986CEF">
        <w:rPr>
          <w:rFonts w:hint="eastAsia"/>
        </w:rPr>
        <w:t>（《合集》1</w:t>
      </w:r>
      <w:r w:rsidRPr="00986CEF">
        <w:t>0133</w:t>
      </w:r>
      <w:r w:rsidRPr="00986CEF">
        <w:rPr>
          <w:rFonts w:hint="eastAsia"/>
        </w:rPr>
        <w:t>反 典賓）</w:t>
      </w:r>
    </w:p>
    <w:p w14:paraId="1CEEE41D" w14:textId="77777777" w:rsidR="00986CEF" w:rsidRPr="00986CEF" w:rsidRDefault="00986CEF" w:rsidP="00986CEF">
      <w:pPr>
        <w:pStyle w:val="ab"/>
        <w:ind w:firstLine="560"/>
        <w:rPr>
          <w:lang w:eastAsia="zh-TW"/>
        </w:rPr>
      </w:pPr>
      <w:r w:rsidRPr="00986CEF">
        <w:rPr>
          <w:rFonts w:hint="eastAsia"/>
          <w:lang w:eastAsia="zh-TW"/>
        </w:rPr>
        <w:t>例（</w:t>
      </w:r>
      <w:r w:rsidRPr="00986CEF">
        <w:rPr>
          <w:lang w:eastAsia="zh-TW"/>
        </w:rPr>
        <w:t>5</w:t>
      </w:r>
      <w:r w:rsidRPr="00986CEF">
        <w:rPr>
          <w:rFonts w:hint="eastAsia"/>
          <w:lang w:eastAsia="zh-TW"/>
        </w:rPr>
        <w:t>）（</w:t>
      </w:r>
      <w:r w:rsidRPr="00986CEF">
        <w:rPr>
          <w:lang w:eastAsia="zh-TW"/>
        </w:rPr>
        <w:t>6</w:t>
      </w:r>
      <w:r w:rsidRPr="00986CEF">
        <w:rPr>
          <w:rFonts w:hint="eastAsia"/>
          <w:lang w:eastAsia="zh-TW"/>
        </w:rPr>
        <w:t>）皆是指在祭祀場景中獻出祭牲或祭人。一個“入”字就兼具了{進入}和{貢獻、獻出}兩個相對的義項。可見，先民們在創造“入”字時，不僅想賦予該字在形體上所直觀體現的{進入}義，也賦予了其{貢獻、獻出}義。</w:t>
      </w:r>
    </w:p>
    <w:p w14:paraId="13B1DC1E" w14:textId="77777777" w:rsidR="00986CEF" w:rsidRPr="00986CEF" w:rsidRDefault="00986CEF" w:rsidP="00986CEF">
      <w:pPr>
        <w:pStyle w:val="ab"/>
        <w:ind w:firstLine="562"/>
        <w:rPr>
          <w:b/>
          <w:bCs/>
          <w:lang w:eastAsia="zh-TW"/>
        </w:rPr>
      </w:pPr>
      <w:r w:rsidRPr="00986CEF">
        <w:rPr>
          <w:rFonts w:hint="eastAsia"/>
          <w:b/>
          <w:bCs/>
          <w:lang w:eastAsia="zh-TW"/>
        </w:rPr>
        <w:t>（二）甲骨文形體所指稱詞義的模糊性和豐富性</w:t>
      </w:r>
    </w:p>
    <w:p w14:paraId="29562B7D" w14:textId="77777777" w:rsidR="00986CEF" w:rsidRPr="00986CEF" w:rsidRDefault="00986CEF" w:rsidP="00986CEF">
      <w:pPr>
        <w:pStyle w:val="ab"/>
        <w:ind w:firstLine="560"/>
        <w:rPr>
          <w:lang w:eastAsia="zh-TW"/>
        </w:rPr>
      </w:pPr>
      <w:r w:rsidRPr="00986CEF">
        <w:rPr>
          <w:rFonts w:hint="eastAsia"/>
          <w:lang w:eastAsia="zh-TW"/>
        </w:rPr>
        <w:t>造字時，甲骨文形體所指稱詞義的模糊性和豐富性是“反義共詞”產生的土壤。</w:t>
      </w:r>
    </w:p>
    <w:p w14:paraId="69CF23EA" w14:textId="77777777" w:rsidR="00986CEF" w:rsidRPr="00986CEF" w:rsidRDefault="00986CEF" w:rsidP="00986CEF">
      <w:pPr>
        <w:pStyle w:val="ab"/>
        <w:ind w:firstLine="560"/>
        <w:rPr>
          <w:lang w:eastAsia="zh-TW"/>
        </w:rPr>
      </w:pPr>
      <w:r w:rsidRPr="00986CEF">
        <w:rPr>
          <w:rFonts w:hint="eastAsia"/>
          <w:lang w:eastAsia="zh-TW"/>
        </w:rPr>
        <w:t>學者申小龍指出：“漢語是一種‘駢體模糊型’的語言（‘模糊’在這裏沒有絲毫的貶義，因爲現實往往是多義的，精確的語句不足以反映），它不急於對世界下一個精確的定義，而是把世界放在一種虛與實的互相映襯之中加以感受。”</w:t>
      </w:r>
      <w:r w:rsidRPr="00986CEF">
        <w:rPr>
          <w:vertAlign w:val="superscript"/>
          <w:lang w:eastAsia="zh-TW"/>
        </w:rPr>
        <w:endnoteReference w:id="29"/>
      </w:r>
      <w:r w:rsidRPr="00986CEF">
        <w:rPr>
          <w:rFonts w:hint="eastAsia"/>
          <w:lang w:eastAsia="zh-TW"/>
        </w:rPr>
        <w:t>甲骨文中有很多文字的形體體現</w:t>
      </w:r>
      <w:r w:rsidRPr="00986CEF">
        <w:rPr>
          <w:rFonts w:hint="eastAsia"/>
          <w:lang w:eastAsia="zh-TW"/>
        </w:rPr>
        <w:lastRenderedPageBreak/>
        <w:t>出了我們語言的模糊性和豐富性。例如，“及”字的甲骨文作</w:t>
      </w:r>
      <w:r w:rsidRPr="00986CEF">
        <w:rPr>
          <w:lang w:eastAsia="zh-TW"/>
        </w:rPr>
        <w:drawing>
          <wp:inline distT="0" distB="0" distL="0" distR="0" wp14:anchorId="3F965BCC" wp14:editId="064C666C">
            <wp:extent cx="170449" cy="360000"/>
            <wp:effectExtent l="0" t="0" r="1270" b="2540"/>
            <wp:docPr id="975213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13743" name=""/>
                    <pic:cNvPicPr/>
                  </pic:nvPicPr>
                  <pic:blipFill>
                    <a:blip r:embed="rId11">
                      <a:biLevel thresh="25000"/>
                    </a:blip>
                    <a:stretch>
                      <a:fillRect/>
                    </a:stretch>
                  </pic:blipFill>
                  <pic:spPr>
                    <a:xfrm>
                      <a:off x="0" y="0"/>
                      <a:ext cx="170449" cy="360000"/>
                    </a:xfrm>
                    <a:prstGeom prst="rect">
                      <a:avLst/>
                    </a:prstGeom>
                  </pic:spPr>
                </pic:pic>
              </a:graphicData>
            </a:graphic>
          </wp:inline>
        </w:drawing>
      </w:r>
      <w:r w:rsidRPr="00986CEF">
        <w:rPr>
          <w:rFonts w:hint="eastAsia"/>
          <w:lang w:eastAsia="zh-TW"/>
        </w:rPr>
        <w:t>（《合集》3</w:t>
      </w:r>
      <w:r w:rsidRPr="00986CEF">
        <w:rPr>
          <w:lang w:eastAsia="zh-TW"/>
        </w:rPr>
        <w:t xml:space="preserve">364 </w:t>
      </w:r>
      <w:r w:rsidRPr="00986CEF">
        <w:rPr>
          <w:rFonts w:hint="eastAsia"/>
          <w:lang w:eastAsia="zh-TW"/>
        </w:rPr>
        <w:t>典賓）、</w:t>
      </w:r>
      <w:r w:rsidRPr="00986CEF">
        <w:rPr>
          <w:lang w:eastAsia="zh-TW"/>
        </w:rPr>
        <w:drawing>
          <wp:inline distT="0" distB="0" distL="0" distR="0" wp14:anchorId="3C01F163" wp14:editId="319626A0">
            <wp:extent cx="119038" cy="360000"/>
            <wp:effectExtent l="0" t="0" r="0" b="2540"/>
            <wp:docPr id="1490300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00362" name=""/>
                    <pic:cNvPicPr/>
                  </pic:nvPicPr>
                  <pic:blipFill>
                    <a:blip r:embed="rId12">
                      <a:biLevel thresh="25000"/>
                    </a:blip>
                    <a:stretch>
                      <a:fillRect/>
                    </a:stretch>
                  </pic:blipFill>
                  <pic:spPr>
                    <a:xfrm>
                      <a:off x="0" y="0"/>
                      <a:ext cx="119038" cy="360000"/>
                    </a:xfrm>
                    <a:prstGeom prst="rect">
                      <a:avLst/>
                    </a:prstGeom>
                  </pic:spPr>
                </pic:pic>
              </a:graphicData>
            </a:graphic>
          </wp:inline>
        </w:drawing>
      </w:r>
      <w:r w:rsidRPr="00986CEF">
        <w:rPr>
          <w:rFonts w:hint="eastAsia"/>
          <w:lang w:eastAsia="zh-TW"/>
        </w:rPr>
        <w:t>（《合集》2</w:t>
      </w:r>
      <w:r w:rsidRPr="00986CEF">
        <w:rPr>
          <w:lang w:eastAsia="zh-TW"/>
        </w:rPr>
        <w:t xml:space="preserve">7987 </w:t>
      </w:r>
      <w:r w:rsidRPr="00986CEF">
        <w:rPr>
          <w:rFonts w:hint="eastAsia"/>
          <w:lang w:eastAsia="zh-TW"/>
        </w:rPr>
        <w:t>無名）等形，“甲骨文‘及’字从又从人，戴侗《六書故》謂‘从人而又屬其後，追及前人也’，其説與古文字形體合”</w:t>
      </w:r>
      <w:r w:rsidRPr="00986CEF">
        <w:rPr>
          <w:vertAlign w:val="superscript"/>
          <w:lang w:eastAsia="zh-TW"/>
        </w:rPr>
        <w:endnoteReference w:id="30"/>
      </w:r>
      <w:r w:rsidRPr="00986CEF">
        <w:rPr>
          <w:rFonts w:hint="eastAsia"/>
          <w:lang w:eastAsia="zh-TW"/>
        </w:rPr>
        <w:t>。“及”字的形體象用手去抓住前人之形，故而涵蓋了{逮住}（如《合集》6</w:t>
      </w:r>
      <w:r w:rsidRPr="00986CEF">
        <w:rPr>
          <w:lang w:eastAsia="zh-TW"/>
        </w:rPr>
        <w:t>946</w:t>
      </w:r>
      <w:r w:rsidRPr="00986CEF">
        <w:rPr>
          <w:rFonts w:hint="eastAsia"/>
          <w:lang w:eastAsia="zh-TW"/>
        </w:rPr>
        <w:t>正、5</w:t>
      </w:r>
      <w:r w:rsidRPr="00986CEF">
        <w:rPr>
          <w:lang w:eastAsia="zh-TW"/>
        </w:rPr>
        <w:t>873</w:t>
      </w:r>
      <w:r w:rsidRPr="00986CEF">
        <w:rPr>
          <w:rFonts w:hint="eastAsia"/>
          <w:lang w:eastAsia="zh-TW"/>
        </w:rPr>
        <w:t>）和{到達}（如《合集》9</w:t>
      </w:r>
      <w:r w:rsidRPr="00986CEF">
        <w:rPr>
          <w:lang w:eastAsia="zh-TW"/>
        </w:rPr>
        <w:t>40</w:t>
      </w:r>
      <w:r w:rsidRPr="00986CEF">
        <w:rPr>
          <w:rFonts w:hint="eastAsia"/>
          <w:lang w:eastAsia="zh-TW"/>
        </w:rPr>
        <w:t>、6</w:t>
      </w:r>
      <w:r w:rsidRPr="00986CEF">
        <w:rPr>
          <w:lang w:eastAsia="zh-TW"/>
        </w:rPr>
        <w:t>339</w:t>
      </w:r>
      <w:r w:rsidRPr="00986CEF">
        <w:rPr>
          <w:rFonts w:hint="eastAsia"/>
          <w:lang w:eastAsia="zh-TW"/>
        </w:rPr>
        <w:t>）兩個義項。這兩個義項在同一個形體上的界限並不是很分明，由此可見甲骨文形體所指稱詞義既有模糊性和又有豐富性。</w:t>
      </w:r>
    </w:p>
    <w:p w14:paraId="4AA1A91D" w14:textId="77777777" w:rsidR="00986CEF" w:rsidRPr="00986CEF" w:rsidRDefault="00986CEF" w:rsidP="00986CEF">
      <w:pPr>
        <w:pStyle w:val="ab"/>
        <w:ind w:firstLine="560"/>
        <w:rPr>
          <w:lang w:eastAsia="zh-TW"/>
        </w:rPr>
      </w:pPr>
      <w:r w:rsidRPr="00986CEF">
        <w:rPr>
          <w:rFonts w:hint="eastAsia"/>
          <w:lang w:eastAsia="zh-TW"/>
        </w:rPr>
        <w:t>“反義共詞”現象亦是如此。“受”的甲骨文作</w:t>
      </w:r>
      <w:r w:rsidRPr="00986CEF">
        <w:rPr>
          <w:lang w:eastAsia="zh-TW"/>
        </w:rPr>
        <w:drawing>
          <wp:inline distT="0" distB="0" distL="0" distR="0" wp14:anchorId="6854A2C9" wp14:editId="11F5F0FC">
            <wp:extent cx="121614" cy="360000"/>
            <wp:effectExtent l="0" t="0" r="0" b="2540"/>
            <wp:docPr id="8388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167" name=""/>
                    <pic:cNvPicPr/>
                  </pic:nvPicPr>
                  <pic:blipFill>
                    <a:blip r:embed="rId13">
                      <a:biLevel thresh="25000"/>
                    </a:blip>
                    <a:stretch>
                      <a:fillRect/>
                    </a:stretch>
                  </pic:blipFill>
                  <pic:spPr>
                    <a:xfrm>
                      <a:off x="0" y="0"/>
                      <a:ext cx="121614" cy="360000"/>
                    </a:xfrm>
                    <a:prstGeom prst="rect">
                      <a:avLst/>
                    </a:prstGeom>
                  </pic:spPr>
                </pic:pic>
              </a:graphicData>
            </a:graphic>
          </wp:inline>
        </w:drawing>
      </w:r>
      <w:r w:rsidRPr="00986CEF">
        <w:rPr>
          <w:rFonts w:hint="eastAsia"/>
          <w:lang w:eastAsia="zh-TW"/>
        </w:rPr>
        <w:t>（《合集》9</w:t>
      </w:r>
      <w:r w:rsidRPr="00986CEF">
        <w:rPr>
          <w:lang w:eastAsia="zh-TW"/>
        </w:rPr>
        <w:t xml:space="preserve">803 </w:t>
      </w:r>
      <w:r w:rsidRPr="00986CEF">
        <w:rPr>
          <w:rFonts w:hint="eastAsia"/>
          <w:lang w:eastAsia="zh-TW"/>
        </w:rPr>
        <w:t>師賓間）、</w:t>
      </w:r>
      <w:r w:rsidRPr="00986CEF">
        <w:rPr>
          <w:lang w:eastAsia="zh-TW"/>
        </w:rPr>
        <w:drawing>
          <wp:inline distT="0" distB="0" distL="0" distR="0" wp14:anchorId="232A9F9B" wp14:editId="3539CFA8">
            <wp:extent cx="142620" cy="360000"/>
            <wp:effectExtent l="0" t="0" r="0" b="2540"/>
            <wp:docPr id="1856721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21911" name=""/>
                    <pic:cNvPicPr/>
                  </pic:nvPicPr>
                  <pic:blipFill>
                    <a:blip r:embed="rId14">
                      <a:biLevel thresh="50000"/>
                    </a:blip>
                    <a:stretch>
                      <a:fillRect/>
                    </a:stretch>
                  </pic:blipFill>
                  <pic:spPr>
                    <a:xfrm>
                      <a:off x="0" y="0"/>
                      <a:ext cx="142620" cy="360000"/>
                    </a:xfrm>
                    <a:prstGeom prst="rect">
                      <a:avLst/>
                    </a:prstGeom>
                  </pic:spPr>
                </pic:pic>
              </a:graphicData>
            </a:graphic>
          </wp:inline>
        </w:drawing>
      </w:r>
      <w:r w:rsidRPr="00986CEF">
        <w:rPr>
          <w:rFonts w:hint="eastAsia"/>
          <w:lang w:eastAsia="zh-TW"/>
        </w:rPr>
        <w:t>（《合集》2</w:t>
      </w:r>
      <w:r w:rsidRPr="00986CEF">
        <w:rPr>
          <w:lang w:eastAsia="zh-TW"/>
        </w:rPr>
        <w:t xml:space="preserve">8014 </w:t>
      </w:r>
      <w:r w:rsidRPr="00986CEF">
        <w:rPr>
          <w:rFonts w:hint="eastAsia"/>
          <w:lang w:eastAsia="zh-TW"/>
        </w:rPr>
        <w:t>無名）等形，楊樹達先生説：“（受字）从二又从舟，蓋象甲以一手授舟，乙以一手受之，故字兼授受二義。”</w:t>
      </w:r>
      <w:r w:rsidRPr="00986CEF">
        <w:rPr>
          <w:vertAlign w:val="superscript"/>
          <w:lang w:eastAsia="zh-TW"/>
        </w:rPr>
        <w:endnoteReference w:id="31"/>
      </w:r>
      <w:r w:rsidRPr="00986CEF">
        <w:rPr>
          <w:rFonts w:hint="eastAsia"/>
          <w:lang w:eastAsia="zh-TW"/>
        </w:rPr>
        <w:t>“受”作{授予}義的例子如：</w:t>
      </w:r>
    </w:p>
    <w:p w14:paraId="09CEF4A7" w14:textId="398C4FDC" w:rsidR="00986CEF" w:rsidRPr="00986CEF" w:rsidRDefault="00986CEF" w:rsidP="00D83289">
      <w:pPr>
        <w:pStyle w:val="a4"/>
        <w:numPr>
          <w:ilvl w:val="2"/>
          <w:numId w:val="48"/>
        </w:numPr>
        <w:spacing w:before="540" w:after="540"/>
        <w:ind w:firstLineChars="0"/>
      </w:pPr>
      <w:r w:rsidRPr="00986CEF">
        <w:rPr>
          <w:rFonts w:hint="eastAsia"/>
        </w:rPr>
        <w:t>甲辰卜，爭貞：我伐馬方，帝受我佑。一月。（《合集》6664正 賓一）</w:t>
      </w:r>
    </w:p>
    <w:p w14:paraId="638C5081" w14:textId="56E06EF5" w:rsidR="00986CEF" w:rsidRPr="00986CEF" w:rsidRDefault="00986CEF" w:rsidP="00D83289">
      <w:pPr>
        <w:pStyle w:val="a4"/>
        <w:numPr>
          <w:ilvl w:val="2"/>
          <w:numId w:val="48"/>
        </w:numPr>
        <w:spacing w:before="540" w:after="540"/>
        <w:ind w:firstLineChars="0"/>
      </w:pPr>
      <w:r w:rsidRPr="00986CEF">
        <w:rPr>
          <w:rFonts w:hint="eastAsia"/>
        </w:rPr>
        <w:t>丙子卜，韋貞：我受年？二告。丙字卜，韋貞：我卜其受年？（《合集》5</w:t>
      </w:r>
      <w:r w:rsidRPr="00986CEF">
        <w:t xml:space="preserve">611 </w:t>
      </w:r>
      <w:r w:rsidRPr="00986CEF">
        <w:rPr>
          <w:rFonts w:hint="eastAsia"/>
        </w:rPr>
        <w:t>典賓）</w:t>
      </w:r>
    </w:p>
    <w:p w14:paraId="18F95AA7" w14:textId="77777777" w:rsidR="00986CEF" w:rsidRPr="00986CEF" w:rsidRDefault="00986CEF" w:rsidP="00986CEF">
      <w:pPr>
        <w:pStyle w:val="ab"/>
        <w:ind w:firstLine="560"/>
        <w:rPr>
          <w:lang w:eastAsia="zh-TW"/>
        </w:rPr>
      </w:pPr>
      <w:r w:rsidRPr="00986CEF">
        <w:rPr>
          <w:rFonts w:hint="eastAsia"/>
          <w:lang w:eastAsia="zh-TW"/>
        </w:rPr>
        <w:t>例（7）卜問“帝是否授予我福佑”，例（8）卜問“帝或神能否授予我好的農業收成”。“受”作{接受}義的辭例如：</w:t>
      </w:r>
    </w:p>
    <w:p w14:paraId="311780D3" w14:textId="77777777" w:rsidR="00986CEF" w:rsidRPr="00986CEF" w:rsidRDefault="00986CEF" w:rsidP="00D83289">
      <w:pPr>
        <w:pStyle w:val="a4"/>
        <w:numPr>
          <w:ilvl w:val="2"/>
          <w:numId w:val="48"/>
        </w:numPr>
        <w:spacing w:before="540" w:after="540"/>
        <w:ind w:firstLineChars="0"/>
      </w:pPr>
      <w:r w:rsidRPr="00986CEF">
        <w:rPr>
          <w:rFonts w:hint="eastAsia"/>
        </w:rPr>
        <w:lastRenderedPageBreak/>
        <w:t>叀牛，王此受佑？</w:t>
      </w:r>
      <w:r w:rsidRPr="00986CEF">
        <w:tab/>
      </w:r>
      <w:r w:rsidRPr="00986CEF">
        <w:tab/>
      </w:r>
      <w:r w:rsidRPr="00986CEF">
        <w:tab/>
      </w:r>
      <w:r w:rsidRPr="00986CEF">
        <w:tab/>
      </w:r>
      <w:r w:rsidRPr="00986CEF">
        <w:tab/>
      </w:r>
      <w:r w:rsidRPr="00986CEF">
        <w:tab/>
      </w:r>
      <w:r w:rsidRPr="00986CEF">
        <w:rPr>
          <w:rFonts w:hint="eastAsia"/>
        </w:rPr>
        <w:t>（《合集》2</w:t>
      </w:r>
      <w:r w:rsidRPr="00986CEF">
        <w:t xml:space="preserve">7040 </w:t>
      </w:r>
      <w:r w:rsidRPr="00986CEF">
        <w:rPr>
          <w:rFonts w:hint="eastAsia"/>
        </w:rPr>
        <w:t>無名）</w:t>
      </w:r>
    </w:p>
    <w:p w14:paraId="6DB5F56B" w14:textId="77777777" w:rsidR="00986CEF" w:rsidRPr="00986CEF" w:rsidRDefault="00986CEF" w:rsidP="00D83289">
      <w:pPr>
        <w:pStyle w:val="a4"/>
        <w:numPr>
          <w:ilvl w:val="2"/>
          <w:numId w:val="48"/>
        </w:numPr>
        <w:spacing w:before="540" w:after="540"/>
        <w:ind w:firstLineChars="0"/>
      </w:pPr>
      <w:r w:rsidRPr="00986CEF">
        <w:rPr>
          <w:rFonts w:hint="eastAsia"/>
        </w:rPr>
        <w:t>受于宗北。</w:t>
      </w:r>
      <w:r w:rsidRPr="00986CEF">
        <w:tab/>
      </w:r>
      <w:r w:rsidRPr="00986CEF">
        <w:tab/>
      </w:r>
      <w:r w:rsidRPr="00986CEF">
        <w:tab/>
      </w:r>
      <w:r w:rsidRPr="00986CEF">
        <w:tab/>
      </w:r>
      <w:r w:rsidRPr="00986CEF">
        <w:tab/>
      </w:r>
      <w:r w:rsidRPr="00986CEF">
        <w:tab/>
      </w:r>
      <w:r w:rsidRPr="00986CEF">
        <w:tab/>
      </w:r>
      <w:r w:rsidRPr="00986CEF">
        <w:rPr>
          <w:rFonts w:hint="eastAsia"/>
        </w:rPr>
        <w:t>（《合集》2</w:t>
      </w:r>
      <w:r w:rsidRPr="00986CEF">
        <w:t xml:space="preserve">2072 </w:t>
      </w:r>
      <w:r w:rsidRPr="00986CEF">
        <w:rPr>
          <w:rFonts w:hint="eastAsia"/>
        </w:rPr>
        <w:t>午）</w:t>
      </w:r>
    </w:p>
    <w:p w14:paraId="7894F0BF" w14:textId="77777777" w:rsidR="00986CEF" w:rsidRPr="00986CEF" w:rsidRDefault="00986CEF" w:rsidP="00986CEF">
      <w:pPr>
        <w:pStyle w:val="ab"/>
        <w:ind w:firstLine="560"/>
        <w:rPr>
          <w:lang w:eastAsia="zh-TW"/>
        </w:rPr>
      </w:pPr>
      <w:r w:rsidRPr="00986CEF">
        <w:rPr>
          <w:rFonts w:hint="eastAsia"/>
          <w:lang w:eastAsia="zh-TW"/>
        </w:rPr>
        <w:t>例（9）“王此受佑”意爲“王接受神的福佑”，例（1</w:t>
      </w:r>
      <w:r w:rsidRPr="00986CEF">
        <w:rPr>
          <w:lang w:eastAsia="zh-TW"/>
        </w:rPr>
        <w:t>0</w:t>
      </w:r>
      <w:r w:rsidRPr="00986CEF">
        <w:rPr>
          <w:rFonts w:hint="eastAsia"/>
          <w:lang w:eastAsia="zh-TW"/>
        </w:rPr>
        <w:t>）意爲“在宗北接受某事物”。通過“受”的形體可以看出，其所象之物蘊含的意義不是非常明確，既可以有{授予}義，也可以有{接受}義，二義相反而共用一詞</w:t>
      </w:r>
      <w:r w:rsidRPr="00986CEF">
        <w:rPr>
          <w:vertAlign w:val="superscript"/>
          <w:lang w:eastAsia="zh-TW"/>
        </w:rPr>
        <w:endnoteReference w:id="32"/>
      </w:r>
      <w:r w:rsidRPr="00986CEF">
        <w:rPr>
          <w:rFonts w:hint="eastAsia"/>
          <w:lang w:eastAsia="zh-TW"/>
        </w:rPr>
        <w:t>，體現出了“受”字表意的模糊性和豐富性。</w:t>
      </w:r>
    </w:p>
    <w:p w14:paraId="04E4B85D" w14:textId="77777777" w:rsidR="00986CEF" w:rsidRPr="00986CEF" w:rsidRDefault="00986CEF" w:rsidP="00986CEF">
      <w:pPr>
        <w:pStyle w:val="ab"/>
        <w:ind w:firstLine="560"/>
        <w:rPr>
          <w:lang w:eastAsia="zh-TW"/>
        </w:rPr>
      </w:pPr>
      <w:r w:rsidRPr="00986CEF">
        <w:rPr>
          <w:rFonts w:hint="eastAsia"/>
          <w:lang w:eastAsia="zh-TW"/>
        </w:rPr>
        <w:t>又如甲骨文的“以”字作</w:t>
      </w:r>
      <w:r w:rsidRPr="00986CEF">
        <w:rPr>
          <w:lang w:eastAsia="zh-TW"/>
        </w:rPr>
        <w:drawing>
          <wp:inline distT="0" distB="0" distL="0" distR="0" wp14:anchorId="05E02B6A" wp14:editId="03EE2AA6">
            <wp:extent cx="167648" cy="360000"/>
            <wp:effectExtent l="0" t="0" r="3810" b="2540"/>
            <wp:docPr id="1716841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41514" name=""/>
                    <pic:cNvPicPr/>
                  </pic:nvPicPr>
                  <pic:blipFill>
                    <a:blip r:embed="rId15">
                      <a:biLevel thresh="75000"/>
                    </a:blip>
                    <a:stretch>
                      <a:fillRect/>
                    </a:stretch>
                  </pic:blipFill>
                  <pic:spPr>
                    <a:xfrm>
                      <a:off x="0" y="0"/>
                      <a:ext cx="167648" cy="360000"/>
                    </a:xfrm>
                    <a:prstGeom prst="rect">
                      <a:avLst/>
                    </a:prstGeom>
                  </pic:spPr>
                </pic:pic>
              </a:graphicData>
            </a:graphic>
          </wp:inline>
        </w:drawing>
      </w:r>
      <w:r w:rsidRPr="00986CEF">
        <w:rPr>
          <w:rFonts w:hint="eastAsia"/>
          <w:lang w:eastAsia="zh-TW"/>
        </w:rPr>
        <w:t>（《合集》1</w:t>
      </w:r>
      <w:r w:rsidRPr="00986CEF">
        <w:rPr>
          <w:lang w:eastAsia="zh-TW"/>
        </w:rPr>
        <w:t xml:space="preserve">9777 </w:t>
      </w:r>
      <w:r w:rsidRPr="00986CEF">
        <w:rPr>
          <w:rFonts w:hint="eastAsia"/>
          <w:lang w:eastAsia="zh-TW"/>
        </w:rPr>
        <w:t>師肥）、</w:t>
      </w:r>
      <w:r w:rsidRPr="00986CEF">
        <w:rPr>
          <w:lang w:eastAsia="zh-TW"/>
        </w:rPr>
        <w:drawing>
          <wp:inline distT="0" distB="0" distL="0" distR="0" wp14:anchorId="62E6CB10" wp14:editId="4B091DD2">
            <wp:extent cx="156000" cy="360000"/>
            <wp:effectExtent l="0" t="0" r="0" b="2540"/>
            <wp:docPr id="161923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39538" name=""/>
                    <pic:cNvPicPr/>
                  </pic:nvPicPr>
                  <pic:blipFill>
                    <a:blip r:embed="rId16">
                      <a:biLevel thresh="75000"/>
                    </a:blip>
                    <a:stretch>
                      <a:fillRect/>
                    </a:stretch>
                  </pic:blipFill>
                  <pic:spPr>
                    <a:xfrm>
                      <a:off x="0" y="0"/>
                      <a:ext cx="156000" cy="360000"/>
                    </a:xfrm>
                    <a:prstGeom prst="rect">
                      <a:avLst/>
                    </a:prstGeom>
                  </pic:spPr>
                </pic:pic>
              </a:graphicData>
            </a:graphic>
          </wp:inline>
        </w:drawing>
      </w:r>
      <w:r w:rsidRPr="00986CEF">
        <w:rPr>
          <w:rFonts w:hint="eastAsia"/>
          <w:lang w:eastAsia="zh-TW"/>
        </w:rPr>
        <w:t>（《合集》2</w:t>
      </w:r>
      <w:r w:rsidRPr="00986CEF">
        <w:rPr>
          <w:lang w:eastAsia="zh-TW"/>
        </w:rPr>
        <w:t xml:space="preserve">1284 </w:t>
      </w:r>
      <w:r w:rsidRPr="00986CEF">
        <w:rPr>
          <w:rFonts w:hint="eastAsia"/>
          <w:lang w:eastAsia="zh-TW"/>
        </w:rPr>
        <w:t>師）等形，裘錫圭</w:t>
      </w:r>
      <w:r w:rsidRPr="00986CEF">
        <w:rPr>
          <w:vertAlign w:val="superscript"/>
          <w:lang w:eastAsia="zh-TW"/>
        </w:rPr>
        <w:endnoteReference w:id="33"/>
      </w:r>
      <w:r w:rsidRPr="00986CEF">
        <w:rPr>
          <w:rFonts w:hint="eastAsia"/>
          <w:lang w:eastAsia="zh-TW"/>
        </w:rPr>
        <w:t>、季旭昇</w:t>
      </w:r>
      <w:r w:rsidRPr="00986CEF">
        <w:rPr>
          <w:vertAlign w:val="superscript"/>
          <w:lang w:eastAsia="zh-TW"/>
        </w:rPr>
        <w:endnoteReference w:id="34"/>
      </w:r>
      <w:r w:rsidRPr="00986CEF">
        <w:rPr>
          <w:rFonts w:hint="eastAsia"/>
          <w:lang w:eastAsia="zh-TW"/>
        </w:rPr>
        <w:t>、徐超</w:t>
      </w:r>
      <w:r w:rsidRPr="00986CEF">
        <w:rPr>
          <w:vertAlign w:val="superscript"/>
          <w:lang w:eastAsia="zh-TW"/>
        </w:rPr>
        <w:endnoteReference w:id="35"/>
      </w:r>
      <w:r w:rsidRPr="00986CEF">
        <w:rPr>
          <w:rFonts w:hint="eastAsia"/>
          <w:lang w:eastAsia="zh-TW"/>
        </w:rPr>
        <w:t>等學者認爲，象人手提攜或拿着某物之形，因此其本義是{帶領}的意思。卜辭中用其本義的辭例如：</w:t>
      </w:r>
    </w:p>
    <w:p w14:paraId="55818DB1" w14:textId="77777777" w:rsidR="00986CEF" w:rsidRPr="00986CEF" w:rsidRDefault="00986CEF" w:rsidP="00D83289">
      <w:pPr>
        <w:pStyle w:val="a4"/>
        <w:numPr>
          <w:ilvl w:val="2"/>
          <w:numId w:val="48"/>
        </w:numPr>
        <w:spacing w:before="540" w:after="540"/>
        <w:ind w:firstLineChars="0"/>
      </w:pPr>
      <w:r w:rsidRPr="00986CEF">
        <w:rPr>
          <w:rFonts w:hint="eastAsia"/>
        </w:rPr>
        <w:t>戊寅卜，賓貞：王往以衆黍于囧。</w:t>
      </w:r>
      <w:r w:rsidRPr="00986CEF">
        <w:tab/>
      </w:r>
      <w:r w:rsidRPr="00986CEF">
        <w:tab/>
      </w:r>
      <w:r w:rsidRPr="00986CEF">
        <w:rPr>
          <w:rFonts w:hint="eastAsia"/>
        </w:rPr>
        <w:t>（《合集》1</w:t>
      </w:r>
      <w:r w:rsidRPr="00986CEF">
        <w:t xml:space="preserve">0 </w:t>
      </w:r>
      <w:r w:rsidRPr="00986CEF">
        <w:rPr>
          <w:rFonts w:hint="eastAsia"/>
        </w:rPr>
        <w:t>賓三）</w:t>
      </w:r>
    </w:p>
    <w:p w14:paraId="6625AB32" w14:textId="77777777" w:rsidR="00986CEF" w:rsidRPr="00986CEF" w:rsidRDefault="00986CEF" w:rsidP="00D83289">
      <w:pPr>
        <w:pStyle w:val="a4"/>
        <w:numPr>
          <w:ilvl w:val="2"/>
          <w:numId w:val="48"/>
        </w:numPr>
        <w:spacing w:before="540" w:after="540"/>
        <w:ind w:firstLineChars="0"/>
      </w:pPr>
      <w:r w:rsidRPr="00986CEF">
        <w:rPr>
          <w:rFonts w:hint="eastAsia"/>
        </w:rPr>
        <w:t>丁未卜，爭貞：勿令</w:t>
      </w:r>
      <w:r w:rsidRPr="00986CEF">
        <w:rPr>
          <w:rFonts w:ascii="宋体" w:eastAsia="宋体" w:hAnsi="宋体" w:cs="宋体" w:hint="eastAsia"/>
        </w:rPr>
        <w:t>𬯭</w:t>
      </w:r>
      <w:r w:rsidRPr="00986CEF">
        <w:rPr>
          <w:rFonts w:hint="eastAsia"/>
        </w:rPr>
        <w:t>以衆伐</w:t>
      </w:r>
      <w:r w:rsidRPr="00986CEF">
        <w:rPr>
          <w:rFonts w:ascii="SimSun-ExtB" w:eastAsia="SimSun-ExtB" w:hAnsi="SimSun-ExtB" w:cs="SimSun-ExtB" w:hint="eastAsia"/>
        </w:rPr>
        <w:t>𢀛</w:t>
      </w:r>
      <w:r w:rsidRPr="00986CEF">
        <w:tab/>
      </w:r>
      <w:r w:rsidRPr="00986CEF">
        <w:tab/>
      </w:r>
      <w:r w:rsidRPr="00986CEF">
        <w:tab/>
      </w:r>
      <w:r w:rsidRPr="00986CEF">
        <w:rPr>
          <w:rFonts w:hint="eastAsia"/>
        </w:rPr>
        <w:t>（《合集》2</w:t>
      </w:r>
      <w:r w:rsidRPr="00986CEF">
        <w:t xml:space="preserve">6 </w:t>
      </w:r>
      <w:r w:rsidRPr="00986CEF">
        <w:rPr>
          <w:rFonts w:hint="eastAsia"/>
        </w:rPr>
        <w:t>典賓）</w:t>
      </w:r>
    </w:p>
    <w:p w14:paraId="4E258C95" w14:textId="77777777" w:rsidR="00986CEF" w:rsidRPr="00986CEF" w:rsidRDefault="00986CEF" w:rsidP="00986CEF">
      <w:pPr>
        <w:pStyle w:val="ab"/>
        <w:ind w:firstLine="560"/>
        <w:rPr>
          <w:lang w:eastAsia="zh-TW"/>
        </w:rPr>
      </w:pPr>
      <w:r w:rsidRPr="00986CEF">
        <w:rPr>
          <w:rFonts w:hint="eastAsia"/>
          <w:lang w:eastAsia="zh-TW"/>
        </w:rPr>
        <w:t>卜辭（</w:t>
      </w:r>
      <w:r w:rsidRPr="00986CEF">
        <w:rPr>
          <w:lang w:eastAsia="zh-TW"/>
        </w:rPr>
        <w:t>11</w:t>
      </w:r>
      <w:r w:rsidRPr="00986CEF">
        <w:rPr>
          <w:rFonts w:hint="eastAsia"/>
          <w:lang w:eastAsia="zh-TW"/>
        </w:rPr>
        <w:t>）（</w:t>
      </w:r>
      <w:r w:rsidRPr="00986CEF">
        <w:rPr>
          <w:lang w:eastAsia="zh-TW"/>
        </w:rPr>
        <w:t>12</w:t>
      </w:r>
      <w:r w:rsidRPr="00986CEF">
        <w:rPr>
          <w:rFonts w:hint="eastAsia"/>
          <w:lang w:eastAsia="zh-TW"/>
        </w:rPr>
        <w:t>）的貞人都是同一時期的書家。卜辭（</w:t>
      </w:r>
      <w:r w:rsidRPr="00986CEF">
        <w:rPr>
          <w:lang w:eastAsia="zh-TW"/>
        </w:rPr>
        <w:t>11</w:t>
      </w:r>
      <w:r w:rsidRPr="00986CEF">
        <w:rPr>
          <w:rFonts w:hint="eastAsia"/>
          <w:lang w:eastAsia="zh-TW"/>
        </w:rPr>
        <w:t>）意爲“王帶領眾人到囧這個地方去種黍”，卜辭（</w:t>
      </w:r>
      <w:r w:rsidRPr="00986CEF">
        <w:rPr>
          <w:lang w:eastAsia="zh-TW"/>
        </w:rPr>
        <w:t>12</w:t>
      </w:r>
      <w:r w:rsidRPr="00986CEF">
        <w:rPr>
          <w:rFonts w:hint="eastAsia"/>
          <w:lang w:eastAsia="zh-TW"/>
        </w:rPr>
        <w:t>）意爲“勿令</w:t>
      </w:r>
      <w:r w:rsidRPr="00986CEF">
        <w:rPr>
          <w:rFonts w:cs="宋体" w:hint="eastAsia"/>
          <w:lang w:eastAsia="zh-TW"/>
        </w:rPr>
        <w:t>𬯭</w:t>
      </w:r>
      <w:r w:rsidRPr="00986CEF">
        <w:rPr>
          <w:rFonts w:hint="eastAsia"/>
          <w:lang w:eastAsia="zh-TW"/>
        </w:rPr>
        <w:t>（人名）帶領眾人征伐</w:t>
      </w:r>
      <w:r w:rsidRPr="00986CEF">
        <w:rPr>
          <w:rFonts w:ascii="SimSun-ExtB" w:eastAsia="SimSun-ExtB" w:hAnsi="SimSun-ExtB" w:cs="SimSun-ExtB" w:hint="eastAsia"/>
          <w:lang w:eastAsia="zh-TW"/>
        </w:rPr>
        <w:t>𢀛</w:t>
      </w:r>
      <w:r w:rsidRPr="00986CEF">
        <w:rPr>
          <w:rFonts w:hint="eastAsia"/>
          <w:lang w:eastAsia="zh-TW"/>
        </w:rPr>
        <w:t>”。但是，同一時期的“以”字不僅有{帶領}義，還有{致送}義，如：</w:t>
      </w:r>
    </w:p>
    <w:p w14:paraId="118F0DCB" w14:textId="77777777" w:rsidR="00986CEF" w:rsidRPr="00986CEF" w:rsidRDefault="00986CEF" w:rsidP="00D83289">
      <w:pPr>
        <w:pStyle w:val="a4"/>
        <w:numPr>
          <w:ilvl w:val="2"/>
          <w:numId w:val="48"/>
        </w:numPr>
        <w:spacing w:before="540" w:after="540"/>
        <w:ind w:firstLineChars="0"/>
      </w:pPr>
      <w:r w:rsidRPr="00986CEF">
        <w:rPr>
          <w:rFonts w:hint="eastAsia"/>
        </w:rPr>
        <w:lastRenderedPageBreak/>
        <w:t>□午卜，爭貞：□以三十。</w:t>
      </w:r>
      <w:r w:rsidRPr="00986CEF">
        <w:tab/>
      </w:r>
      <w:r w:rsidRPr="00986CEF">
        <w:tab/>
      </w:r>
      <w:r w:rsidRPr="00986CEF">
        <w:tab/>
      </w:r>
      <w:r w:rsidRPr="00986CEF">
        <w:tab/>
      </w:r>
      <w:r w:rsidRPr="00986CEF">
        <w:rPr>
          <w:rFonts w:hint="eastAsia"/>
        </w:rPr>
        <w:t>（《合集》2</w:t>
      </w:r>
      <w:r w:rsidRPr="00986CEF">
        <w:t>34</w:t>
      </w:r>
      <w:r w:rsidRPr="00986CEF">
        <w:rPr>
          <w:rFonts w:hint="eastAsia"/>
        </w:rPr>
        <w:t>正 典賓）</w:t>
      </w:r>
    </w:p>
    <w:p w14:paraId="3810DA2C" w14:textId="77777777" w:rsidR="00986CEF" w:rsidRPr="00986CEF" w:rsidRDefault="00986CEF" w:rsidP="00D83289">
      <w:pPr>
        <w:pStyle w:val="a4"/>
        <w:numPr>
          <w:ilvl w:val="2"/>
          <w:numId w:val="48"/>
        </w:numPr>
        <w:spacing w:before="540" w:after="540"/>
        <w:ind w:firstLineChars="0"/>
      </w:pPr>
      <w:r w:rsidRPr="00986CEF">
        <w:rPr>
          <w:rFonts w:hint="eastAsia"/>
        </w:rPr>
        <w:t>丁亥卜，貞：用鑊以羌十。</w:t>
      </w:r>
      <w:r w:rsidRPr="00986CEF">
        <w:tab/>
      </w:r>
      <w:r w:rsidRPr="00986CEF">
        <w:tab/>
      </w:r>
      <w:r w:rsidRPr="00986CEF">
        <w:tab/>
      </w:r>
      <w:r w:rsidRPr="00986CEF">
        <w:tab/>
      </w:r>
      <w:r w:rsidRPr="00986CEF">
        <w:rPr>
          <w:rFonts w:hint="eastAsia"/>
        </w:rPr>
        <w:t>（《合集》2</w:t>
      </w:r>
      <w:r w:rsidRPr="00986CEF">
        <w:t xml:space="preserve">57 </w:t>
      </w:r>
      <w:r w:rsidRPr="00986CEF">
        <w:rPr>
          <w:rFonts w:hint="eastAsia"/>
        </w:rPr>
        <w:t>典賓）</w:t>
      </w:r>
    </w:p>
    <w:p w14:paraId="798E9103" w14:textId="77777777" w:rsidR="00986CEF" w:rsidRPr="00986CEF" w:rsidRDefault="00986CEF" w:rsidP="00D83289">
      <w:pPr>
        <w:pStyle w:val="a4"/>
        <w:numPr>
          <w:ilvl w:val="2"/>
          <w:numId w:val="48"/>
        </w:numPr>
        <w:spacing w:before="540" w:after="540"/>
        <w:ind w:firstLineChars="0"/>
      </w:pPr>
      <w:r w:rsidRPr="00986CEF">
        <w:rPr>
          <w:rFonts w:hint="eastAsia"/>
        </w:rPr>
        <w:t>貞：勿用盧以羌。</w:t>
      </w:r>
      <w:r w:rsidRPr="00986CEF">
        <w:tab/>
      </w:r>
      <w:r w:rsidRPr="00986CEF">
        <w:tab/>
      </w:r>
      <w:r w:rsidRPr="00986CEF">
        <w:tab/>
      </w:r>
      <w:r w:rsidRPr="00986CEF">
        <w:tab/>
      </w:r>
      <w:r w:rsidRPr="00986CEF">
        <w:tab/>
      </w:r>
      <w:r w:rsidRPr="00986CEF">
        <w:tab/>
      </w:r>
      <w:r w:rsidRPr="00986CEF">
        <w:rPr>
          <w:rFonts w:hint="eastAsia"/>
        </w:rPr>
        <w:t>（《合集》2</w:t>
      </w:r>
      <w:r w:rsidRPr="00986CEF">
        <w:t xml:space="preserve">59 </w:t>
      </w:r>
      <w:r w:rsidRPr="00986CEF">
        <w:rPr>
          <w:rFonts w:hint="eastAsia"/>
        </w:rPr>
        <w:t>賓出）</w:t>
      </w:r>
    </w:p>
    <w:p w14:paraId="6D5E27C8" w14:textId="77777777" w:rsidR="00986CEF" w:rsidRPr="00986CEF" w:rsidRDefault="00986CEF" w:rsidP="00986CEF">
      <w:pPr>
        <w:pStyle w:val="ab"/>
        <w:ind w:firstLine="560"/>
        <w:rPr>
          <w:lang w:eastAsia="zh-TW"/>
        </w:rPr>
      </w:pPr>
      <w:r w:rsidRPr="00986CEF">
        <w:rPr>
          <w:rFonts w:hint="eastAsia"/>
          <w:lang w:eastAsia="zh-TW"/>
        </w:rPr>
        <w:t>例（13）（14）（15）皆是指在祭祀場景中致送祭牲或祭人。“以”字的形體所體現的詞義本就不是很明確，該字兼具的{帶領}和{致送}兩個相對的義項，均符合其形體特徵，且不違和。到了兩周時期的金文材料中，“以”字“反義共詞”現象進一步明確。</w:t>
      </w:r>
      <w:r w:rsidRPr="00986CEF">
        <w:rPr>
          <w:vertAlign w:val="superscript"/>
          <w:lang w:eastAsia="zh-TW"/>
        </w:rPr>
        <w:endnoteReference w:id="36"/>
      </w:r>
    </w:p>
    <w:p w14:paraId="5029220F" w14:textId="77777777" w:rsidR="00986CEF" w:rsidRPr="00986CEF" w:rsidRDefault="00986CEF" w:rsidP="00986CEF">
      <w:pPr>
        <w:pStyle w:val="ab"/>
        <w:ind w:firstLine="562"/>
        <w:rPr>
          <w:b/>
          <w:bCs/>
          <w:lang w:eastAsia="zh-TW"/>
        </w:rPr>
      </w:pPr>
      <w:r w:rsidRPr="00986CEF">
        <w:rPr>
          <w:rFonts w:hint="eastAsia"/>
          <w:b/>
          <w:bCs/>
          <w:lang w:eastAsia="zh-TW"/>
        </w:rPr>
        <w:t>（三）甲骨文形體所體現詞義的辯證統一的關係</w:t>
      </w:r>
    </w:p>
    <w:p w14:paraId="550C83C6" w14:textId="77777777" w:rsidR="00986CEF" w:rsidRPr="00986CEF" w:rsidRDefault="00986CEF" w:rsidP="00986CEF">
      <w:pPr>
        <w:pStyle w:val="ab"/>
        <w:ind w:firstLine="560"/>
        <w:rPr>
          <w:lang w:eastAsia="zh-TW"/>
        </w:rPr>
      </w:pPr>
      <w:r w:rsidRPr="00986CEF">
        <w:rPr>
          <w:rFonts w:hint="eastAsia"/>
          <w:lang w:eastAsia="zh-TW"/>
        </w:rPr>
        <w:t>甲骨文形體所體現詞義的辯證統一的關係，反映了我們民族所特有的精神。“反義共詞”能夠在後來產生和鞏固是必然的結果。</w:t>
      </w:r>
    </w:p>
    <w:p w14:paraId="5C28131A" w14:textId="77777777" w:rsidR="00986CEF" w:rsidRPr="00986CEF" w:rsidRDefault="00986CEF" w:rsidP="00986CEF">
      <w:pPr>
        <w:pStyle w:val="ab"/>
        <w:ind w:firstLine="560"/>
        <w:rPr>
          <w:lang w:eastAsia="zh-TW"/>
        </w:rPr>
      </w:pPr>
      <w:r w:rsidRPr="00986CEF">
        <w:rPr>
          <w:rFonts w:hint="eastAsia"/>
          <w:lang w:eastAsia="zh-TW"/>
        </w:rPr>
        <w:t>語言能夠體現使用該語言的民族的思維方式。通過比較中西方的語言可以發現，中西方民族的思維方式有着很大的不同。學者申小龍説：“西方民族的語言思維特徵是嚴密機械的二項式邏輯，強調非此即彼的排中律。”</w:t>
      </w:r>
      <w:r w:rsidRPr="00986CEF">
        <w:rPr>
          <w:vertAlign w:val="superscript"/>
          <w:lang w:eastAsia="zh-TW"/>
        </w:rPr>
        <w:endnoteReference w:id="37"/>
      </w:r>
      <w:r w:rsidRPr="00986CEF">
        <w:rPr>
          <w:rFonts w:hint="eastAsia"/>
          <w:lang w:eastAsia="zh-TW"/>
        </w:rPr>
        <w:t>而我們民族對事物的認識具有着辯證統一的特徵，既能看到事物之間的區別，又能看到事物之間的聯繫，能夠在整體上觀察事物的全貌，與西方那種非黑即白的認識方式有着很大不同。漢</w:t>
      </w:r>
      <w:r w:rsidRPr="00986CEF">
        <w:rPr>
          <w:rFonts w:hint="eastAsia"/>
          <w:lang w:eastAsia="zh-TW"/>
        </w:rPr>
        <w:lastRenderedPageBreak/>
        <w:t>語語言思維的辯證性精神與整體性精神的一致，是“反義共詞”現象得以成立的文化心理依據。</w:t>
      </w:r>
      <w:r w:rsidRPr="00986CEF">
        <w:rPr>
          <w:vertAlign w:val="superscript"/>
          <w:lang w:eastAsia="zh-TW"/>
        </w:rPr>
        <w:endnoteReference w:id="38"/>
      </w:r>
      <w:r w:rsidRPr="00986CEF">
        <w:rPr>
          <w:rFonts w:hint="eastAsia"/>
          <w:lang w:eastAsia="zh-TW"/>
        </w:rPr>
        <w:t>所以先民們以辯證統一的思維方式創造出的甲骨文，成爲了我們研究“反義共詞”起源的寶貴材料。</w:t>
      </w:r>
    </w:p>
    <w:p w14:paraId="0871B3ED" w14:textId="77777777" w:rsidR="00986CEF" w:rsidRPr="00986CEF" w:rsidRDefault="00986CEF" w:rsidP="00986CEF">
      <w:pPr>
        <w:pStyle w:val="ab"/>
        <w:ind w:firstLine="560"/>
        <w:rPr>
          <w:lang w:eastAsia="zh-TW"/>
        </w:rPr>
      </w:pPr>
      <w:r w:rsidRPr="00986CEF">
        <w:rPr>
          <w:rFonts w:hint="eastAsia"/>
          <w:lang w:eastAsia="zh-TW"/>
        </w:rPr>
        <w:t>甲骨文中的“反義共詞”現象，將事物之間辯證統一的關係體現的淋漓盡致。例如，甲骨文中的“御”字作</w:t>
      </w:r>
      <w:r w:rsidRPr="00986CEF">
        <w:rPr>
          <w:lang w:eastAsia="zh-TW"/>
        </w:rPr>
        <w:drawing>
          <wp:inline distT="0" distB="0" distL="0" distR="0" wp14:anchorId="37C9E88B" wp14:editId="57EADB82">
            <wp:extent cx="212833" cy="360000"/>
            <wp:effectExtent l="0" t="0" r="0" b="2540"/>
            <wp:docPr id="487754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54840" name=""/>
                    <pic:cNvPicPr/>
                  </pic:nvPicPr>
                  <pic:blipFill>
                    <a:blip r:embed="rId17"/>
                    <a:stretch>
                      <a:fillRect/>
                    </a:stretch>
                  </pic:blipFill>
                  <pic:spPr>
                    <a:xfrm>
                      <a:off x="0" y="0"/>
                      <a:ext cx="212833" cy="360000"/>
                    </a:xfrm>
                    <a:prstGeom prst="rect">
                      <a:avLst/>
                    </a:prstGeom>
                  </pic:spPr>
                </pic:pic>
              </a:graphicData>
            </a:graphic>
          </wp:inline>
        </w:drawing>
      </w:r>
      <w:r w:rsidRPr="00986CEF">
        <w:rPr>
          <w:rFonts w:hint="eastAsia"/>
          <w:lang w:eastAsia="zh-TW"/>
        </w:rPr>
        <w:t>（《合集》2</w:t>
      </w:r>
      <w:r w:rsidRPr="00986CEF">
        <w:rPr>
          <w:lang w:eastAsia="zh-TW"/>
        </w:rPr>
        <w:t xml:space="preserve">0980 </w:t>
      </w:r>
      <w:r w:rsidRPr="00986CEF">
        <w:rPr>
          <w:rFonts w:hint="eastAsia"/>
          <w:lang w:eastAsia="zh-TW"/>
        </w:rPr>
        <w:t>師）、</w:t>
      </w:r>
      <w:r w:rsidRPr="00986CEF">
        <w:rPr>
          <w:lang w:eastAsia="zh-TW"/>
        </w:rPr>
        <w:drawing>
          <wp:inline distT="0" distB="0" distL="0" distR="0" wp14:anchorId="67F40136" wp14:editId="16DF5F8B">
            <wp:extent cx="192273" cy="360000"/>
            <wp:effectExtent l="0" t="0" r="0" b="2540"/>
            <wp:docPr id="5984659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65972" name=""/>
                    <pic:cNvPicPr/>
                  </pic:nvPicPr>
                  <pic:blipFill>
                    <a:blip r:embed="rId18"/>
                    <a:stretch>
                      <a:fillRect/>
                    </a:stretch>
                  </pic:blipFill>
                  <pic:spPr>
                    <a:xfrm>
                      <a:off x="0" y="0"/>
                      <a:ext cx="192273" cy="360000"/>
                    </a:xfrm>
                    <a:prstGeom prst="rect">
                      <a:avLst/>
                    </a:prstGeom>
                  </pic:spPr>
                </pic:pic>
              </a:graphicData>
            </a:graphic>
          </wp:inline>
        </w:drawing>
      </w:r>
      <w:r w:rsidRPr="00986CEF">
        <w:rPr>
          <w:rFonts w:hint="eastAsia"/>
          <w:lang w:eastAsia="zh-TW"/>
        </w:rPr>
        <w:t>（《合集》3</w:t>
      </w:r>
      <w:r w:rsidRPr="00986CEF">
        <w:rPr>
          <w:lang w:eastAsia="zh-TW"/>
        </w:rPr>
        <w:t xml:space="preserve">2329 </w:t>
      </w:r>
      <w:r w:rsidRPr="00986CEF">
        <w:rPr>
          <w:rFonts w:hint="eastAsia"/>
          <w:lang w:eastAsia="zh-TW"/>
        </w:rPr>
        <w:t>歷）、</w:t>
      </w:r>
      <w:r w:rsidRPr="00986CEF">
        <w:rPr>
          <w:lang w:eastAsia="zh-TW"/>
        </w:rPr>
        <w:drawing>
          <wp:inline distT="0" distB="0" distL="0" distR="0" wp14:anchorId="126112B1" wp14:editId="3116D6CF">
            <wp:extent cx="344467" cy="360000"/>
            <wp:effectExtent l="0" t="0" r="0" b="2540"/>
            <wp:docPr id="212870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0495" name=""/>
                    <pic:cNvPicPr/>
                  </pic:nvPicPr>
                  <pic:blipFill>
                    <a:blip r:embed="rId19"/>
                    <a:stretch>
                      <a:fillRect/>
                    </a:stretch>
                  </pic:blipFill>
                  <pic:spPr>
                    <a:xfrm>
                      <a:off x="0" y="0"/>
                      <a:ext cx="344467" cy="360000"/>
                    </a:xfrm>
                    <a:prstGeom prst="rect">
                      <a:avLst/>
                    </a:prstGeom>
                  </pic:spPr>
                </pic:pic>
              </a:graphicData>
            </a:graphic>
          </wp:inline>
        </w:drawing>
      </w:r>
      <w:r w:rsidRPr="00986CEF">
        <w:rPr>
          <w:rFonts w:hint="eastAsia"/>
          <w:lang w:eastAsia="zh-TW"/>
        </w:rPr>
        <w:t>（《合集》6</w:t>
      </w:r>
      <w:r w:rsidRPr="00986CEF">
        <w:rPr>
          <w:lang w:eastAsia="zh-TW"/>
        </w:rPr>
        <w:t xml:space="preserve">761 </w:t>
      </w:r>
      <w:r w:rsidRPr="00986CEF">
        <w:rPr>
          <w:rFonts w:hint="eastAsia"/>
          <w:lang w:eastAsia="zh-TW"/>
        </w:rPr>
        <w:t>賓）等形，象人跪坐持杵（有學者認爲是持馬策）</w:t>
      </w:r>
      <w:r w:rsidRPr="00986CEF">
        <w:rPr>
          <w:vertAlign w:val="superscript"/>
          <w:lang w:eastAsia="zh-TW"/>
        </w:rPr>
        <w:endnoteReference w:id="39"/>
      </w:r>
      <w:r w:rsidRPr="00986CEF">
        <w:rPr>
          <w:rFonts w:hint="eastAsia"/>
          <w:lang w:eastAsia="zh-TW"/>
        </w:rPr>
        <w:t>於道路中操作之形。在卜辭中，“御”字有帶有敵意色彩的{防禦}和帶有友好色彩的{親迎之祭}兩個相對的義項。二者統一於“御”字的形體，而不矛盾。因爲持杵於道路中既可以去防禦敵人的入侵，又可以進行歡迎，所以兩個義項沒有衝突。{防禦}和{親迎之祭}共用“御”的甲骨文形體構建的場景，達到完美的契合。“御”字用作{防禦}義的卜辭如下：</w:t>
      </w:r>
    </w:p>
    <w:p w14:paraId="0D1038A8" w14:textId="77777777" w:rsidR="00986CEF" w:rsidRPr="00986CEF" w:rsidRDefault="00986CEF" w:rsidP="00D83289">
      <w:pPr>
        <w:pStyle w:val="a4"/>
        <w:numPr>
          <w:ilvl w:val="2"/>
          <w:numId w:val="48"/>
        </w:numPr>
        <w:spacing w:before="540" w:after="540"/>
        <w:ind w:firstLineChars="0"/>
      </w:pPr>
      <w:r w:rsidRPr="00986CEF">
        <w:rPr>
          <w:rFonts w:hint="eastAsia"/>
        </w:rPr>
        <w:t>己卯卜，……王令御方。</w:t>
      </w:r>
      <w:r w:rsidRPr="00986CEF">
        <w:tab/>
      </w:r>
      <w:r w:rsidRPr="00986CEF">
        <w:tab/>
      </w:r>
      <w:r w:rsidRPr="00986CEF">
        <w:tab/>
      </w:r>
      <w:r w:rsidRPr="00986CEF">
        <w:tab/>
      </w:r>
      <w:r w:rsidRPr="00986CEF">
        <w:rPr>
          <w:rFonts w:hint="eastAsia"/>
        </w:rPr>
        <w:t>（《合集》2</w:t>
      </w:r>
      <w:r w:rsidRPr="00986CEF">
        <w:t>0451 師小</w:t>
      </w:r>
      <w:r w:rsidRPr="00986CEF">
        <w:rPr>
          <w:rFonts w:hint="eastAsia"/>
        </w:rPr>
        <w:t>）</w:t>
      </w:r>
    </w:p>
    <w:p w14:paraId="1CBA87EF" w14:textId="34C1D65F" w:rsidR="00986CEF" w:rsidRPr="00986CEF" w:rsidRDefault="00986CEF" w:rsidP="00D83289">
      <w:pPr>
        <w:pStyle w:val="a4"/>
        <w:numPr>
          <w:ilvl w:val="2"/>
          <w:numId w:val="48"/>
        </w:numPr>
        <w:spacing w:before="540" w:after="540"/>
        <w:ind w:firstLineChars="0"/>
      </w:pPr>
      <w:r w:rsidRPr="00986CEF">
        <w:t>其御羌方</w:t>
      </w:r>
      <w:r w:rsidRPr="00986CEF">
        <w:rPr>
          <w:rFonts w:hint="eastAsia"/>
        </w:rPr>
        <w:t>、</w:t>
      </w:r>
      <w:r w:rsidRPr="00986CEF">
        <w:t>易人</w:t>
      </w:r>
      <w:r w:rsidRPr="00986CEF">
        <w:rPr>
          <w:rFonts w:hint="eastAsia"/>
        </w:rPr>
        <w:t>。</w:t>
      </w:r>
      <w:r w:rsidRPr="00986CEF">
        <w:t>羌方異，其大出。……大吉。（</w:t>
      </w:r>
      <w:r w:rsidRPr="00986CEF">
        <w:rPr>
          <w:rFonts w:hint="eastAsia"/>
        </w:rPr>
        <w:t>《合補》</w:t>
      </w:r>
      <w:r w:rsidRPr="00986CEF">
        <w:rPr>
          <w:vertAlign w:val="superscript"/>
        </w:rPr>
        <w:endnoteReference w:id="40"/>
      </w:r>
      <w:r w:rsidRPr="00986CEF">
        <w:rPr>
          <w:rFonts w:hint="eastAsia"/>
        </w:rPr>
        <w:t>8</w:t>
      </w:r>
      <w:r w:rsidRPr="00986CEF">
        <w:t>969 無名）</w:t>
      </w:r>
    </w:p>
    <w:p w14:paraId="3AFD8C74" w14:textId="77777777" w:rsidR="00986CEF" w:rsidRPr="00986CEF" w:rsidRDefault="00986CEF" w:rsidP="00986CEF">
      <w:pPr>
        <w:pStyle w:val="ab"/>
        <w:ind w:firstLine="560"/>
        <w:rPr>
          <w:lang w:eastAsia="zh-TW"/>
        </w:rPr>
      </w:pPr>
      <w:r w:rsidRPr="00986CEF">
        <w:rPr>
          <w:rFonts w:hint="eastAsia"/>
          <w:lang w:eastAsia="zh-TW"/>
        </w:rPr>
        <w:t>例（1</w:t>
      </w:r>
      <w:r w:rsidRPr="00986CEF">
        <w:rPr>
          <w:lang w:eastAsia="zh-TW"/>
        </w:rPr>
        <w:t>6</w:t>
      </w:r>
      <w:r w:rsidRPr="00986CEF">
        <w:rPr>
          <w:rFonts w:hint="eastAsia"/>
          <w:lang w:eastAsia="zh-TW"/>
        </w:rPr>
        <w:t>）（1</w:t>
      </w:r>
      <w:r w:rsidRPr="00986CEF">
        <w:rPr>
          <w:lang w:eastAsia="zh-TW"/>
        </w:rPr>
        <w:t>7</w:t>
      </w:r>
      <w:r w:rsidRPr="00986CEF">
        <w:rPr>
          <w:rFonts w:hint="eastAsia"/>
          <w:lang w:eastAsia="zh-TW"/>
        </w:rPr>
        <w:t>）皆是在説，要防禦外族的入侵。“御”字用作{親迎之祭}義的卜辭有：</w:t>
      </w:r>
    </w:p>
    <w:p w14:paraId="2C02138F" w14:textId="77777777" w:rsidR="00986CEF" w:rsidRPr="00986CEF" w:rsidRDefault="00986CEF" w:rsidP="00D83289">
      <w:pPr>
        <w:pStyle w:val="a4"/>
        <w:numPr>
          <w:ilvl w:val="2"/>
          <w:numId w:val="48"/>
        </w:numPr>
        <w:spacing w:before="540" w:after="540"/>
        <w:ind w:firstLineChars="0"/>
      </w:pPr>
      <w:r w:rsidRPr="00986CEF">
        <w:rPr>
          <w:rFonts w:hint="eastAsia"/>
        </w:rPr>
        <w:lastRenderedPageBreak/>
        <w:t>甲午卜，殳御于妣至妣辛。</w:t>
      </w:r>
      <w:r w:rsidRPr="00986CEF">
        <w:tab/>
      </w:r>
      <w:r w:rsidRPr="00986CEF">
        <w:tab/>
      </w:r>
      <w:r w:rsidRPr="00986CEF">
        <w:tab/>
      </w:r>
      <w:r w:rsidRPr="00986CEF">
        <w:tab/>
      </w:r>
      <w:r w:rsidRPr="00986CEF">
        <w:rPr>
          <w:rFonts w:hint="eastAsia"/>
        </w:rPr>
        <w:t>（《合集》2</w:t>
      </w:r>
      <w:r w:rsidRPr="00986CEF">
        <w:t xml:space="preserve">2074 </w:t>
      </w:r>
      <w:r w:rsidRPr="00986CEF">
        <w:rPr>
          <w:rFonts w:hint="eastAsia"/>
        </w:rPr>
        <w:t>午）</w:t>
      </w:r>
    </w:p>
    <w:p w14:paraId="66B5317C" w14:textId="77777777" w:rsidR="00986CEF" w:rsidRPr="00986CEF" w:rsidRDefault="00986CEF" w:rsidP="00D83289">
      <w:pPr>
        <w:pStyle w:val="a4"/>
        <w:numPr>
          <w:ilvl w:val="2"/>
          <w:numId w:val="48"/>
        </w:numPr>
        <w:spacing w:before="540" w:after="540"/>
        <w:ind w:firstLineChars="0"/>
      </w:pPr>
      <w:r w:rsidRPr="00986CEF">
        <w:rPr>
          <w:rFonts w:hint="eastAsia"/>
        </w:rPr>
        <w:t>貞：御婦好于高。</w:t>
      </w:r>
      <w:r w:rsidRPr="00986CEF">
        <w:tab/>
      </w:r>
      <w:r w:rsidRPr="00986CEF">
        <w:tab/>
      </w:r>
      <w:r w:rsidRPr="00986CEF">
        <w:tab/>
      </w:r>
      <w:r w:rsidRPr="00986CEF">
        <w:tab/>
      </w:r>
      <w:r w:rsidRPr="00986CEF">
        <w:tab/>
      </w:r>
      <w:r w:rsidRPr="00986CEF">
        <w:tab/>
      </w:r>
      <w:r w:rsidRPr="00986CEF">
        <w:rPr>
          <w:rFonts w:hint="eastAsia"/>
        </w:rPr>
        <w:t>（《合集》2</w:t>
      </w:r>
      <w:r w:rsidRPr="00986CEF">
        <w:t xml:space="preserve">612 </w:t>
      </w:r>
      <w:r w:rsidRPr="00986CEF">
        <w:rPr>
          <w:rFonts w:hint="eastAsia"/>
        </w:rPr>
        <w:t>師賓）</w:t>
      </w:r>
    </w:p>
    <w:p w14:paraId="50384866" w14:textId="77777777" w:rsidR="00986CEF" w:rsidRPr="00986CEF" w:rsidRDefault="00986CEF" w:rsidP="00986CEF">
      <w:pPr>
        <w:pStyle w:val="ab"/>
        <w:ind w:firstLine="560"/>
        <w:rPr>
          <w:lang w:eastAsia="zh-TW"/>
        </w:rPr>
      </w:pPr>
      <w:r w:rsidRPr="00986CEF">
        <w:rPr>
          <w:rFonts w:hint="eastAsia"/>
          <w:lang w:eastAsia="zh-TW"/>
        </w:rPr>
        <w:t>例（1</w:t>
      </w:r>
      <w:r w:rsidRPr="00986CEF">
        <w:rPr>
          <w:lang w:eastAsia="zh-TW"/>
        </w:rPr>
        <w:t>8</w:t>
      </w:r>
      <w:r w:rsidRPr="00986CEF">
        <w:rPr>
          <w:rFonts w:hint="eastAsia"/>
          <w:lang w:eastAsia="zh-TW"/>
        </w:rPr>
        <w:t>）意爲“按照妣至妣辛的順序進行迎祭”，例（1</w:t>
      </w:r>
      <w:r w:rsidRPr="00986CEF">
        <w:rPr>
          <w:lang w:eastAsia="zh-TW"/>
        </w:rPr>
        <w:t>9</w:t>
      </w:r>
      <w:r w:rsidRPr="00986CEF">
        <w:rPr>
          <w:rFonts w:hint="eastAsia"/>
          <w:lang w:eastAsia="zh-TW"/>
        </w:rPr>
        <w:t>）意爲“在高這個地方迎祭婦好”。</w:t>
      </w:r>
    </w:p>
    <w:p w14:paraId="1A3E4F8B" w14:textId="77777777" w:rsidR="00986CEF" w:rsidRPr="00986CEF" w:rsidRDefault="00986CEF" w:rsidP="00986CEF">
      <w:pPr>
        <w:pStyle w:val="ab"/>
        <w:ind w:firstLine="560"/>
        <w:rPr>
          <w:lang w:eastAsia="zh-TW"/>
        </w:rPr>
      </w:pPr>
      <w:r w:rsidRPr="00986CEF">
        <w:rPr>
          <w:rFonts w:hint="eastAsia"/>
          <w:lang w:eastAsia="zh-TW"/>
        </w:rPr>
        <w:t>甲骨文中的“聞”字也體現出了詞義之間辯證統一的關係。“聞”的甲骨文作</w:t>
      </w:r>
      <w:r w:rsidRPr="00986CEF">
        <w:rPr>
          <w:lang w:eastAsia="zh-TW"/>
        </w:rPr>
        <w:drawing>
          <wp:inline distT="0" distB="0" distL="0" distR="0" wp14:anchorId="543B9A1D" wp14:editId="0D943F5A">
            <wp:extent cx="219348" cy="360000"/>
            <wp:effectExtent l="0" t="0" r="0" b="2540"/>
            <wp:docPr id="811174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74322" name=""/>
                    <pic:cNvPicPr/>
                  </pic:nvPicPr>
                  <pic:blipFill>
                    <a:blip r:embed="rId20">
                      <a:biLevel thresh="25000"/>
                    </a:blip>
                    <a:stretch>
                      <a:fillRect/>
                    </a:stretch>
                  </pic:blipFill>
                  <pic:spPr>
                    <a:xfrm>
                      <a:off x="0" y="0"/>
                      <a:ext cx="219348" cy="360000"/>
                    </a:xfrm>
                    <a:prstGeom prst="rect">
                      <a:avLst/>
                    </a:prstGeom>
                  </pic:spPr>
                </pic:pic>
              </a:graphicData>
            </a:graphic>
          </wp:inline>
        </w:drawing>
      </w:r>
      <w:r w:rsidRPr="00986CEF">
        <w:rPr>
          <w:rFonts w:hint="eastAsia"/>
          <w:lang w:eastAsia="zh-TW"/>
        </w:rPr>
        <w:t>（《合集》5</w:t>
      </w:r>
      <w:r w:rsidRPr="00986CEF">
        <w:rPr>
          <w:lang w:eastAsia="zh-TW"/>
        </w:rPr>
        <w:t xml:space="preserve">004 </w:t>
      </w:r>
      <w:r w:rsidRPr="00986CEF">
        <w:rPr>
          <w:rFonts w:hint="eastAsia"/>
          <w:lang w:eastAsia="zh-TW"/>
        </w:rPr>
        <w:t>典賓）、</w:t>
      </w:r>
      <w:r w:rsidRPr="00986CEF">
        <w:rPr>
          <w:lang w:eastAsia="zh-TW"/>
        </w:rPr>
        <w:drawing>
          <wp:inline distT="0" distB="0" distL="0" distR="0" wp14:anchorId="0B4F19FE" wp14:editId="74A4E4E2">
            <wp:extent cx="223620" cy="360000"/>
            <wp:effectExtent l="0" t="0" r="5080" b="2540"/>
            <wp:docPr id="2099718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18392" name=""/>
                    <pic:cNvPicPr/>
                  </pic:nvPicPr>
                  <pic:blipFill>
                    <a:blip r:embed="rId21">
                      <a:extLst>
                        <a:ext uri="{BEBA8EAE-BF5A-486C-A8C5-ECC9F3942E4B}">
                          <a14:imgProps xmlns:a14="http://schemas.microsoft.com/office/drawing/2010/main">
                            <a14:imgLayer r:embed="rId22">
                              <a14:imgEffect>
                                <a14:brightnessContrast bright="40000" contrast="-20000"/>
                              </a14:imgEffect>
                            </a14:imgLayer>
                          </a14:imgProps>
                        </a:ext>
                      </a:extLst>
                    </a:blip>
                    <a:stretch>
                      <a:fillRect/>
                    </a:stretch>
                  </pic:blipFill>
                  <pic:spPr>
                    <a:xfrm>
                      <a:off x="0" y="0"/>
                      <a:ext cx="223620" cy="360000"/>
                    </a:xfrm>
                    <a:prstGeom prst="rect">
                      <a:avLst/>
                    </a:prstGeom>
                  </pic:spPr>
                </pic:pic>
              </a:graphicData>
            </a:graphic>
          </wp:inline>
        </w:drawing>
      </w:r>
      <w:r w:rsidRPr="00986CEF">
        <w:rPr>
          <w:rFonts w:hint="eastAsia"/>
          <w:lang w:eastAsia="zh-TW"/>
        </w:rPr>
        <w:t>（《合集》1</w:t>
      </w:r>
      <w:r w:rsidRPr="00986CEF">
        <w:rPr>
          <w:lang w:eastAsia="zh-TW"/>
        </w:rPr>
        <w:t>075</w:t>
      </w:r>
      <w:r w:rsidRPr="00986CEF">
        <w:rPr>
          <w:rFonts w:hint="eastAsia"/>
          <w:lang w:eastAsia="zh-TW"/>
        </w:rPr>
        <w:t>正 典賓）等形，象人跪坐以手附耳之形，因此可以表示{聽説}的意思。同時，“聞”字還有{知道}、{報告}兩個義項，因爲{聽説}之後的結果既可以是{知道}，也可以去{報告}。{聽説}是“聞”字形體直觀的義項，{知道}、{報告}是{聽説}之後的結果，三者之間既有區別又有聯繫，統一於“聞”字的形體。三個義項中，{聽説}、{報告}是兩個對立比較強烈的義項，可以稱之爲“反義共詞”。卜辭中“聞”表示{聽説}的辭例有：</w:t>
      </w:r>
    </w:p>
    <w:p w14:paraId="7CF110E4" w14:textId="44944BF2" w:rsidR="00986CEF" w:rsidRPr="00986CEF" w:rsidRDefault="00986CEF" w:rsidP="00D83289">
      <w:pPr>
        <w:pStyle w:val="a4"/>
        <w:numPr>
          <w:ilvl w:val="2"/>
          <w:numId w:val="48"/>
        </w:numPr>
        <w:spacing w:before="540" w:after="540"/>
        <w:ind w:firstLineChars="0"/>
      </w:pPr>
      <w:r w:rsidRPr="00986CEF">
        <w:rPr>
          <w:rFonts w:hint="eastAsia"/>
        </w:rPr>
        <w:t>庚子卜，王貞：王占曰：其來有聞，其惟甲不……。（《合集》1</w:t>
      </w:r>
      <w:r w:rsidRPr="00986CEF">
        <w:t>075</w:t>
      </w:r>
      <w:r w:rsidRPr="00986CEF">
        <w:rPr>
          <w:rFonts w:hint="eastAsia"/>
        </w:rPr>
        <w:t>正 典賓）</w:t>
      </w:r>
    </w:p>
    <w:p w14:paraId="472206A5" w14:textId="77777777" w:rsidR="00986CEF" w:rsidRPr="00986CEF" w:rsidRDefault="00986CEF" w:rsidP="00EA48CD">
      <w:pPr>
        <w:pStyle w:val="ab"/>
        <w:ind w:firstLineChars="0" w:firstLine="0"/>
      </w:pPr>
      <w:r w:rsidRPr="00986CEF">
        <w:rPr>
          <w:rFonts w:hint="eastAsia"/>
        </w:rPr>
        <w:lastRenderedPageBreak/>
        <w:t>卜辭中“聞”表示{報告}的辭例有：</w:t>
      </w:r>
    </w:p>
    <w:p w14:paraId="7D776AF2" w14:textId="08326E71" w:rsidR="00986CEF" w:rsidRPr="00986CEF" w:rsidRDefault="00986CEF" w:rsidP="00D83289">
      <w:pPr>
        <w:pStyle w:val="a4"/>
        <w:numPr>
          <w:ilvl w:val="2"/>
          <w:numId w:val="48"/>
        </w:numPr>
        <w:spacing w:before="540" w:after="540"/>
        <w:ind w:firstLineChars="0"/>
      </w:pPr>
      <w:r w:rsidRPr="00986CEF">
        <w:rPr>
          <w:rFonts w:hint="eastAsia"/>
        </w:rPr>
        <w:t>癸未卜，爭貞：旬亡</w:t>
      </w:r>
      <w:r w:rsidRPr="00986CEF">
        <w:rPr>
          <w:rFonts w:ascii="SimSun-ExtB" w:eastAsia="SimSun-ExtB" w:hAnsi="SimSun-ExtB" w:cs="SimSun-ExtB" w:hint="eastAsia"/>
        </w:rPr>
        <w:t>𡆥</w:t>
      </w:r>
      <w:r w:rsidRPr="00986CEF">
        <w:rPr>
          <w:rFonts w:hint="eastAsia"/>
        </w:rPr>
        <w:t>？三日乙酉夕，月有食，聞。八月。（《合集》1</w:t>
      </w:r>
      <w:r w:rsidRPr="00986CEF">
        <w:t xml:space="preserve">1485 </w:t>
      </w:r>
      <w:r w:rsidRPr="00986CEF">
        <w:rPr>
          <w:rFonts w:hint="eastAsia"/>
        </w:rPr>
        <w:t>典賓）</w:t>
      </w:r>
    </w:p>
    <w:p w14:paraId="694EC61D" w14:textId="77777777" w:rsidR="00986CEF" w:rsidRPr="00986CEF" w:rsidRDefault="00986CEF" w:rsidP="00986CEF">
      <w:pPr>
        <w:pStyle w:val="ab"/>
        <w:ind w:firstLine="560"/>
        <w:rPr>
          <w:lang w:eastAsia="zh-TW"/>
        </w:rPr>
      </w:pPr>
      <w:r w:rsidRPr="00986CEF">
        <w:rPr>
          <w:rFonts w:hint="eastAsia"/>
          <w:lang w:eastAsia="zh-TW"/>
        </w:rPr>
        <w:t>例（</w:t>
      </w:r>
      <w:r w:rsidRPr="00986CEF">
        <w:rPr>
          <w:lang w:eastAsia="zh-TW"/>
        </w:rPr>
        <w:t>21</w:t>
      </w:r>
      <w:r w:rsidRPr="00986CEF">
        <w:rPr>
          <w:rFonts w:hint="eastAsia"/>
          <w:lang w:eastAsia="zh-TW"/>
        </w:rPr>
        <w:t>）的卜辭是關於月食的記載，是説八月的晚上發生了月食之後向上級報告。彭裕商先生也認爲，此處的“聞”作{報告}講最爲合理。</w:t>
      </w:r>
      <w:r w:rsidRPr="00986CEF">
        <w:rPr>
          <w:vertAlign w:val="superscript"/>
          <w:lang w:eastAsia="zh-TW"/>
        </w:rPr>
        <w:endnoteReference w:id="41"/>
      </w:r>
      <w:r w:rsidRPr="00986CEF">
        <w:rPr>
          <w:rFonts w:hint="eastAsia"/>
          <w:lang w:eastAsia="zh-TW"/>
        </w:rPr>
        <w:t>除了“御”“聞”二字外，上文舉出的“入”“受”“以”等字的例子，均符合形體所體現詞義的辯證統一的關係。</w:t>
      </w:r>
    </w:p>
    <w:p w14:paraId="0E133EA6" w14:textId="77777777" w:rsidR="00986CEF" w:rsidRDefault="00986CEF" w:rsidP="00986CEF">
      <w:pPr>
        <w:pStyle w:val="ab"/>
        <w:ind w:firstLine="560"/>
      </w:pPr>
      <w:r w:rsidRPr="00986CEF">
        <w:rPr>
          <w:rFonts w:hint="eastAsia"/>
          <w:lang w:eastAsia="zh-TW"/>
        </w:rPr>
        <w:t>王寧先生認爲“反義共詞”的存在條件有三：其一，兩義雖然反向，但一定得相因；</w:t>
      </w:r>
      <w:r w:rsidRPr="00986CEF">
        <w:rPr>
          <w:vertAlign w:val="superscript"/>
          <w:lang w:eastAsia="zh-TW"/>
        </w:rPr>
        <w:endnoteReference w:id="42"/>
      </w:r>
      <w:r w:rsidRPr="00986CEF">
        <w:rPr>
          <w:rFonts w:hint="eastAsia"/>
          <w:lang w:eastAsia="zh-TW"/>
        </w:rPr>
        <w:t>其二，反義只能是反向引申的結果，在意義上，雖反向而不能絕然矛盾；其三，共詞的兩個反向意義，在使用上必定有較明顯的差別</w:t>
      </w:r>
      <w:r w:rsidRPr="00986CEF">
        <w:rPr>
          <w:vertAlign w:val="superscript"/>
          <w:lang w:eastAsia="zh-TW"/>
        </w:rPr>
        <w:endnoteReference w:id="43"/>
      </w:r>
      <w:r w:rsidRPr="00986CEF">
        <w:rPr>
          <w:rFonts w:hint="eastAsia"/>
          <w:lang w:eastAsia="zh-TW"/>
        </w:rPr>
        <w:t>。前兩個條件體現在甲骨文上，實際上就是甲骨文形體所體現詞義的辯證統一的關係。第三個條件，放在甲骨文中也是符合的，不過不在本文討論“反義共詞”起源問題的範圍之內。</w:t>
      </w:r>
    </w:p>
    <w:p w14:paraId="61894A19" w14:textId="77777777" w:rsidR="00AD226E" w:rsidRPr="00986CEF" w:rsidRDefault="00AD226E" w:rsidP="00986CEF">
      <w:pPr>
        <w:pStyle w:val="ab"/>
        <w:ind w:firstLine="560"/>
        <w:rPr>
          <w:rFonts w:hint="eastAsia"/>
        </w:rPr>
      </w:pPr>
    </w:p>
    <w:p w14:paraId="1357204D" w14:textId="77777777" w:rsidR="00986CEF" w:rsidRPr="00986CEF" w:rsidRDefault="00986CEF" w:rsidP="00AD226E">
      <w:pPr>
        <w:pStyle w:val="ab"/>
        <w:ind w:firstLineChars="0" w:firstLine="0"/>
        <w:jc w:val="center"/>
        <w:rPr>
          <w:b/>
          <w:bCs/>
          <w:lang w:eastAsia="zh-TW"/>
        </w:rPr>
      </w:pPr>
      <w:r w:rsidRPr="00986CEF">
        <w:rPr>
          <w:rFonts w:hint="eastAsia"/>
          <w:b/>
          <w:bCs/>
          <w:lang w:eastAsia="zh-TW"/>
        </w:rPr>
        <w:t>四、研究“反義共詞”要注意“以今例古”的問題</w:t>
      </w:r>
    </w:p>
    <w:p w14:paraId="107EF414" w14:textId="77777777" w:rsidR="00986CEF" w:rsidRPr="00986CEF" w:rsidRDefault="00986CEF" w:rsidP="00986CEF">
      <w:pPr>
        <w:pStyle w:val="ab"/>
        <w:ind w:firstLine="560"/>
        <w:rPr>
          <w:lang w:eastAsia="zh-TW"/>
        </w:rPr>
      </w:pPr>
      <w:r w:rsidRPr="00986CEF">
        <w:rPr>
          <w:rFonts w:hint="eastAsia"/>
          <w:lang w:eastAsia="zh-TW"/>
        </w:rPr>
        <w:t>運用現代漢語語義學的方法研究甲骨文材料中的反訓現象，不免會有“以今例古”</w:t>
      </w:r>
      <w:r w:rsidRPr="00986CEF">
        <w:rPr>
          <w:vertAlign w:val="superscript"/>
          <w:lang w:eastAsia="zh-TW"/>
        </w:rPr>
        <w:endnoteReference w:id="44"/>
      </w:r>
      <w:r w:rsidRPr="00986CEF">
        <w:rPr>
          <w:rFonts w:hint="eastAsia"/>
          <w:lang w:eastAsia="zh-TW"/>
        </w:rPr>
        <w:t>的嫌疑。造字時代，人們對世界的認識是混沌的、</w:t>
      </w:r>
      <w:r w:rsidRPr="00986CEF">
        <w:rPr>
          <w:rFonts w:hint="eastAsia"/>
          <w:lang w:eastAsia="zh-TW"/>
        </w:rPr>
        <w:lastRenderedPageBreak/>
        <w:t>不全面的，這是古人思想觀念的局限性。同時，造字時代的社會分工也並不像當今社會如此細化，這是古代社會生產力水平的局限性。因此，當時的人們對事物的認識本身就是籠統而又模糊的。例如，遠古時期的人們沒有“買”和“賣”這兩個相對的概念，因爲當時的人們是以物易物，所以在他們眼裏，{買}和{賣}對應的就是一個概念——即以物易物的完整的活動過程。古人的分工不夠細化，因此他們不會也沒有必要將簡單的以物易物的交易，理解成分工細化、明確且複雜的“買”和“賣”兩個相對的概念。其他有“反義共詞”現象的詞，恐怕也是如此。</w:t>
      </w:r>
    </w:p>
    <w:p w14:paraId="71666F64" w14:textId="77777777" w:rsidR="00986CEF" w:rsidRPr="00986CEF" w:rsidRDefault="00986CEF" w:rsidP="00986CEF">
      <w:pPr>
        <w:pStyle w:val="ab"/>
        <w:ind w:firstLine="560"/>
        <w:rPr>
          <w:lang w:eastAsia="zh-TW"/>
        </w:rPr>
      </w:pPr>
      <w:r w:rsidRPr="00986CEF">
        <w:rPr>
          <w:rFonts w:hint="eastAsia"/>
          <w:lang w:eastAsia="zh-TW"/>
        </w:rPr>
        <w:t>據此來看，我們所謂的“兼義造字”，不過是站在今人的角度來研究古代的語言文字材料。現代的我們與造字時代人們相比，我們的思想觀念已經發生了巨大的變化，社會分工非常完善、細化，生產力水平已經很高。我們站在現在的高度去研究古代的語言文字材料，雖然方法顯得較爲科學，但很容易陷入“以今例古”的迷霧之中。恐怕古人心智未開，他們在造字時還不具備細化多個詞義來造一個漢字的能力，帶有模糊、朦朧、廣泛的概念去造字，可能是當時的實際情況。我們把古人的語言材料拿過來，便會在主觀上把他們的社會分工細化。因此，我們所説的“兼義造字”是從“以今例古”的角度提出的，這</w:t>
      </w:r>
      <w:r w:rsidRPr="00986CEF">
        <w:rPr>
          <w:rFonts w:hint="eastAsia"/>
          <w:lang w:eastAsia="zh-TW"/>
        </w:rPr>
        <w:lastRenderedPageBreak/>
        <w:t>點尤其要注意。</w:t>
      </w:r>
    </w:p>
    <w:p w14:paraId="01CC3E27" w14:textId="77777777" w:rsidR="00986CEF" w:rsidRDefault="00986CEF" w:rsidP="00986CEF">
      <w:pPr>
        <w:pStyle w:val="ab"/>
        <w:ind w:firstLine="560"/>
      </w:pPr>
      <w:r w:rsidRPr="00986CEF">
        <w:rPr>
          <w:rFonts w:hint="eastAsia"/>
          <w:lang w:eastAsia="zh-TW"/>
        </w:rPr>
        <w:t>即便如此，並不妨礙本文探討“反義共詞”的起源問題。正是因爲古人受自身思想觀念的局限性、社會分工不夠細化、生產力水平不高等多方面因素的限制，他們所造的文字形體，爲“反義共詞”現象的產生提供了滋生的土壤。我們站在今人的角度看古人語言中的“反義共詞”現象，可以知曉“反義共詞”從產生到發展的脈絡。而站在古人的角度去體會他們的語言文字，則能更深刻地體會，“反義共詞”產生的原因。</w:t>
      </w:r>
    </w:p>
    <w:p w14:paraId="105C3D12" w14:textId="77777777" w:rsidR="00AD226E" w:rsidRPr="00986CEF" w:rsidRDefault="00AD226E" w:rsidP="00986CEF">
      <w:pPr>
        <w:pStyle w:val="ab"/>
        <w:ind w:firstLine="560"/>
        <w:rPr>
          <w:rFonts w:hint="eastAsia"/>
        </w:rPr>
      </w:pPr>
    </w:p>
    <w:p w14:paraId="13790429" w14:textId="77777777" w:rsidR="00986CEF" w:rsidRPr="00986CEF" w:rsidRDefault="00986CEF" w:rsidP="00AD226E">
      <w:pPr>
        <w:pStyle w:val="ab"/>
        <w:ind w:firstLineChars="0" w:firstLine="0"/>
        <w:jc w:val="center"/>
        <w:rPr>
          <w:b/>
          <w:bCs/>
          <w:lang w:eastAsia="zh-TW"/>
        </w:rPr>
      </w:pPr>
      <w:r w:rsidRPr="00986CEF">
        <w:rPr>
          <w:rFonts w:hint="eastAsia"/>
          <w:b/>
          <w:bCs/>
          <w:lang w:eastAsia="zh-TW"/>
        </w:rPr>
        <w:t>五、結語</w:t>
      </w:r>
    </w:p>
    <w:p w14:paraId="24A14FE5" w14:textId="77777777" w:rsidR="00986CEF" w:rsidRPr="00986CEF" w:rsidRDefault="00986CEF" w:rsidP="00986CEF">
      <w:pPr>
        <w:pStyle w:val="ab"/>
        <w:ind w:firstLine="560"/>
        <w:rPr>
          <w:lang w:eastAsia="zh-TW"/>
        </w:rPr>
      </w:pPr>
      <w:r w:rsidRPr="00986CEF">
        <w:rPr>
          <w:rFonts w:hint="eastAsia"/>
          <w:lang w:eastAsia="zh-TW"/>
        </w:rPr>
        <w:t>“反訓”現象之所以存在爭議，在很大程度上是因爲學界沒有判定“反訓”的統一的前提和標準，而且人們對“反訓”一詞的理解和稱名存在歧義。我們認爲，要確定好研究“反訓”的先決條件，同時對“反訓”的稱名重新加命名，然後再對“反訓”展開研究。</w:t>
      </w:r>
    </w:p>
    <w:p w14:paraId="5B82DB1B" w14:textId="77777777" w:rsidR="00986CEF" w:rsidRPr="00986CEF" w:rsidRDefault="00986CEF" w:rsidP="00986CEF">
      <w:pPr>
        <w:pStyle w:val="ab"/>
        <w:ind w:firstLine="560"/>
        <w:rPr>
          <w:lang w:eastAsia="zh-TW"/>
        </w:rPr>
      </w:pPr>
      <w:r w:rsidRPr="00986CEF">
        <w:rPr>
          <w:rFonts w:hint="eastAsia"/>
          <w:lang w:eastAsia="zh-TW"/>
        </w:rPr>
        <w:t>以往的研究多注重傳世文獻中的材料，而出土文獻中的材料還未得到充分的利用。討論“反義共詞”現象的起源，勢必要利用甲骨文材料才能把問題説清楚。深入到甲骨文在最初被創造時的情況來看，“反義共詞”在甲骨文產生之初就已現端倪，是“兼義造字”理論創</w:t>
      </w:r>
      <w:r w:rsidRPr="00986CEF">
        <w:rPr>
          <w:rFonts w:hint="eastAsia"/>
          <w:lang w:eastAsia="zh-TW"/>
        </w:rPr>
        <w:lastRenderedPageBreak/>
        <w:t>造下的產物。具體來説，“反義共詞”大概是由三個方面的因素共同所用的結果：第一，甲骨文形體所體現詞義的局限性；第二，甲骨文形體所指稱詞義的模糊性和豐富性；第三，甲骨文形體所體現詞義的辯證統一的關係。類似“入”“受”“以”“御”“聞”等相對或相反的意義共存的詞，皆是以上三個因素共同作用的結果。同時，我們所謂的“兼義造字”，是站在今人的角度觀察古人的語言文字材料，而並不是説造字時代的人們真的就完全具備了兼具多個詞義主動去創造文字的能力。這點尤其注意。</w:t>
      </w:r>
    </w:p>
    <w:p w14:paraId="1AD063EF" w14:textId="3D9F8786" w:rsidR="00986CEF" w:rsidRPr="00986CEF" w:rsidRDefault="00986CEF" w:rsidP="00AD226E">
      <w:pPr>
        <w:pStyle w:val="ab"/>
        <w:ind w:firstLine="560"/>
        <w:rPr>
          <w:rFonts w:hint="eastAsia"/>
        </w:rPr>
      </w:pPr>
      <w:r w:rsidRPr="00986CEF">
        <w:rPr>
          <w:rFonts w:hint="eastAsia"/>
          <w:lang w:eastAsia="zh-TW"/>
        </w:rPr>
        <w:t>最後，本文所論，難免有掛一漏萬乃至謬誤之處，敬請前輩、同行及廣大讀者予以批評、指正。</w:t>
      </w:r>
    </w:p>
    <w:p w14:paraId="032545DE" w14:textId="087319C5" w:rsidR="00726471" w:rsidRPr="00986CEF" w:rsidRDefault="00726471" w:rsidP="00D53655">
      <w:pPr>
        <w:pStyle w:val="ab"/>
        <w:ind w:firstLine="560"/>
        <w:rPr>
          <w:lang w:eastAsia="zh-TW"/>
        </w:rPr>
      </w:pPr>
    </w:p>
    <w:sectPr w:rsidR="00726471" w:rsidRPr="00986CEF">
      <w:headerReference w:type="default" r:id="rId23"/>
      <w:footerReference w:type="even" r:id="rId24"/>
      <w:footerReference w:type="default" r:id="rId25"/>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C9644" w14:textId="77777777" w:rsidR="004A5C26" w:rsidRDefault="004A5C26" w:rsidP="00CB0024">
      <w:r>
        <w:separator/>
      </w:r>
    </w:p>
  </w:endnote>
  <w:endnote w:type="continuationSeparator" w:id="0">
    <w:p w14:paraId="50843DB4" w14:textId="77777777" w:rsidR="004A5C26" w:rsidRDefault="004A5C26" w:rsidP="00CB0024">
      <w:r>
        <w:continuationSeparator/>
      </w:r>
    </w:p>
  </w:endnote>
  <w:endnote w:id="1">
    <w:p w14:paraId="74EDBA78" w14:textId="77777777" w:rsidR="00986CEF" w:rsidRPr="003D7009" w:rsidRDefault="00986CEF" w:rsidP="00986CEF">
      <w:pPr>
        <w:pStyle w:val="ae"/>
        <w:ind w:left="270" w:hanging="270"/>
        <w:rPr>
          <w:lang w:eastAsia="zh-TW"/>
        </w:rPr>
      </w:pPr>
      <w:r w:rsidRPr="003D7009">
        <w:rPr>
          <w:rStyle w:val="af"/>
        </w:rPr>
        <w:endnoteRef/>
      </w:r>
      <w:r w:rsidRPr="003D7009">
        <w:rPr>
          <w:lang w:eastAsia="zh-TW"/>
        </w:rPr>
        <w:t xml:space="preserve"> </w:t>
      </w:r>
      <w:r w:rsidRPr="003D7009">
        <w:rPr>
          <w:rFonts w:hint="eastAsia"/>
          <w:lang w:eastAsia="zh-TW"/>
        </w:rPr>
        <w:t>《十三經注疏</w:t>
      </w:r>
      <w:r>
        <w:rPr>
          <w:rFonts w:hint="eastAsia"/>
          <w:lang w:eastAsia="zh-TW"/>
        </w:rPr>
        <w:t>·爾雅注疏</w:t>
      </w:r>
      <w:r w:rsidRPr="003D7009">
        <w:rPr>
          <w:rFonts w:hint="eastAsia"/>
          <w:lang w:eastAsia="zh-TW"/>
        </w:rPr>
        <w:t>》</w:t>
      </w:r>
      <w:r>
        <w:rPr>
          <w:rFonts w:hint="eastAsia"/>
          <w:lang w:eastAsia="zh-TW"/>
        </w:rPr>
        <w:t>卷二《釋詁下》</w:t>
      </w:r>
      <w:r w:rsidRPr="003D7009">
        <w:rPr>
          <w:rFonts w:hint="eastAsia"/>
          <w:lang w:eastAsia="zh-TW"/>
        </w:rPr>
        <w:t>，中華書局，2</w:t>
      </w:r>
      <w:r w:rsidRPr="003D7009">
        <w:rPr>
          <w:lang w:eastAsia="zh-TW"/>
        </w:rPr>
        <w:t>009</w:t>
      </w:r>
      <w:r w:rsidRPr="003D7009">
        <w:rPr>
          <w:rFonts w:hint="eastAsia"/>
          <w:lang w:eastAsia="zh-TW"/>
        </w:rPr>
        <w:t>年，第</w:t>
      </w:r>
      <w:r w:rsidRPr="003D7009">
        <w:rPr>
          <w:lang w:eastAsia="zh-TW"/>
        </w:rPr>
        <w:t>5600</w:t>
      </w:r>
      <w:r w:rsidRPr="003D7009">
        <w:rPr>
          <w:rFonts w:hint="eastAsia"/>
          <w:lang w:eastAsia="zh-TW"/>
        </w:rPr>
        <w:t>頁。</w:t>
      </w:r>
    </w:p>
  </w:endnote>
  <w:endnote w:id="2">
    <w:p w14:paraId="5F177DE9" w14:textId="77777777" w:rsidR="00986CEF" w:rsidRPr="003D7009" w:rsidRDefault="00986CEF" w:rsidP="00986CEF">
      <w:pPr>
        <w:pStyle w:val="ae"/>
        <w:ind w:left="270" w:hanging="270"/>
      </w:pPr>
      <w:r w:rsidRPr="003D7009">
        <w:rPr>
          <w:rStyle w:val="af"/>
        </w:rPr>
        <w:endnoteRef/>
      </w:r>
      <w:r w:rsidRPr="003D7009">
        <w:t xml:space="preserve"> </w:t>
      </w:r>
      <w:r w:rsidRPr="00EC1043">
        <w:rPr>
          <w:rFonts w:hint="eastAsia"/>
        </w:rPr>
        <w:t>《十三經注疏·爾雅注疏》卷二《釋詁下》，中華書局，2009年，第560</w:t>
      </w:r>
      <w:r>
        <w:t>5</w:t>
      </w:r>
      <w:r w:rsidRPr="00EC1043">
        <w:rPr>
          <w:rFonts w:hint="eastAsia"/>
        </w:rPr>
        <w:t>頁。</w:t>
      </w:r>
    </w:p>
  </w:endnote>
  <w:endnote w:id="3">
    <w:p w14:paraId="23463846"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“反訓”也稱作“相反爲訓”“正反同辭”等。</w:t>
      </w:r>
    </w:p>
  </w:endnote>
  <w:endnote w:id="4">
    <w:p w14:paraId="57E9AD18"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郭在貽《訓詁學》，中華書局，2</w:t>
      </w:r>
      <w:r w:rsidRPr="003D7009">
        <w:t>019</w:t>
      </w:r>
      <w:r w:rsidRPr="003D7009">
        <w:rPr>
          <w:rFonts w:hint="eastAsia"/>
        </w:rPr>
        <w:t>年，第7</w:t>
      </w:r>
      <w:r w:rsidRPr="003D7009">
        <w:t>9</w:t>
      </w:r>
      <w:r w:rsidRPr="003D7009">
        <w:rPr>
          <w:rFonts w:hint="eastAsia"/>
        </w:rPr>
        <w:t>頁。</w:t>
      </w:r>
    </w:p>
  </w:endnote>
  <w:endnote w:id="5">
    <w:p w14:paraId="3AA25F7D"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王寧《訓詁學原理》，中華書局，2</w:t>
      </w:r>
      <w:r w:rsidRPr="003D7009">
        <w:t>023</w:t>
      </w:r>
      <w:r w:rsidRPr="003D7009">
        <w:rPr>
          <w:rFonts w:hint="eastAsia"/>
        </w:rPr>
        <w:t>年，第1</w:t>
      </w:r>
      <w:r w:rsidRPr="003D7009">
        <w:t>18</w:t>
      </w:r>
      <w:r w:rsidRPr="003D7009">
        <w:rPr>
          <w:rFonts w:hint="eastAsia"/>
        </w:rPr>
        <w:t>—1</w:t>
      </w:r>
      <w:r w:rsidRPr="003D7009">
        <w:t>21</w:t>
      </w:r>
      <w:r w:rsidRPr="003D7009">
        <w:rPr>
          <w:rFonts w:hint="eastAsia"/>
        </w:rPr>
        <w:t>頁。</w:t>
      </w:r>
    </w:p>
  </w:endnote>
  <w:endnote w:id="6">
    <w:p w14:paraId="02361C39" w14:textId="77777777" w:rsidR="00986CEF" w:rsidRPr="009422C1" w:rsidRDefault="00986CEF" w:rsidP="00986CEF">
      <w:pPr>
        <w:pStyle w:val="ae"/>
        <w:ind w:left="270" w:hanging="270"/>
      </w:pPr>
      <w:r w:rsidRPr="009422C1">
        <w:rPr>
          <w:rStyle w:val="af"/>
        </w:rPr>
        <w:endnoteRef/>
      </w:r>
      <w:r w:rsidRPr="009422C1">
        <w:t xml:space="preserve"> </w:t>
      </w:r>
      <w:r>
        <w:rPr>
          <w:rFonts w:hint="eastAsia"/>
        </w:rPr>
        <w:t>“亂”與“</w:t>
      </w:r>
      <w:r w:rsidRPr="009422C1">
        <w:rPr>
          <w:rFonts w:ascii="SimSun-ExtB" w:eastAsia="SimSun-ExtB" w:hAnsi="SimSun-ExtB" w:cs="SimSun-ExtB" w:hint="eastAsia"/>
        </w:rPr>
        <w:t>𤔔</w:t>
      </w:r>
      <w:r w:rsidRPr="009422C1">
        <w:rPr>
          <w:rFonts w:hint="eastAsia"/>
        </w:rPr>
        <w:t>”</w:t>
      </w:r>
      <w:r>
        <w:rPr>
          <w:rFonts w:hint="eastAsia"/>
        </w:rPr>
        <w:t>同字，是</w:t>
      </w:r>
      <w:r w:rsidRPr="009422C1">
        <w:rPr>
          <w:rFonts w:hint="eastAsia"/>
        </w:rPr>
        <w:t>“</w:t>
      </w:r>
      <w:r w:rsidRPr="009422C1">
        <w:rPr>
          <w:rFonts w:ascii="SimSun-ExtB" w:eastAsia="SimSun-ExtB" w:hAnsi="SimSun-ExtB" w:cs="SimSun-ExtB" w:hint="eastAsia"/>
        </w:rPr>
        <w:t>𤔔</w:t>
      </w:r>
      <w:r w:rsidRPr="009422C1">
        <w:rPr>
          <w:rFonts w:hint="eastAsia"/>
        </w:rPr>
        <w:t>”</w:t>
      </w:r>
      <w:r>
        <w:rPr>
          <w:rFonts w:hint="eastAsia"/>
        </w:rPr>
        <w:t>的分化字。</w:t>
      </w:r>
    </w:p>
  </w:endnote>
  <w:endnote w:id="7">
    <w:p w14:paraId="70E57A11"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郭在貽《訓詁學》，中華書局2019年，第79頁。</w:t>
      </w:r>
    </w:p>
  </w:endnote>
  <w:endnote w:id="8">
    <w:p w14:paraId="2E88C355"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如齊佩瑢《訓詁學概論》，中華書局，1</w:t>
      </w:r>
      <w:r w:rsidRPr="003D7009">
        <w:t>984</w:t>
      </w:r>
      <w:r w:rsidRPr="003D7009">
        <w:rPr>
          <w:rFonts w:hint="eastAsia"/>
        </w:rPr>
        <w:t>年。張清常《〈爾雅〉研究的回顧與展望——紀念羅常培老師》，《語言研究》，1984年第1期，第70頁。郭錫良《漢語史論集》，商務印書館，1997年，第2</w:t>
      </w:r>
      <w:r w:rsidRPr="003D7009">
        <w:t>51</w:t>
      </w:r>
      <w:r w:rsidRPr="003D7009">
        <w:rPr>
          <w:rFonts w:hint="eastAsia"/>
        </w:rPr>
        <w:t>—2</w:t>
      </w:r>
      <w:r w:rsidRPr="003D7009">
        <w:t>65</w:t>
      </w:r>
      <w:r w:rsidRPr="003D7009">
        <w:rPr>
          <w:rFonts w:hint="eastAsia"/>
        </w:rPr>
        <w:t>頁。</w:t>
      </w:r>
    </w:p>
  </w:endnote>
  <w:endnote w:id="9">
    <w:p w14:paraId="4FBA66AD"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王寧《訓詁學原理》，中華書局，2023</w:t>
      </w:r>
      <w:r w:rsidRPr="003D7009">
        <w:rPr>
          <w:rFonts w:hint="eastAsia"/>
        </w:rPr>
        <w:t>年，第1</w:t>
      </w:r>
      <w:r w:rsidRPr="003D7009">
        <w:t>16</w:t>
      </w:r>
      <w:r w:rsidRPr="003D7009">
        <w:rPr>
          <w:rFonts w:hint="eastAsia"/>
        </w:rPr>
        <w:t>—1</w:t>
      </w:r>
      <w:r w:rsidRPr="003D7009">
        <w:t>24</w:t>
      </w:r>
      <w:r w:rsidRPr="003D7009">
        <w:rPr>
          <w:rFonts w:hint="eastAsia"/>
        </w:rPr>
        <w:t>頁。</w:t>
      </w:r>
    </w:p>
  </w:endnote>
  <w:endnote w:id="10">
    <w:p w14:paraId="3D01C9AC"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郭錫良《漢語史論集》，商務印書館，1997</w:t>
      </w:r>
      <w:r w:rsidRPr="003D7009">
        <w:rPr>
          <w:rFonts w:hint="eastAsia"/>
        </w:rPr>
        <w:t>年，第25</w:t>
      </w:r>
      <w:r w:rsidRPr="003D7009">
        <w:t>8</w:t>
      </w:r>
      <w:r w:rsidRPr="003D7009">
        <w:rPr>
          <w:rFonts w:hint="eastAsia"/>
        </w:rPr>
        <w:t>頁。</w:t>
      </w:r>
    </w:p>
  </w:endnote>
  <w:endnote w:id="11">
    <w:p w14:paraId="08A2A8A0"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關於“反訓”問題的爭議，可參楊榮祥《“反訓”研究綜述》，《中國語文天地》，1</w:t>
      </w:r>
      <w:r w:rsidRPr="003D7009">
        <w:t>988</w:t>
      </w:r>
      <w:r w:rsidRPr="003D7009">
        <w:rPr>
          <w:rFonts w:hint="eastAsia"/>
        </w:rPr>
        <w:t>年第5期</w:t>
      </w:r>
      <w:r>
        <w:rPr>
          <w:rFonts w:hint="eastAsia"/>
        </w:rPr>
        <w:t>；</w:t>
      </w:r>
      <w:r w:rsidRPr="003D7009">
        <w:rPr>
          <w:rFonts w:hint="eastAsia"/>
        </w:rPr>
        <w:t>李仕春《漢語構詞法和造詞法研究》，語文出版社，2</w:t>
      </w:r>
      <w:r w:rsidRPr="003D7009">
        <w:t>011</w:t>
      </w:r>
      <w:r w:rsidRPr="003D7009">
        <w:rPr>
          <w:rFonts w:hint="eastAsia"/>
        </w:rPr>
        <w:t>年，第1</w:t>
      </w:r>
      <w:r w:rsidRPr="003D7009">
        <w:t>33</w:t>
      </w:r>
      <w:r w:rsidRPr="003D7009">
        <w:rPr>
          <w:rFonts w:hint="eastAsia"/>
        </w:rPr>
        <w:t>—1</w:t>
      </w:r>
      <w:r w:rsidRPr="003D7009">
        <w:t>37</w:t>
      </w:r>
      <w:r w:rsidRPr="003D7009">
        <w:rPr>
          <w:rFonts w:hint="eastAsia"/>
        </w:rPr>
        <w:t>頁。</w:t>
      </w:r>
    </w:p>
  </w:endnote>
  <w:endnote w:id="12">
    <w:p w14:paraId="632BAD22"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目前所見到的結合出土文獻材料研究“反訓”的研究成果有：董琨《漢語的詞義蘊含與漢字的兼義造字》，《紀念中國社會科學院建院三十周年學術論文集 語言研究所卷》，方志出版社，2007</w:t>
      </w:r>
      <w:r w:rsidRPr="003D7009">
        <w:rPr>
          <w:rFonts w:hint="eastAsia"/>
        </w:rPr>
        <w:t>年，第291—298頁。洪颺《“正反同詞”文字學研究舉例》，《中國文字研究》第32輯，上海書店出版社，2016年，第101頁。寇占民《兩周金文施受同辭考索——兼論傳統訓詁學上的反訓》，《出土文獻綜合研究集刊》，2</w:t>
      </w:r>
      <w:r w:rsidRPr="003D7009">
        <w:t>023</w:t>
      </w:r>
      <w:r w:rsidRPr="003D7009">
        <w:rPr>
          <w:rFonts w:hint="eastAsia"/>
        </w:rPr>
        <w:t>年第1期，第5</w:t>
      </w:r>
      <w:r w:rsidRPr="003D7009">
        <w:t>0</w:t>
      </w:r>
      <w:r w:rsidRPr="003D7009">
        <w:rPr>
          <w:rFonts w:hint="eastAsia"/>
        </w:rPr>
        <w:t>—6</w:t>
      </w:r>
      <w:r w:rsidRPr="003D7009">
        <w:t>6</w:t>
      </w:r>
      <w:r w:rsidRPr="003D7009">
        <w:rPr>
          <w:rFonts w:hint="eastAsia"/>
        </w:rPr>
        <w:t>頁。</w:t>
      </w:r>
    </w:p>
  </w:endnote>
  <w:endnote w:id="13">
    <w:p w14:paraId="1D9DD53C"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 xml:space="preserve">董琨先生最早提出“兼義造字”理論。詳見董琨《漢語的詞義蘊含與漢字的兼義造字》，《紀念中國社會科學院建院三十周年學術論文集 </w:t>
      </w:r>
      <w:r w:rsidRPr="003D7009">
        <w:rPr>
          <w:rFonts w:hint="eastAsia"/>
        </w:rPr>
        <w:t>語言研究所卷》，方志出版社，2007年，第291—298頁。</w:t>
      </w:r>
    </w:p>
  </w:endnote>
  <w:endnote w:id="14">
    <w:p w14:paraId="4B0A1725"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 xml:space="preserve">董琨《漢語的詞義蘊含與漢字的兼義造字》，《紀念中國社會科學院建院三十周年學術論文集 </w:t>
      </w:r>
      <w:r w:rsidRPr="003D7009">
        <w:rPr>
          <w:rFonts w:hint="eastAsia"/>
        </w:rPr>
        <w:t>語言研究所卷》，方志出版社，2007年，第2</w:t>
      </w:r>
      <w:r w:rsidRPr="003D7009">
        <w:t>97</w:t>
      </w:r>
      <w:r w:rsidRPr="003D7009">
        <w:rPr>
          <w:rFonts w:hint="eastAsia"/>
        </w:rPr>
        <w:t>頁。</w:t>
      </w:r>
    </w:p>
  </w:endnote>
  <w:endnote w:id="15">
    <w:p w14:paraId="5D26B0B2"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關於“義位”的概念，可參唐超群《義項·義位·概念》，《辭書研究》，1</w:t>
      </w:r>
      <w:r w:rsidRPr="003D7009">
        <w:t>985</w:t>
      </w:r>
      <w:r w:rsidRPr="003D7009">
        <w:rPr>
          <w:rFonts w:hint="eastAsia"/>
        </w:rPr>
        <w:t>年第6期，第5</w:t>
      </w:r>
      <w:r w:rsidRPr="003D7009">
        <w:t>5</w:t>
      </w:r>
      <w:r w:rsidRPr="003D7009">
        <w:rPr>
          <w:rFonts w:hint="eastAsia"/>
        </w:rPr>
        <w:t>—</w:t>
      </w:r>
      <w:r w:rsidRPr="003D7009">
        <w:t>60</w:t>
      </w:r>
      <w:r w:rsidRPr="003D7009">
        <w:rPr>
          <w:rFonts w:hint="eastAsia"/>
        </w:rPr>
        <w:t>頁、1</w:t>
      </w:r>
      <w:r w:rsidRPr="003D7009">
        <w:t>37</w:t>
      </w:r>
      <w:r w:rsidRPr="003D7009">
        <w:rPr>
          <w:rFonts w:hint="eastAsia"/>
        </w:rPr>
        <w:t>頁。本文對“義位”和“義項”兩個術語不做嚴格區分，故“義位”也可以稱作“義項”。</w:t>
      </w:r>
    </w:p>
  </w:endnote>
  <w:endnote w:id="16">
    <w:p w14:paraId="305576BB"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詹人風《現代漢語語義學》，商務印書館，1</w:t>
      </w:r>
      <w:r w:rsidRPr="003D7009">
        <w:t>997</w:t>
      </w:r>
      <w:r w:rsidRPr="003D7009">
        <w:rPr>
          <w:rFonts w:hint="eastAsia"/>
        </w:rPr>
        <w:t>年，第2</w:t>
      </w:r>
      <w:r w:rsidRPr="003D7009">
        <w:t>7</w:t>
      </w:r>
      <w:r w:rsidRPr="003D7009">
        <w:rPr>
          <w:rFonts w:hint="eastAsia"/>
        </w:rPr>
        <w:t>頁。</w:t>
      </w:r>
    </w:p>
  </w:endnote>
  <w:endnote w:id="17">
    <w:p w14:paraId="59B8A425"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詹人風《現代漢語語義學》，商務印書館，1997</w:t>
      </w:r>
      <w:r w:rsidRPr="003D7009">
        <w:rPr>
          <w:rFonts w:hint="eastAsia"/>
        </w:rPr>
        <w:t>年，第</w:t>
      </w:r>
      <w:r w:rsidRPr="003D7009">
        <w:t>40</w:t>
      </w:r>
      <w:r w:rsidRPr="003D7009">
        <w:rPr>
          <w:rFonts w:hint="eastAsia"/>
        </w:rPr>
        <w:t>—4</w:t>
      </w:r>
      <w:r w:rsidRPr="003D7009">
        <w:t>1</w:t>
      </w:r>
      <w:r w:rsidRPr="003D7009">
        <w:rPr>
          <w:rFonts w:hint="eastAsia"/>
        </w:rPr>
        <w:t>頁。</w:t>
      </w:r>
    </w:p>
  </w:endnote>
  <w:endnote w:id="18">
    <w:p w14:paraId="1B7E12D5"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齊佩瑢《訓詁學概論》，中華書局，1984</w:t>
      </w:r>
      <w:r w:rsidRPr="003D7009">
        <w:rPr>
          <w:rFonts w:hint="eastAsia"/>
        </w:rPr>
        <w:t>年，第1</w:t>
      </w:r>
      <w:r w:rsidRPr="003D7009">
        <w:t>45</w:t>
      </w:r>
      <w:r w:rsidRPr="003D7009">
        <w:rPr>
          <w:rFonts w:hint="eastAsia"/>
        </w:rPr>
        <w:t>—1</w:t>
      </w:r>
      <w:r w:rsidRPr="003D7009">
        <w:t>62</w:t>
      </w:r>
      <w:r w:rsidRPr="003D7009">
        <w:rPr>
          <w:rFonts w:hint="eastAsia"/>
        </w:rPr>
        <w:t>頁。馬啟俊《“反訓”這個術語不能成立》，《古漢語研究》，1</w:t>
      </w:r>
      <w:r w:rsidRPr="003D7009">
        <w:t>995</w:t>
      </w:r>
      <w:r w:rsidRPr="003D7009">
        <w:rPr>
          <w:rFonts w:hint="eastAsia"/>
        </w:rPr>
        <w:t>年第2期。王寧《訓詁學原理》，中華書局，2</w:t>
      </w:r>
      <w:r w:rsidRPr="003D7009">
        <w:t>023</w:t>
      </w:r>
      <w:r w:rsidRPr="003D7009">
        <w:rPr>
          <w:rFonts w:hint="eastAsia"/>
        </w:rPr>
        <w:t>年</w:t>
      </w:r>
      <w:r>
        <w:rPr>
          <w:rFonts w:hint="eastAsia"/>
        </w:rPr>
        <w:t>，</w:t>
      </w:r>
      <w:r w:rsidRPr="003D7009">
        <w:rPr>
          <w:rFonts w:hint="eastAsia"/>
        </w:rPr>
        <w:t>第1</w:t>
      </w:r>
      <w:r w:rsidRPr="003D7009">
        <w:t>16</w:t>
      </w:r>
      <w:r w:rsidRPr="003D7009">
        <w:rPr>
          <w:rFonts w:hint="eastAsia"/>
        </w:rPr>
        <w:t>—1</w:t>
      </w:r>
      <w:r w:rsidRPr="003D7009">
        <w:t>21</w:t>
      </w:r>
      <w:r w:rsidRPr="003D7009">
        <w:rPr>
          <w:rFonts w:hint="eastAsia"/>
        </w:rPr>
        <w:t>頁。</w:t>
      </w:r>
    </w:p>
  </w:endnote>
  <w:endnote w:id="19">
    <w:p w14:paraId="4EA544BA"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王寧《訓詁學原理》，中華書局，2023</w:t>
      </w:r>
      <w:r w:rsidRPr="003D7009">
        <w:rPr>
          <w:rFonts w:hint="eastAsia"/>
        </w:rPr>
        <w:t>年，第11</w:t>
      </w:r>
      <w:r w:rsidRPr="003D7009">
        <w:t>7</w:t>
      </w:r>
      <w:r w:rsidRPr="003D7009">
        <w:rPr>
          <w:rFonts w:hint="eastAsia"/>
        </w:rPr>
        <w:t>—1</w:t>
      </w:r>
      <w:r w:rsidRPr="003D7009">
        <w:t>18</w:t>
      </w:r>
      <w:r w:rsidRPr="003D7009">
        <w:rPr>
          <w:rFonts w:hint="eastAsia"/>
        </w:rPr>
        <w:t>頁。</w:t>
      </w:r>
    </w:p>
  </w:endnote>
  <w:endnote w:id="20">
    <w:p w14:paraId="354A7B1F"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林菁《反訓例釋》，《辭書研究》，1</w:t>
      </w:r>
      <w:r w:rsidRPr="003D7009">
        <w:t>984</w:t>
      </w:r>
      <w:r w:rsidRPr="003D7009">
        <w:rPr>
          <w:rFonts w:hint="eastAsia"/>
        </w:rPr>
        <w:t>年第1期，第6</w:t>
      </w:r>
      <w:r w:rsidRPr="003D7009">
        <w:t>2</w:t>
      </w:r>
      <w:r w:rsidRPr="003D7009">
        <w:rPr>
          <w:rFonts w:hint="eastAsia"/>
        </w:rPr>
        <w:t>頁。</w:t>
      </w:r>
    </w:p>
  </w:endnote>
  <w:endnote w:id="21">
    <w:p w14:paraId="05622F27"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 xml:space="preserve">董琨《漢語的詞義蘊含與漢字的兼義造字》，《紀念中國社會科學院建院三十周年學術論文集 </w:t>
      </w:r>
      <w:r w:rsidRPr="003D7009">
        <w:rPr>
          <w:rFonts w:hint="eastAsia"/>
        </w:rPr>
        <w:t>語言研究所卷》，方志出版社，2007年，第291</w:t>
      </w:r>
      <w:r>
        <w:rPr>
          <w:rFonts w:hint="eastAsia"/>
        </w:rPr>
        <w:t>—</w:t>
      </w:r>
      <w:r w:rsidRPr="003D7009">
        <w:t>292</w:t>
      </w:r>
      <w:r w:rsidRPr="003D7009">
        <w:rPr>
          <w:rFonts w:hint="eastAsia"/>
        </w:rPr>
        <w:t>頁。</w:t>
      </w:r>
    </w:p>
  </w:endnote>
  <w:endnote w:id="22">
    <w:p w14:paraId="22B7AB4F"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裘錫圭《文字學概要》，商務印書館，2</w:t>
      </w:r>
      <w:r w:rsidRPr="003D7009">
        <w:t>013</w:t>
      </w:r>
      <w:r w:rsidRPr="003D7009">
        <w:rPr>
          <w:rFonts w:hint="eastAsia"/>
        </w:rPr>
        <w:t>年，第1頁。</w:t>
      </w:r>
    </w:p>
  </w:endnote>
  <w:endnote w:id="23">
    <w:p w14:paraId="7B33BBC1"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李運富《甲骨文彰顯中華文明突出特性》，《中國社會科學報》“真理之光”專欄，2</w:t>
      </w:r>
      <w:r w:rsidRPr="003D7009">
        <w:t>024</w:t>
      </w:r>
      <w:r w:rsidRPr="003D7009">
        <w:rPr>
          <w:rFonts w:hint="eastAsia"/>
        </w:rPr>
        <w:t>年1月3</w:t>
      </w:r>
      <w:r w:rsidRPr="003D7009">
        <w:t>1</w:t>
      </w:r>
      <w:r w:rsidRPr="003D7009">
        <w:rPr>
          <w:rFonts w:hint="eastAsia"/>
        </w:rPr>
        <w:t>日。</w:t>
      </w:r>
    </w:p>
  </w:endnote>
  <w:endnote w:id="24">
    <w:p w14:paraId="0AB6D4F3"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中國社會科學院歷史研究所編《甲骨文合集》，中華書局，1</w:t>
      </w:r>
      <w:r w:rsidRPr="003D7009">
        <w:t>999</w:t>
      </w:r>
      <w:r w:rsidRPr="003D7009">
        <w:rPr>
          <w:rFonts w:hint="eastAsia"/>
        </w:rPr>
        <w:t>年。下文簡稱“《合集》”。</w:t>
      </w:r>
    </w:p>
  </w:endnote>
  <w:endnote w:id="25">
    <w:p w14:paraId="23142F3E"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季旭昇《説文新證》，藝文印書館，2014</w:t>
      </w:r>
      <w:r w:rsidRPr="003D7009">
        <w:rPr>
          <w:rFonts w:hint="eastAsia"/>
        </w:rPr>
        <w:t>年，第1</w:t>
      </w:r>
      <w:r w:rsidRPr="003D7009">
        <w:t>67</w:t>
      </w:r>
      <w:r w:rsidRPr="003D7009">
        <w:rPr>
          <w:rFonts w:hint="eastAsia"/>
        </w:rPr>
        <w:t>頁。</w:t>
      </w:r>
    </w:p>
  </w:endnote>
  <w:endnote w:id="26">
    <w:p w14:paraId="58652381"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殷滌非認爲：“古代戰爭俘異族之婦女，視其爲有罪，即被作爲奴隸。頭上戴辛（</w:t>
      </w:r>
      <w:r w:rsidRPr="003D7009">
        <w:rPr>
          <w:rFonts w:hint="eastAsia"/>
        </w:rPr>
        <w:t>筆者按：刑具），殆爲古代奴隸之標記。甲骨文妾字，即作女子頭上戴辛跪地之形。故妾義爲罪隸。”詳參殷滌非《妾俑與妾字》，《文物研究》第1</w:t>
      </w:r>
      <w:r w:rsidRPr="003D7009">
        <w:t>3</w:t>
      </w:r>
      <w:r w:rsidRPr="003D7009">
        <w:rPr>
          <w:rFonts w:hint="eastAsia"/>
        </w:rPr>
        <w:t>輯，黃山書社，2</w:t>
      </w:r>
      <w:r w:rsidRPr="003D7009">
        <w:t>001</w:t>
      </w:r>
      <w:r w:rsidRPr="003D7009">
        <w:rPr>
          <w:rFonts w:hint="eastAsia"/>
        </w:rPr>
        <w:t>年，第3</w:t>
      </w:r>
      <w:r w:rsidRPr="003D7009">
        <w:t>49</w:t>
      </w:r>
      <w:r w:rsidRPr="003D7009">
        <w:rPr>
          <w:rFonts w:hint="eastAsia"/>
        </w:rPr>
        <w:t>—</w:t>
      </w:r>
      <w:r w:rsidRPr="003D7009">
        <w:t>351</w:t>
      </w:r>
      <w:r w:rsidRPr="003D7009">
        <w:rPr>
          <w:rFonts w:hint="eastAsia"/>
        </w:rPr>
        <w:t>頁。</w:t>
      </w:r>
    </w:p>
  </w:endnote>
  <w:endnote w:id="27">
    <w:p w14:paraId="3B0FFEBB" w14:textId="77777777" w:rsidR="00986CEF" w:rsidRPr="008F1C19" w:rsidRDefault="00986CEF" w:rsidP="00986CEF">
      <w:pPr>
        <w:pStyle w:val="ae"/>
        <w:ind w:left="270" w:hanging="270"/>
      </w:pPr>
      <w:r w:rsidRPr="008F1C19">
        <w:rPr>
          <w:rStyle w:val="af"/>
        </w:rPr>
        <w:endnoteRef/>
      </w:r>
      <w:r w:rsidRPr="008F1C19">
        <w:t xml:space="preserve"> </w:t>
      </w:r>
      <w:r>
        <w:rPr>
          <w:rFonts w:hint="eastAsia"/>
        </w:rPr>
        <w:t>向熹《簡明漢語史》，商務印書館，2010</w:t>
      </w:r>
      <w:r>
        <w:rPr>
          <w:rFonts w:hint="eastAsia"/>
        </w:rPr>
        <w:t>年，第368頁。</w:t>
      </w:r>
    </w:p>
  </w:endnote>
  <w:endnote w:id="28">
    <w:p w14:paraId="6FAC10DD"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林義光《文源》，中西書局，2</w:t>
      </w:r>
      <w:r w:rsidRPr="003D7009">
        <w:t>012</w:t>
      </w:r>
      <w:r w:rsidRPr="003D7009">
        <w:rPr>
          <w:rFonts w:hint="eastAsia"/>
        </w:rPr>
        <w:t>年，第</w:t>
      </w:r>
      <w:r w:rsidRPr="003D7009">
        <w:t>137</w:t>
      </w:r>
      <w:r w:rsidRPr="003D7009">
        <w:rPr>
          <w:rFonts w:hint="eastAsia"/>
        </w:rPr>
        <w:t>頁。</w:t>
      </w:r>
    </w:p>
  </w:endnote>
  <w:endnote w:id="29">
    <w:p w14:paraId="370FF2AF"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申小龍《中國古代語言學史》，復旦大學出版社，2</w:t>
      </w:r>
      <w:r w:rsidRPr="003D7009">
        <w:t>013</w:t>
      </w:r>
      <w:r w:rsidRPr="003D7009">
        <w:rPr>
          <w:rFonts w:hint="eastAsia"/>
        </w:rPr>
        <w:t>年，第3</w:t>
      </w:r>
      <w:r w:rsidRPr="003D7009">
        <w:t>29</w:t>
      </w:r>
      <w:r w:rsidRPr="003D7009">
        <w:rPr>
          <w:rFonts w:hint="eastAsia"/>
        </w:rPr>
        <w:t>頁。</w:t>
      </w:r>
    </w:p>
  </w:endnote>
  <w:endnote w:id="30">
    <w:p w14:paraId="79DDFBE9"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于省吾主編《甲骨文字詁林》，中華書局，1</w:t>
      </w:r>
      <w:r w:rsidRPr="003D7009">
        <w:t>999</w:t>
      </w:r>
      <w:r w:rsidRPr="003D7009">
        <w:rPr>
          <w:rFonts w:hint="eastAsia"/>
        </w:rPr>
        <w:t>年，第1</w:t>
      </w:r>
      <w:r w:rsidRPr="003D7009">
        <w:t>10</w:t>
      </w:r>
      <w:r w:rsidRPr="003D7009">
        <w:rPr>
          <w:rFonts w:hint="eastAsia"/>
        </w:rPr>
        <w:t>頁。</w:t>
      </w:r>
    </w:p>
  </w:endnote>
  <w:endnote w:id="31">
    <w:p w14:paraId="54161FC4"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楊樹達《卜辭瑣記》，上海古籍出版社，1</w:t>
      </w:r>
      <w:r w:rsidRPr="003D7009">
        <w:t>986</w:t>
      </w:r>
      <w:r w:rsidRPr="003D7009">
        <w:rPr>
          <w:rFonts w:hint="eastAsia"/>
        </w:rPr>
        <w:t>年，第1</w:t>
      </w:r>
      <w:r w:rsidRPr="003D7009">
        <w:t>9</w:t>
      </w:r>
      <w:r w:rsidRPr="003D7009">
        <w:rPr>
          <w:rFonts w:hint="eastAsia"/>
        </w:rPr>
        <w:t>頁。</w:t>
      </w:r>
    </w:p>
  </w:endnote>
  <w:endnote w:id="32">
    <w:p w14:paraId="6FCD816F"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王寧先生認爲：“討論反義共詞，不必要涉及漢語動詞的施受同詞問題。因為這是漢語及物動詞的普遍現象。”（王寧《訓詁學原理》，中華書局，2023年，第1</w:t>
      </w:r>
      <w:r w:rsidRPr="003D7009">
        <w:t>31</w:t>
      </w:r>
      <w:r w:rsidRPr="003D7009">
        <w:rPr>
          <w:rFonts w:hint="eastAsia"/>
        </w:rPr>
        <w:t>頁。）我們認爲，運用現代漢語語義學中的“義位分析法”分析卜辭辭例，“受”字仍然需要離析爲{授予}和{接受}兩個明確的義位，其他含有“施受同詞”現象的詞也是如此。因此，我們最後的結論是“施受同詞”仍然符合“反義共詞”。</w:t>
      </w:r>
    </w:p>
  </w:endnote>
  <w:endnote w:id="33">
    <w:p w14:paraId="39EB7A5B"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裘錫圭《説“以”》，收入《古文字論集》，中華書局，1</w:t>
      </w:r>
      <w:r w:rsidRPr="003D7009">
        <w:t>992</w:t>
      </w:r>
      <w:r w:rsidRPr="003D7009">
        <w:rPr>
          <w:rFonts w:hint="eastAsia"/>
        </w:rPr>
        <w:t>年，第1</w:t>
      </w:r>
      <w:r w:rsidRPr="003D7009">
        <w:t>06</w:t>
      </w:r>
      <w:r w:rsidRPr="003D7009">
        <w:rPr>
          <w:rFonts w:hint="eastAsia"/>
        </w:rPr>
        <w:t>—1</w:t>
      </w:r>
      <w:r w:rsidRPr="003D7009">
        <w:t>10</w:t>
      </w:r>
      <w:r w:rsidRPr="003D7009">
        <w:rPr>
          <w:rFonts w:hint="eastAsia"/>
        </w:rPr>
        <w:t>頁。</w:t>
      </w:r>
    </w:p>
  </w:endnote>
  <w:endnote w:id="34">
    <w:p w14:paraId="19C1D8CA"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季旭昇《説文新證》，藝文印書館，2</w:t>
      </w:r>
      <w:r w:rsidRPr="003D7009">
        <w:t>014</w:t>
      </w:r>
      <w:r w:rsidRPr="003D7009">
        <w:rPr>
          <w:rFonts w:hint="eastAsia"/>
        </w:rPr>
        <w:t>年，第9</w:t>
      </w:r>
      <w:r w:rsidRPr="003D7009">
        <w:t>79</w:t>
      </w:r>
      <w:r w:rsidRPr="003D7009">
        <w:rPr>
          <w:rFonts w:hint="eastAsia"/>
        </w:rPr>
        <w:t>—9</w:t>
      </w:r>
      <w:r w:rsidRPr="003D7009">
        <w:t>80</w:t>
      </w:r>
      <w:r w:rsidRPr="003D7009">
        <w:rPr>
          <w:rFonts w:hint="eastAsia"/>
        </w:rPr>
        <w:t>頁。</w:t>
      </w:r>
    </w:p>
  </w:endnote>
  <w:endnote w:id="35">
    <w:p w14:paraId="3CA68E28"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徐超《古漢字通解5</w:t>
      </w:r>
      <w:r w:rsidRPr="003D7009">
        <w:t>00</w:t>
      </w:r>
      <w:r w:rsidRPr="003D7009">
        <w:rPr>
          <w:rFonts w:hint="eastAsia"/>
        </w:rPr>
        <w:t>例》，中華書局，2</w:t>
      </w:r>
      <w:r w:rsidRPr="003D7009">
        <w:t>022</w:t>
      </w:r>
      <w:r w:rsidRPr="003D7009">
        <w:rPr>
          <w:rFonts w:hint="eastAsia"/>
        </w:rPr>
        <w:t>年，第2</w:t>
      </w:r>
      <w:r w:rsidRPr="003D7009">
        <w:t>31</w:t>
      </w:r>
      <w:r w:rsidRPr="003D7009">
        <w:rPr>
          <w:rFonts w:hint="eastAsia"/>
        </w:rPr>
        <w:t>頁。</w:t>
      </w:r>
    </w:p>
  </w:endnote>
  <w:endnote w:id="36">
    <w:p w14:paraId="5CA86707"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寇占民《兩周金文施受同辭考索——兼論傳統訓詁學上的反訓》，《出土文獻綜合研究集刊》，2023</w:t>
      </w:r>
      <w:r w:rsidRPr="003D7009">
        <w:rPr>
          <w:rFonts w:hint="eastAsia"/>
        </w:rPr>
        <w:t>年第1期，第5</w:t>
      </w:r>
      <w:r w:rsidRPr="003D7009">
        <w:t>8</w:t>
      </w:r>
      <w:r w:rsidRPr="003D7009">
        <w:rPr>
          <w:rFonts w:hint="eastAsia"/>
        </w:rPr>
        <w:t>頁。</w:t>
      </w:r>
    </w:p>
  </w:endnote>
  <w:endnote w:id="37">
    <w:p w14:paraId="438550DC"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申小龍《辯證思維·引同協異·體用一源——再論中國古代思維之語言表象》，《江西大學學報（</w:t>
      </w:r>
      <w:r w:rsidRPr="003D7009">
        <w:rPr>
          <w:rFonts w:hint="eastAsia"/>
        </w:rPr>
        <w:t>社會科學版）》</w:t>
      </w:r>
      <w:r w:rsidRPr="003D7009">
        <w:t>1990</w:t>
      </w:r>
      <w:r w:rsidRPr="003D7009">
        <w:rPr>
          <w:rFonts w:hint="eastAsia"/>
        </w:rPr>
        <w:t>年第2期，第5</w:t>
      </w:r>
      <w:r w:rsidRPr="003D7009">
        <w:t>8</w:t>
      </w:r>
      <w:r w:rsidRPr="003D7009">
        <w:rPr>
          <w:rFonts w:hint="eastAsia"/>
        </w:rPr>
        <w:t>頁。</w:t>
      </w:r>
    </w:p>
  </w:endnote>
  <w:endnote w:id="38">
    <w:p w14:paraId="6C7BCF2D"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申小龍《辯證思維·引同協異·體用一源——再論中國古代思維之語言表象》，《江西大學學報（</w:t>
      </w:r>
      <w:r w:rsidRPr="003D7009">
        <w:rPr>
          <w:rFonts w:hint="eastAsia"/>
        </w:rPr>
        <w:t>社會科學版）》1990年第2期，第58頁。</w:t>
      </w:r>
    </w:p>
  </w:endnote>
  <w:endnote w:id="39">
    <w:p w14:paraId="64C7E795"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詳參于省吾主編《甲骨文字詁林》，中華書局，1999</w:t>
      </w:r>
      <w:r w:rsidRPr="003D7009">
        <w:rPr>
          <w:rFonts w:hint="eastAsia"/>
        </w:rPr>
        <w:t>年，第3</w:t>
      </w:r>
      <w:r w:rsidRPr="003D7009">
        <w:t>91</w:t>
      </w:r>
      <w:r w:rsidRPr="003D7009">
        <w:rPr>
          <w:rFonts w:hint="eastAsia"/>
        </w:rPr>
        <w:t>—4</w:t>
      </w:r>
      <w:r w:rsidRPr="003D7009">
        <w:t>06</w:t>
      </w:r>
      <w:r w:rsidRPr="003D7009">
        <w:rPr>
          <w:rFonts w:hint="eastAsia"/>
        </w:rPr>
        <w:t>頁。</w:t>
      </w:r>
    </w:p>
  </w:endnote>
  <w:endnote w:id="40">
    <w:p w14:paraId="640C313E"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中國社會科學院歷史研究所編《甲骨文合集補編》，語文出版社，1</w:t>
      </w:r>
      <w:r w:rsidRPr="003D7009">
        <w:t>999</w:t>
      </w:r>
      <w:r w:rsidRPr="003D7009">
        <w:rPr>
          <w:rFonts w:hint="eastAsia"/>
        </w:rPr>
        <w:t>年。簡稱“《合補》”。</w:t>
      </w:r>
    </w:p>
  </w:endnote>
  <w:endnote w:id="41">
    <w:p w14:paraId="42CA09DD"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彭裕商《漢語古文字學概論》，四川大學出版社，2</w:t>
      </w:r>
      <w:r w:rsidRPr="003D7009">
        <w:t>021</w:t>
      </w:r>
      <w:r w:rsidRPr="003D7009">
        <w:rPr>
          <w:rFonts w:hint="eastAsia"/>
        </w:rPr>
        <w:t>年，第1</w:t>
      </w:r>
      <w:r w:rsidRPr="003D7009">
        <w:t>55</w:t>
      </w:r>
      <w:r w:rsidRPr="003D7009">
        <w:rPr>
          <w:rFonts w:hint="eastAsia"/>
        </w:rPr>
        <w:t>—1</w:t>
      </w:r>
      <w:r w:rsidRPr="003D7009">
        <w:t>56</w:t>
      </w:r>
      <w:r w:rsidRPr="003D7009">
        <w:rPr>
          <w:rFonts w:hint="eastAsia"/>
        </w:rPr>
        <w:t>頁。</w:t>
      </w:r>
    </w:p>
  </w:endnote>
  <w:endnote w:id="42">
    <w:p w14:paraId="5BE9442B"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兩義雖然反向，但一定得相因的情況包括：同一行爲相銜接的兩個過程；聯繫於同一特點；同一事物所具有的兩種相關的性質。可參王寧《訓詁學原理》，中華書局，2</w:t>
      </w:r>
      <w:r w:rsidRPr="003D7009">
        <w:t>023</w:t>
      </w:r>
      <w:r w:rsidRPr="003D7009">
        <w:rPr>
          <w:rFonts w:hint="eastAsia"/>
        </w:rPr>
        <w:t>年，第1</w:t>
      </w:r>
      <w:r w:rsidRPr="003D7009">
        <w:t>31</w:t>
      </w:r>
      <w:r w:rsidRPr="003D7009">
        <w:rPr>
          <w:rFonts w:hint="eastAsia"/>
        </w:rPr>
        <w:t>—1</w:t>
      </w:r>
      <w:r w:rsidRPr="003D7009">
        <w:t>33</w:t>
      </w:r>
      <w:r w:rsidRPr="003D7009">
        <w:rPr>
          <w:rFonts w:hint="eastAsia"/>
        </w:rPr>
        <w:t>頁。</w:t>
      </w:r>
    </w:p>
  </w:endnote>
  <w:endnote w:id="43">
    <w:p w14:paraId="1EE8FA24" w14:textId="77777777" w:rsidR="00986CEF" w:rsidRPr="003D7009" w:rsidRDefault="00986CEF" w:rsidP="00986CEF">
      <w:pPr>
        <w:pStyle w:val="ae"/>
        <w:ind w:left="270" w:hanging="270"/>
      </w:pPr>
      <w:r w:rsidRPr="003D7009">
        <w:rPr>
          <w:rStyle w:val="af"/>
        </w:rPr>
        <w:endnoteRef/>
      </w:r>
      <w:r w:rsidRPr="003D7009">
        <w:t xml:space="preserve"> </w:t>
      </w:r>
      <w:r w:rsidRPr="003D7009">
        <w:rPr>
          <w:rFonts w:hint="eastAsia"/>
        </w:rPr>
        <w:t>這些差別包括：不共境；使用頻率不平衡；反義共詞在使用上往往與另一同義詞連用，以示區別。可參王寧《訓詁學原理》，中華書局，2023</w:t>
      </w:r>
      <w:r w:rsidRPr="003D7009">
        <w:rPr>
          <w:rFonts w:hint="eastAsia"/>
        </w:rPr>
        <w:t>年，第13</w:t>
      </w:r>
      <w:r w:rsidRPr="003D7009">
        <w:t>4</w:t>
      </w:r>
      <w:r w:rsidRPr="003D7009">
        <w:rPr>
          <w:rFonts w:hint="eastAsia"/>
        </w:rPr>
        <w:t>頁。</w:t>
      </w:r>
    </w:p>
  </w:endnote>
  <w:endnote w:id="44">
    <w:p w14:paraId="6AD10CB8" w14:textId="77777777" w:rsidR="00986CEF" w:rsidRPr="004B6281" w:rsidRDefault="00986CEF" w:rsidP="00986CEF">
      <w:pPr>
        <w:pStyle w:val="ae"/>
        <w:ind w:left="270" w:hanging="270"/>
      </w:pPr>
      <w:r w:rsidRPr="004B6281">
        <w:rPr>
          <w:rStyle w:val="af"/>
        </w:rPr>
        <w:endnoteRef/>
      </w:r>
      <w:r w:rsidRPr="004B6281">
        <w:t xml:space="preserve"> </w:t>
      </w:r>
      <w:r>
        <w:rPr>
          <w:rFonts w:hint="eastAsia"/>
        </w:rPr>
        <w:t>汪維輝先生的《古代文獻解讀中的“當代語感干擾”問題》指出了解讀古代文獻時存在的“以今例古”的普遍現象，可以參看。汪維輝《</w:t>
      </w:r>
      <w:r w:rsidRPr="00882A25">
        <w:rPr>
          <w:rFonts w:hint="eastAsia"/>
        </w:rPr>
        <w:t>古代文獻解讀中的“當代語感干擾”問題》</w:t>
      </w:r>
      <w:r>
        <w:rPr>
          <w:rFonts w:hint="eastAsia"/>
        </w:rPr>
        <w:t>，《清華語言學》第3</w:t>
      </w:r>
      <w:r>
        <w:rPr>
          <w:rFonts w:hint="eastAsia"/>
        </w:rPr>
        <w:t>輯，2022年，第1—37頁。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altName w:val="宋体"/>
    <w:charset w:val="86"/>
    <w:family w:val="script"/>
    <w:pitch w:val="fixed"/>
    <w:sig w:usb0="00000001" w:usb1="080E0000" w:usb2="00000010" w:usb3="00000000" w:csb0="00040000" w:csb1="00000000"/>
  </w:font>
  <w:font w:name="控呇湮佽恅苤蚼">
    <w:altName w:val="Microsoft JhengHei"/>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KaiXinSong">
    <w:charset w:val="00"/>
    <w:family w:val="modern"/>
    <w:pitch w:val="fixed"/>
    <w:sig w:usb0="800002BF" w:usb1="3AC97CFA" w:usb2="04000016" w:usb3="00000000" w:csb0="00000001"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C404" w14:textId="77777777" w:rsidR="003E6BB9" w:rsidRDefault="003E6BB9"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3A2AF50" w14:textId="77777777" w:rsidR="003E6BB9" w:rsidRDefault="003E6BB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8810" w14:textId="043C3B2F" w:rsidR="003E6BB9" w:rsidRPr="00CF5EB2" w:rsidRDefault="003E6BB9"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sidR="001F6F0F">
      <w:rPr>
        <w:sz w:val="18"/>
        <w:szCs w:val="18"/>
      </w:rPr>
      <w:t>2</w:t>
    </w:r>
    <w:r w:rsidR="00AD226E">
      <w:rPr>
        <w:rFonts w:hint="eastAsia"/>
        <w:sz w:val="18"/>
        <w:szCs w:val="18"/>
      </w:rPr>
      <w:t>4</w:t>
    </w:r>
    <w:r w:rsidRPr="00C01B1F">
      <w:rPr>
        <w:rFonts w:hint="eastAsia"/>
        <w:sz w:val="18"/>
        <w:szCs w:val="18"/>
      </w:rPr>
      <w:t>年</w:t>
    </w:r>
    <w:r w:rsidR="00AD226E">
      <w:rPr>
        <w:rFonts w:hint="eastAsia"/>
        <w:sz w:val="18"/>
        <w:szCs w:val="18"/>
      </w:rPr>
      <w:t>3</w:t>
    </w:r>
    <w:r w:rsidR="00CF5EB2">
      <w:rPr>
        <w:rFonts w:hint="eastAsia"/>
        <w:sz w:val="18"/>
        <w:szCs w:val="18"/>
      </w:rPr>
      <w:t>月</w:t>
    </w:r>
    <w:r w:rsidR="00726471">
      <w:rPr>
        <w:rFonts w:hint="eastAsia"/>
        <w:sz w:val="18"/>
        <w:szCs w:val="18"/>
      </w:rPr>
      <w:t>1</w:t>
    </w:r>
    <w:r w:rsidR="00AD226E">
      <w:rPr>
        <w:rFonts w:hint="eastAsia"/>
        <w:sz w:val="18"/>
        <w:szCs w:val="18"/>
      </w:rPr>
      <w:t>9</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1F6F0F">
      <w:rPr>
        <w:sz w:val="18"/>
        <w:szCs w:val="18"/>
      </w:rPr>
      <w:t>2</w:t>
    </w:r>
    <w:r w:rsidR="00AD226E">
      <w:rPr>
        <w:rFonts w:hint="eastAsia"/>
        <w:sz w:val="18"/>
        <w:szCs w:val="18"/>
      </w:rPr>
      <w:t>4</w:t>
    </w:r>
    <w:r w:rsidRPr="00C01B1F">
      <w:rPr>
        <w:rFonts w:hint="eastAsia"/>
        <w:sz w:val="18"/>
        <w:szCs w:val="18"/>
      </w:rPr>
      <w:t>年</w:t>
    </w:r>
    <w:r w:rsidR="00AD226E">
      <w:rPr>
        <w:rFonts w:hint="eastAsia"/>
        <w:sz w:val="18"/>
        <w:szCs w:val="18"/>
      </w:rPr>
      <w:t>3</w:t>
    </w:r>
    <w:r w:rsidRPr="00C01B1F">
      <w:rPr>
        <w:rFonts w:hint="eastAsia"/>
        <w:sz w:val="18"/>
        <w:szCs w:val="18"/>
      </w:rPr>
      <w:t>月</w:t>
    </w:r>
    <w:r w:rsidR="00AD226E">
      <w:rPr>
        <w:rFonts w:hint="eastAsia"/>
        <w:sz w:val="18"/>
        <w:szCs w:val="18"/>
      </w:rPr>
      <w:t>24</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D54B65">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D54B65">
      <w:rPr>
        <w:noProof/>
        <w:sz w:val="18"/>
        <w:szCs w:val="18"/>
      </w:rPr>
      <w:t>8</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3CA90" w14:textId="77777777" w:rsidR="004A5C26" w:rsidRDefault="004A5C26" w:rsidP="00CB0024">
      <w:r>
        <w:separator/>
      </w:r>
    </w:p>
  </w:footnote>
  <w:footnote w:type="continuationSeparator" w:id="0">
    <w:p w14:paraId="0C3A6FD0" w14:textId="77777777" w:rsidR="004A5C26" w:rsidRDefault="004A5C26"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49C5" w14:textId="77777777" w:rsidR="003E6BB9" w:rsidRDefault="003E6BB9" w:rsidP="00EF302F">
    <w:pPr>
      <w:pStyle w:val="af0"/>
      <w:spacing w:before="240" w:after="240"/>
      <w:ind w:firstLine="436"/>
    </w:pPr>
    <w:r>
      <w:rPr>
        <w:rFonts w:hint="eastAsia"/>
      </w:rPr>
      <w:t>复旦大学出土文献与古文字研究中心网站论文</w:t>
    </w:r>
  </w:p>
  <w:p w14:paraId="6F840705" w14:textId="2BE808CA" w:rsidR="00CF5EB2" w:rsidRPr="00CF5EB2" w:rsidRDefault="003E6BB9" w:rsidP="00CF5EB2">
    <w:pPr>
      <w:pStyle w:val="af0"/>
      <w:spacing w:before="240" w:after="240"/>
      <w:ind w:firstLine="436"/>
      <w:rPr>
        <w:rFonts w:hint="eastAsia"/>
      </w:rPr>
    </w:pPr>
    <w:r>
      <w:rPr>
        <w:rFonts w:hint="eastAsia"/>
      </w:rPr>
      <w:t>链接：</w:t>
    </w:r>
    <w:r w:rsidR="0030510A" w:rsidRPr="0030510A">
      <w:t>http://www.fdgwz.org.cn/Web/Show/</w:t>
    </w:r>
    <w:r w:rsidR="0066715B">
      <w:t>1</w:t>
    </w:r>
    <w:r w:rsidR="004838F8">
      <w:t>1</w:t>
    </w:r>
    <w:r w:rsidR="00AD226E">
      <w:rPr>
        <w:rFonts w:hint="eastAsia"/>
      </w:rPr>
      <w:t>130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44pt;height:49pt;visibility:visible" o:bullet="t">
        <v:imagedata r:id="rId1" o:title=""/>
      </v:shape>
    </w:pict>
  </w:numPicBullet>
  <w:numPicBullet w:numPicBulletId="1">
    <w:pict>
      <v:shape id="_x0000_i1259" type="#_x0000_t75" style="width:21.5pt;height:28pt" o:bullet="t">
        <v:imagedata r:id="rId2" o:title=""/>
        <o:lock v:ext="edit" aspectratio="f"/>
      </v:shape>
    </w:pict>
  </w:numPicBullet>
  <w:numPicBullet w:numPicBulletId="2">
    <w:pict>
      <v:shape id="_x0000_i1260" type="#_x0000_t75" style="width:174pt;height:179.5pt;flip:y;visibility:visible;mso-wrap-style:square" o:bullet="t">
        <v:imagedata r:id="rId3" o:title=""/>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50E8A9D"/>
    <w:multiLevelType w:val="singleLevel"/>
    <w:tmpl w:val="0409000F"/>
    <w:lvl w:ilvl="0">
      <w:start w:val="1"/>
      <w:numFmt w:val="decimal"/>
      <w:lvlText w:val="%1."/>
      <w:lvlJc w:val="left"/>
      <w:pPr>
        <w:ind w:left="820" w:hanging="420"/>
      </w:pPr>
      <w:rPr>
        <w:rFonts w:hint="eastAsia"/>
      </w:rPr>
    </w:lvl>
  </w:abstractNum>
  <w:abstractNum w:abstractNumId="4"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1AB22B5"/>
    <w:multiLevelType w:val="hybridMultilevel"/>
    <w:tmpl w:val="50E4BB52"/>
    <w:lvl w:ilvl="0" w:tplc="B03C7CCA">
      <w:start w:val="1"/>
      <w:numFmt w:val="decimal"/>
      <w:lvlText w:val="（%1）"/>
      <w:lvlJc w:val="left"/>
      <w:pPr>
        <w:ind w:left="1356" w:hanging="440"/>
      </w:pPr>
      <w:rPr>
        <w:rFonts w:hint="eastAsia"/>
      </w:rPr>
    </w:lvl>
    <w:lvl w:ilvl="1" w:tplc="04090019" w:tentative="1">
      <w:start w:val="1"/>
      <w:numFmt w:val="lowerLetter"/>
      <w:lvlText w:val="%2)"/>
      <w:lvlJc w:val="left"/>
      <w:pPr>
        <w:ind w:left="1796" w:hanging="440"/>
      </w:pPr>
    </w:lvl>
    <w:lvl w:ilvl="2" w:tplc="0409001B" w:tentative="1">
      <w:start w:val="1"/>
      <w:numFmt w:val="lowerRoman"/>
      <w:lvlText w:val="%3."/>
      <w:lvlJc w:val="right"/>
      <w:pPr>
        <w:ind w:left="2236" w:hanging="440"/>
      </w:pPr>
    </w:lvl>
    <w:lvl w:ilvl="3" w:tplc="0409000F" w:tentative="1">
      <w:start w:val="1"/>
      <w:numFmt w:val="decimal"/>
      <w:lvlText w:val="%4."/>
      <w:lvlJc w:val="left"/>
      <w:pPr>
        <w:ind w:left="2676" w:hanging="440"/>
      </w:pPr>
    </w:lvl>
    <w:lvl w:ilvl="4" w:tplc="04090019" w:tentative="1">
      <w:start w:val="1"/>
      <w:numFmt w:val="lowerLetter"/>
      <w:lvlText w:val="%5)"/>
      <w:lvlJc w:val="left"/>
      <w:pPr>
        <w:ind w:left="3116" w:hanging="440"/>
      </w:pPr>
    </w:lvl>
    <w:lvl w:ilvl="5" w:tplc="0409001B" w:tentative="1">
      <w:start w:val="1"/>
      <w:numFmt w:val="lowerRoman"/>
      <w:lvlText w:val="%6."/>
      <w:lvlJc w:val="right"/>
      <w:pPr>
        <w:ind w:left="3556" w:hanging="440"/>
      </w:pPr>
    </w:lvl>
    <w:lvl w:ilvl="6" w:tplc="0409000F" w:tentative="1">
      <w:start w:val="1"/>
      <w:numFmt w:val="decimal"/>
      <w:lvlText w:val="%7."/>
      <w:lvlJc w:val="left"/>
      <w:pPr>
        <w:ind w:left="3996" w:hanging="440"/>
      </w:pPr>
    </w:lvl>
    <w:lvl w:ilvl="7" w:tplc="04090019" w:tentative="1">
      <w:start w:val="1"/>
      <w:numFmt w:val="lowerLetter"/>
      <w:lvlText w:val="%8)"/>
      <w:lvlJc w:val="left"/>
      <w:pPr>
        <w:ind w:left="4436" w:hanging="440"/>
      </w:pPr>
    </w:lvl>
    <w:lvl w:ilvl="8" w:tplc="0409001B" w:tentative="1">
      <w:start w:val="1"/>
      <w:numFmt w:val="lowerRoman"/>
      <w:lvlText w:val="%9."/>
      <w:lvlJc w:val="right"/>
      <w:pPr>
        <w:ind w:left="4876" w:hanging="440"/>
      </w:pPr>
    </w:lvl>
  </w:abstractNum>
  <w:abstractNum w:abstractNumId="17" w15:restartNumberingAfterBreak="0">
    <w:nsid w:val="01F136F0"/>
    <w:multiLevelType w:val="hybridMultilevel"/>
    <w:tmpl w:val="AB4C381C"/>
    <w:lvl w:ilvl="0" w:tplc="B03C7CCA">
      <w:start w:val="1"/>
      <w:numFmt w:val="decimal"/>
      <w:lvlText w:val="（%1）"/>
      <w:lvlJc w:val="left"/>
      <w:pPr>
        <w:ind w:left="1356" w:hanging="440"/>
      </w:pPr>
      <w:rPr>
        <w:rFonts w:hint="eastAsia"/>
      </w:rPr>
    </w:lvl>
    <w:lvl w:ilvl="1" w:tplc="04090019" w:tentative="1">
      <w:start w:val="1"/>
      <w:numFmt w:val="lowerLetter"/>
      <w:lvlText w:val="%2)"/>
      <w:lvlJc w:val="left"/>
      <w:pPr>
        <w:ind w:left="1796" w:hanging="440"/>
      </w:pPr>
    </w:lvl>
    <w:lvl w:ilvl="2" w:tplc="0409001B" w:tentative="1">
      <w:start w:val="1"/>
      <w:numFmt w:val="lowerRoman"/>
      <w:lvlText w:val="%3."/>
      <w:lvlJc w:val="right"/>
      <w:pPr>
        <w:ind w:left="2236" w:hanging="440"/>
      </w:pPr>
    </w:lvl>
    <w:lvl w:ilvl="3" w:tplc="0409000F" w:tentative="1">
      <w:start w:val="1"/>
      <w:numFmt w:val="decimal"/>
      <w:lvlText w:val="%4."/>
      <w:lvlJc w:val="left"/>
      <w:pPr>
        <w:ind w:left="2676" w:hanging="440"/>
      </w:pPr>
    </w:lvl>
    <w:lvl w:ilvl="4" w:tplc="04090019" w:tentative="1">
      <w:start w:val="1"/>
      <w:numFmt w:val="lowerLetter"/>
      <w:lvlText w:val="%5)"/>
      <w:lvlJc w:val="left"/>
      <w:pPr>
        <w:ind w:left="3116" w:hanging="440"/>
      </w:pPr>
    </w:lvl>
    <w:lvl w:ilvl="5" w:tplc="0409001B" w:tentative="1">
      <w:start w:val="1"/>
      <w:numFmt w:val="lowerRoman"/>
      <w:lvlText w:val="%6."/>
      <w:lvlJc w:val="right"/>
      <w:pPr>
        <w:ind w:left="3556" w:hanging="440"/>
      </w:pPr>
    </w:lvl>
    <w:lvl w:ilvl="6" w:tplc="0409000F" w:tentative="1">
      <w:start w:val="1"/>
      <w:numFmt w:val="decimal"/>
      <w:lvlText w:val="%7."/>
      <w:lvlJc w:val="left"/>
      <w:pPr>
        <w:ind w:left="3996" w:hanging="440"/>
      </w:pPr>
    </w:lvl>
    <w:lvl w:ilvl="7" w:tplc="04090019" w:tentative="1">
      <w:start w:val="1"/>
      <w:numFmt w:val="lowerLetter"/>
      <w:lvlText w:val="%8)"/>
      <w:lvlJc w:val="left"/>
      <w:pPr>
        <w:ind w:left="4436" w:hanging="440"/>
      </w:pPr>
    </w:lvl>
    <w:lvl w:ilvl="8" w:tplc="0409001B" w:tentative="1">
      <w:start w:val="1"/>
      <w:numFmt w:val="lowerRoman"/>
      <w:lvlText w:val="%9."/>
      <w:lvlJc w:val="right"/>
      <w:pPr>
        <w:ind w:left="4876" w:hanging="440"/>
      </w:pPr>
    </w:lvl>
  </w:abstractNum>
  <w:abstractNum w:abstractNumId="18"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FF54BF"/>
    <w:multiLevelType w:val="hybridMultilevel"/>
    <w:tmpl w:val="EDB00690"/>
    <w:lvl w:ilvl="0" w:tplc="B03C7CCA">
      <w:start w:val="1"/>
      <w:numFmt w:val="decimal"/>
      <w:lvlText w:val="（%1）"/>
      <w:lvlJc w:val="left"/>
      <w:pPr>
        <w:ind w:left="1356" w:hanging="440"/>
      </w:pPr>
      <w:rPr>
        <w:rFonts w:hint="eastAsia"/>
      </w:rPr>
    </w:lvl>
    <w:lvl w:ilvl="1" w:tplc="04090019" w:tentative="1">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15:restartNumberingAfterBreak="0">
    <w:nsid w:val="0F166FD2"/>
    <w:multiLevelType w:val="hybridMultilevel"/>
    <w:tmpl w:val="37727FE2"/>
    <w:lvl w:ilvl="0" w:tplc="6018D08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5D54A74"/>
    <w:multiLevelType w:val="hybridMultilevel"/>
    <w:tmpl w:val="46F0C52A"/>
    <w:lvl w:ilvl="0" w:tplc="FFFFFFFF">
      <w:start w:val="1"/>
      <w:numFmt w:val="decimal"/>
      <w:lvlText w:val="（%1）"/>
      <w:lvlJc w:val="left"/>
      <w:pPr>
        <w:ind w:left="1356" w:hanging="440"/>
      </w:pPr>
      <w:rPr>
        <w:rFonts w:hint="eastAsia"/>
      </w:rPr>
    </w:lvl>
    <w:lvl w:ilvl="1" w:tplc="FFFFFFFF" w:tentative="1">
      <w:start w:val="1"/>
      <w:numFmt w:val="lowerLetter"/>
      <w:lvlText w:val="%2)"/>
      <w:lvlJc w:val="left"/>
      <w:pPr>
        <w:ind w:left="880" w:hanging="440"/>
      </w:pPr>
    </w:lvl>
    <w:lvl w:ilvl="2" w:tplc="B03C7CCA">
      <w:start w:val="1"/>
      <w:numFmt w:val="decimal"/>
      <w:lvlText w:val="（%3）"/>
      <w:lvlJc w:val="left"/>
      <w:pPr>
        <w:ind w:left="1320" w:hanging="440"/>
      </w:pPr>
      <w:rPr>
        <w:rFonts w:hint="eastAsia"/>
      </w:r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3" w15:restartNumberingAfterBreak="0">
    <w:nsid w:val="1A351760"/>
    <w:multiLevelType w:val="hybridMultilevel"/>
    <w:tmpl w:val="D5B2B656"/>
    <w:lvl w:ilvl="0" w:tplc="A432AD5C">
      <w:start w:val="1"/>
      <w:numFmt w:val="bullet"/>
      <w:lvlText w:val=""/>
      <w:lvlPicBulletId w:val="2"/>
      <w:lvlJc w:val="left"/>
      <w:pPr>
        <w:tabs>
          <w:tab w:val="num" w:pos="420"/>
        </w:tabs>
        <w:ind w:left="420" w:firstLine="0"/>
      </w:pPr>
      <w:rPr>
        <w:rFonts w:ascii="Symbol" w:hAnsi="Symbol" w:hint="default"/>
      </w:rPr>
    </w:lvl>
    <w:lvl w:ilvl="1" w:tplc="28C22166" w:tentative="1">
      <w:start w:val="1"/>
      <w:numFmt w:val="bullet"/>
      <w:lvlText w:val=""/>
      <w:lvlJc w:val="left"/>
      <w:pPr>
        <w:tabs>
          <w:tab w:val="num" w:pos="840"/>
        </w:tabs>
        <w:ind w:left="840" w:firstLine="0"/>
      </w:pPr>
      <w:rPr>
        <w:rFonts w:ascii="Symbol" w:hAnsi="Symbol" w:hint="default"/>
      </w:rPr>
    </w:lvl>
    <w:lvl w:ilvl="2" w:tplc="A8184FDE" w:tentative="1">
      <w:start w:val="1"/>
      <w:numFmt w:val="bullet"/>
      <w:lvlText w:val=""/>
      <w:lvlJc w:val="left"/>
      <w:pPr>
        <w:tabs>
          <w:tab w:val="num" w:pos="1260"/>
        </w:tabs>
        <w:ind w:left="1260" w:firstLine="0"/>
      </w:pPr>
      <w:rPr>
        <w:rFonts w:ascii="Symbol" w:hAnsi="Symbol" w:hint="default"/>
      </w:rPr>
    </w:lvl>
    <w:lvl w:ilvl="3" w:tplc="4BD6AC66" w:tentative="1">
      <w:start w:val="1"/>
      <w:numFmt w:val="bullet"/>
      <w:lvlText w:val=""/>
      <w:lvlJc w:val="left"/>
      <w:pPr>
        <w:tabs>
          <w:tab w:val="num" w:pos="1680"/>
        </w:tabs>
        <w:ind w:left="1680" w:firstLine="0"/>
      </w:pPr>
      <w:rPr>
        <w:rFonts w:ascii="Symbol" w:hAnsi="Symbol" w:hint="default"/>
      </w:rPr>
    </w:lvl>
    <w:lvl w:ilvl="4" w:tplc="57FCBE14" w:tentative="1">
      <w:start w:val="1"/>
      <w:numFmt w:val="bullet"/>
      <w:lvlText w:val=""/>
      <w:lvlJc w:val="left"/>
      <w:pPr>
        <w:tabs>
          <w:tab w:val="num" w:pos="2100"/>
        </w:tabs>
        <w:ind w:left="2100" w:firstLine="0"/>
      </w:pPr>
      <w:rPr>
        <w:rFonts w:ascii="Symbol" w:hAnsi="Symbol" w:hint="default"/>
      </w:rPr>
    </w:lvl>
    <w:lvl w:ilvl="5" w:tplc="A71C5552" w:tentative="1">
      <w:start w:val="1"/>
      <w:numFmt w:val="bullet"/>
      <w:lvlText w:val=""/>
      <w:lvlJc w:val="left"/>
      <w:pPr>
        <w:tabs>
          <w:tab w:val="num" w:pos="2520"/>
        </w:tabs>
        <w:ind w:left="2520" w:firstLine="0"/>
      </w:pPr>
      <w:rPr>
        <w:rFonts w:ascii="Symbol" w:hAnsi="Symbol" w:hint="default"/>
      </w:rPr>
    </w:lvl>
    <w:lvl w:ilvl="6" w:tplc="94B8ED68" w:tentative="1">
      <w:start w:val="1"/>
      <w:numFmt w:val="bullet"/>
      <w:lvlText w:val=""/>
      <w:lvlJc w:val="left"/>
      <w:pPr>
        <w:tabs>
          <w:tab w:val="num" w:pos="2940"/>
        </w:tabs>
        <w:ind w:left="2940" w:firstLine="0"/>
      </w:pPr>
      <w:rPr>
        <w:rFonts w:ascii="Symbol" w:hAnsi="Symbol" w:hint="default"/>
      </w:rPr>
    </w:lvl>
    <w:lvl w:ilvl="7" w:tplc="6686A238" w:tentative="1">
      <w:start w:val="1"/>
      <w:numFmt w:val="bullet"/>
      <w:lvlText w:val=""/>
      <w:lvlJc w:val="left"/>
      <w:pPr>
        <w:tabs>
          <w:tab w:val="num" w:pos="3360"/>
        </w:tabs>
        <w:ind w:left="3360" w:firstLine="0"/>
      </w:pPr>
      <w:rPr>
        <w:rFonts w:ascii="Symbol" w:hAnsi="Symbol" w:hint="default"/>
      </w:rPr>
    </w:lvl>
    <w:lvl w:ilvl="8" w:tplc="C4988DAC" w:tentative="1">
      <w:start w:val="1"/>
      <w:numFmt w:val="bullet"/>
      <w:lvlText w:val=""/>
      <w:lvlJc w:val="left"/>
      <w:pPr>
        <w:tabs>
          <w:tab w:val="num" w:pos="3780"/>
        </w:tabs>
        <w:ind w:left="3780" w:firstLine="0"/>
      </w:pPr>
      <w:rPr>
        <w:rFonts w:ascii="Symbol" w:hAnsi="Symbol" w:hint="default"/>
      </w:rPr>
    </w:lvl>
  </w:abstractNum>
  <w:abstractNum w:abstractNumId="24" w15:restartNumberingAfterBreak="0">
    <w:nsid w:val="1A7F2278"/>
    <w:multiLevelType w:val="hybridMultilevel"/>
    <w:tmpl w:val="23B4F87E"/>
    <w:lvl w:ilvl="0" w:tplc="B03C7CCA">
      <w:start w:val="1"/>
      <w:numFmt w:val="decimal"/>
      <w:lvlText w:val="（%1）"/>
      <w:lvlJc w:val="left"/>
      <w:pPr>
        <w:ind w:left="1356" w:hanging="440"/>
      </w:pPr>
      <w:rPr>
        <w:rFonts w:hint="eastAsia"/>
      </w:rPr>
    </w:lvl>
    <w:lvl w:ilvl="1" w:tplc="04090019" w:tentative="1">
      <w:start w:val="1"/>
      <w:numFmt w:val="lowerLetter"/>
      <w:lvlText w:val="%2)"/>
      <w:lvlJc w:val="left"/>
      <w:pPr>
        <w:ind w:left="1796" w:hanging="440"/>
      </w:pPr>
    </w:lvl>
    <w:lvl w:ilvl="2" w:tplc="0409001B" w:tentative="1">
      <w:start w:val="1"/>
      <w:numFmt w:val="lowerRoman"/>
      <w:lvlText w:val="%3."/>
      <w:lvlJc w:val="right"/>
      <w:pPr>
        <w:ind w:left="2236" w:hanging="440"/>
      </w:pPr>
    </w:lvl>
    <w:lvl w:ilvl="3" w:tplc="0409000F" w:tentative="1">
      <w:start w:val="1"/>
      <w:numFmt w:val="decimal"/>
      <w:lvlText w:val="%4."/>
      <w:lvlJc w:val="left"/>
      <w:pPr>
        <w:ind w:left="2676" w:hanging="440"/>
      </w:pPr>
    </w:lvl>
    <w:lvl w:ilvl="4" w:tplc="04090019" w:tentative="1">
      <w:start w:val="1"/>
      <w:numFmt w:val="lowerLetter"/>
      <w:lvlText w:val="%5)"/>
      <w:lvlJc w:val="left"/>
      <w:pPr>
        <w:ind w:left="3116" w:hanging="440"/>
      </w:pPr>
    </w:lvl>
    <w:lvl w:ilvl="5" w:tplc="0409001B" w:tentative="1">
      <w:start w:val="1"/>
      <w:numFmt w:val="lowerRoman"/>
      <w:lvlText w:val="%6."/>
      <w:lvlJc w:val="right"/>
      <w:pPr>
        <w:ind w:left="3556" w:hanging="440"/>
      </w:pPr>
    </w:lvl>
    <w:lvl w:ilvl="6" w:tplc="0409000F" w:tentative="1">
      <w:start w:val="1"/>
      <w:numFmt w:val="decimal"/>
      <w:lvlText w:val="%7."/>
      <w:lvlJc w:val="left"/>
      <w:pPr>
        <w:ind w:left="3996" w:hanging="440"/>
      </w:pPr>
    </w:lvl>
    <w:lvl w:ilvl="7" w:tplc="04090019" w:tentative="1">
      <w:start w:val="1"/>
      <w:numFmt w:val="lowerLetter"/>
      <w:lvlText w:val="%8)"/>
      <w:lvlJc w:val="left"/>
      <w:pPr>
        <w:ind w:left="4436" w:hanging="440"/>
      </w:pPr>
    </w:lvl>
    <w:lvl w:ilvl="8" w:tplc="0409001B" w:tentative="1">
      <w:start w:val="1"/>
      <w:numFmt w:val="lowerRoman"/>
      <w:lvlText w:val="%9."/>
      <w:lvlJc w:val="right"/>
      <w:pPr>
        <w:ind w:left="4876" w:hanging="440"/>
      </w:pPr>
    </w:lvl>
  </w:abstractNum>
  <w:abstractNum w:abstractNumId="25"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D601F82"/>
    <w:multiLevelType w:val="hybridMultilevel"/>
    <w:tmpl w:val="E2E2BB22"/>
    <w:lvl w:ilvl="0" w:tplc="8ECE0EF0">
      <w:start w:val="1"/>
      <w:numFmt w:val="bullet"/>
      <w:lvlText w:val=""/>
      <w:lvlPicBulletId w:val="2"/>
      <w:lvlJc w:val="left"/>
      <w:pPr>
        <w:tabs>
          <w:tab w:val="num" w:pos="420"/>
        </w:tabs>
        <w:ind w:left="420" w:firstLine="0"/>
      </w:pPr>
      <w:rPr>
        <w:rFonts w:ascii="Symbol" w:hAnsi="Symbol" w:hint="default"/>
      </w:rPr>
    </w:lvl>
    <w:lvl w:ilvl="1" w:tplc="82800450" w:tentative="1">
      <w:start w:val="1"/>
      <w:numFmt w:val="bullet"/>
      <w:lvlText w:val=""/>
      <w:lvlJc w:val="left"/>
      <w:pPr>
        <w:tabs>
          <w:tab w:val="num" w:pos="840"/>
        </w:tabs>
        <w:ind w:left="840" w:firstLine="0"/>
      </w:pPr>
      <w:rPr>
        <w:rFonts w:ascii="Symbol" w:hAnsi="Symbol" w:hint="default"/>
      </w:rPr>
    </w:lvl>
    <w:lvl w:ilvl="2" w:tplc="BDEC8900" w:tentative="1">
      <w:start w:val="1"/>
      <w:numFmt w:val="bullet"/>
      <w:lvlText w:val=""/>
      <w:lvlJc w:val="left"/>
      <w:pPr>
        <w:tabs>
          <w:tab w:val="num" w:pos="1260"/>
        </w:tabs>
        <w:ind w:left="1260" w:firstLine="0"/>
      </w:pPr>
      <w:rPr>
        <w:rFonts w:ascii="Symbol" w:hAnsi="Symbol" w:hint="default"/>
      </w:rPr>
    </w:lvl>
    <w:lvl w:ilvl="3" w:tplc="3A66D826" w:tentative="1">
      <w:start w:val="1"/>
      <w:numFmt w:val="bullet"/>
      <w:lvlText w:val=""/>
      <w:lvlJc w:val="left"/>
      <w:pPr>
        <w:tabs>
          <w:tab w:val="num" w:pos="1680"/>
        </w:tabs>
        <w:ind w:left="1680" w:firstLine="0"/>
      </w:pPr>
      <w:rPr>
        <w:rFonts w:ascii="Symbol" w:hAnsi="Symbol" w:hint="default"/>
      </w:rPr>
    </w:lvl>
    <w:lvl w:ilvl="4" w:tplc="B658C15A" w:tentative="1">
      <w:start w:val="1"/>
      <w:numFmt w:val="bullet"/>
      <w:lvlText w:val=""/>
      <w:lvlJc w:val="left"/>
      <w:pPr>
        <w:tabs>
          <w:tab w:val="num" w:pos="2100"/>
        </w:tabs>
        <w:ind w:left="2100" w:firstLine="0"/>
      </w:pPr>
      <w:rPr>
        <w:rFonts w:ascii="Symbol" w:hAnsi="Symbol" w:hint="default"/>
      </w:rPr>
    </w:lvl>
    <w:lvl w:ilvl="5" w:tplc="51FCB196" w:tentative="1">
      <w:start w:val="1"/>
      <w:numFmt w:val="bullet"/>
      <w:lvlText w:val=""/>
      <w:lvlJc w:val="left"/>
      <w:pPr>
        <w:tabs>
          <w:tab w:val="num" w:pos="2520"/>
        </w:tabs>
        <w:ind w:left="2520" w:firstLine="0"/>
      </w:pPr>
      <w:rPr>
        <w:rFonts w:ascii="Symbol" w:hAnsi="Symbol" w:hint="default"/>
      </w:rPr>
    </w:lvl>
    <w:lvl w:ilvl="6" w:tplc="75BC2972" w:tentative="1">
      <w:start w:val="1"/>
      <w:numFmt w:val="bullet"/>
      <w:lvlText w:val=""/>
      <w:lvlJc w:val="left"/>
      <w:pPr>
        <w:tabs>
          <w:tab w:val="num" w:pos="2940"/>
        </w:tabs>
        <w:ind w:left="2940" w:firstLine="0"/>
      </w:pPr>
      <w:rPr>
        <w:rFonts w:ascii="Symbol" w:hAnsi="Symbol" w:hint="default"/>
      </w:rPr>
    </w:lvl>
    <w:lvl w:ilvl="7" w:tplc="8188C278" w:tentative="1">
      <w:start w:val="1"/>
      <w:numFmt w:val="bullet"/>
      <w:lvlText w:val=""/>
      <w:lvlJc w:val="left"/>
      <w:pPr>
        <w:tabs>
          <w:tab w:val="num" w:pos="3360"/>
        </w:tabs>
        <w:ind w:left="3360" w:firstLine="0"/>
      </w:pPr>
      <w:rPr>
        <w:rFonts w:ascii="Symbol" w:hAnsi="Symbol" w:hint="default"/>
      </w:rPr>
    </w:lvl>
    <w:lvl w:ilvl="8" w:tplc="18108AFA" w:tentative="1">
      <w:start w:val="1"/>
      <w:numFmt w:val="bullet"/>
      <w:lvlText w:val=""/>
      <w:lvlJc w:val="left"/>
      <w:pPr>
        <w:tabs>
          <w:tab w:val="num" w:pos="3780"/>
        </w:tabs>
        <w:ind w:left="3780" w:firstLine="0"/>
      </w:pPr>
      <w:rPr>
        <w:rFonts w:ascii="Symbol" w:hAnsi="Symbol" w:hint="default"/>
      </w:rPr>
    </w:lvl>
  </w:abstractNum>
  <w:abstractNum w:abstractNumId="27" w15:restartNumberingAfterBreak="0">
    <w:nsid w:val="20CB5434"/>
    <w:multiLevelType w:val="hybridMultilevel"/>
    <w:tmpl w:val="33D83728"/>
    <w:lvl w:ilvl="0" w:tplc="B03C7CCA">
      <w:start w:val="1"/>
      <w:numFmt w:val="decimal"/>
      <w:lvlText w:val="（%1）"/>
      <w:lvlJc w:val="left"/>
      <w:pPr>
        <w:ind w:left="1356" w:hanging="440"/>
      </w:pPr>
      <w:rPr>
        <w:rFonts w:hint="eastAsia"/>
      </w:rPr>
    </w:lvl>
    <w:lvl w:ilvl="1" w:tplc="04090019" w:tentative="1">
      <w:start w:val="1"/>
      <w:numFmt w:val="lowerLetter"/>
      <w:lvlText w:val="%2)"/>
      <w:lvlJc w:val="left"/>
      <w:pPr>
        <w:ind w:left="1796" w:hanging="440"/>
      </w:pPr>
    </w:lvl>
    <w:lvl w:ilvl="2" w:tplc="0409001B" w:tentative="1">
      <w:start w:val="1"/>
      <w:numFmt w:val="lowerRoman"/>
      <w:lvlText w:val="%3."/>
      <w:lvlJc w:val="right"/>
      <w:pPr>
        <w:ind w:left="2236" w:hanging="440"/>
      </w:pPr>
    </w:lvl>
    <w:lvl w:ilvl="3" w:tplc="0409000F" w:tentative="1">
      <w:start w:val="1"/>
      <w:numFmt w:val="decimal"/>
      <w:lvlText w:val="%4."/>
      <w:lvlJc w:val="left"/>
      <w:pPr>
        <w:ind w:left="2676" w:hanging="440"/>
      </w:pPr>
    </w:lvl>
    <w:lvl w:ilvl="4" w:tplc="04090019" w:tentative="1">
      <w:start w:val="1"/>
      <w:numFmt w:val="lowerLetter"/>
      <w:lvlText w:val="%5)"/>
      <w:lvlJc w:val="left"/>
      <w:pPr>
        <w:ind w:left="3116" w:hanging="440"/>
      </w:pPr>
    </w:lvl>
    <w:lvl w:ilvl="5" w:tplc="0409001B" w:tentative="1">
      <w:start w:val="1"/>
      <w:numFmt w:val="lowerRoman"/>
      <w:lvlText w:val="%6."/>
      <w:lvlJc w:val="right"/>
      <w:pPr>
        <w:ind w:left="3556" w:hanging="440"/>
      </w:pPr>
    </w:lvl>
    <w:lvl w:ilvl="6" w:tplc="0409000F" w:tentative="1">
      <w:start w:val="1"/>
      <w:numFmt w:val="decimal"/>
      <w:lvlText w:val="%7."/>
      <w:lvlJc w:val="left"/>
      <w:pPr>
        <w:ind w:left="3996" w:hanging="440"/>
      </w:pPr>
    </w:lvl>
    <w:lvl w:ilvl="7" w:tplc="04090019" w:tentative="1">
      <w:start w:val="1"/>
      <w:numFmt w:val="lowerLetter"/>
      <w:lvlText w:val="%8)"/>
      <w:lvlJc w:val="left"/>
      <w:pPr>
        <w:ind w:left="4436" w:hanging="440"/>
      </w:pPr>
    </w:lvl>
    <w:lvl w:ilvl="8" w:tplc="0409001B" w:tentative="1">
      <w:start w:val="1"/>
      <w:numFmt w:val="lowerRoman"/>
      <w:lvlText w:val="%9."/>
      <w:lvlJc w:val="right"/>
      <w:pPr>
        <w:ind w:left="4876" w:hanging="440"/>
      </w:pPr>
    </w:lvl>
  </w:abstractNum>
  <w:abstractNum w:abstractNumId="28" w15:restartNumberingAfterBreak="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15:restartNumberingAfterBreak="0">
    <w:nsid w:val="2CC370AE"/>
    <w:multiLevelType w:val="hybridMultilevel"/>
    <w:tmpl w:val="61EC0B60"/>
    <w:lvl w:ilvl="0" w:tplc="D5047E0E">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31"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32" w15:restartNumberingAfterBreak="0">
    <w:nsid w:val="2F2F5CE4"/>
    <w:multiLevelType w:val="hybridMultilevel"/>
    <w:tmpl w:val="C68ED92C"/>
    <w:lvl w:ilvl="0" w:tplc="B03C7CCA">
      <w:start w:val="1"/>
      <w:numFmt w:val="decimal"/>
      <w:lvlText w:val="（%1）"/>
      <w:lvlJc w:val="left"/>
      <w:pPr>
        <w:ind w:left="1356" w:hanging="440"/>
      </w:pPr>
      <w:rPr>
        <w:rFonts w:hint="eastAsia"/>
      </w:rPr>
    </w:lvl>
    <w:lvl w:ilvl="1" w:tplc="04090019" w:tentative="1">
      <w:start w:val="1"/>
      <w:numFmt w:val="lowerLetter"/>
      <w:lvlText w:val="%2)"/>
      <w:lvlJc w:val="left"/>
      <w:pPr>
        <w:ind w:left="1796" w:hanging="440"/>
      </w:pPr>
    </w:lvl>
    <w:lvl w:ilvl="2" w:tplc="0409001B" w:tentative="1">
      <w:start w:val="1"/>
      <w:numFmt w:val="lowerRoman"/>
      <w:lvlText w:val="%3."/>
      <w:lvlJc w:val="right"/>
      <w:pPr>
        <w:ind w:left="2236" w:hanging="440"/>
      </w:pPr>
    </w:lvl>
    <w:lvl w:ilvl="3" w:tplc="0409000F" w:tentative="1">
      <w:start w:val="1"/>
      <w:numFmt w:val="decimal"/>
      <w:lvlText w:val="%4."/>
      <w:lvlJc w:val="left"/>
      <w:pPr>
        <w:ind w:left="2676" w:hanging="440"/>
      </w:pPr>
    </w:lvl>
    <w:lvl w:ilvl="4" w:tplc="04090019" w:tentative="1">
      <w:start w:val="1"/>
      <w:numFmt w:val="lowerLetter"/>
      <w:lvlText w:val="%5)"/>
      <w:lvlJc w:val="left"/>
      <w:pPr>
        <w:ind w:left="3116" w:hanging="440"/>
      </w:pPr>
    </w:lvl>
    <w:lvl w:ilvl="5" w:tplc="0409001B" w:tentative="1">
      <w:start w:val="1"/>
      <w:numFmt w:val="lowerRoman"/>
      <w:lvlText w:val="%6."/>
      <w:lvlJc w:val="right"/>
      <w:pPr>
        <w:ind w:left="3556" w:hanging="440"/>
      </w:pPr>
    </w:lvl>
    <w:lvl w:ilvl="6" w:tplc="0409000F" w:tentative="1">
      <w:start w:val="1"/>
      <w:numFmt w:val="decimal"/>
      <w:lvlText w:val="%7."/>
      <w:lvlJc w:val="left"/>
      <w:pPr>
        <w:ind w:left="3996" w:hanging="440"/>
      </w:pPr>
    </w:lvl>
    <w:lvl w:ilvl="7" w:tplc="04090019" w:tentative="1">
      <w:start w:val="1"/>
      <w:numFmt w:val="lowerLetter"/>
      <w:lvlText w:val="%8)"/>
      <w:lvlJc w:val="left"/>
      <w:pPr>
        <w:ind w:left="4436" w:hanging="440"/>
      </w:pPr>
    </w:lvl>
    <w:lvl w:ilvl="8" w:tplc="0409001B" w:tentative="1">
      <w:start w:val="1"/>
      <w:numFmt w:val="lowerRoman"/>
      <w:lvlText w:val="%9."/>
      <w:lvlJc w:val="right"/>
      <w:pPr>
        <w:ind w:left="4876" w:hanging="440"/>
      </w:pPr>
    </w:lvl>
  </w:abstractNum>
  <w:abstractNum w:abstractNumId="33"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5" w15:restartNumberingAfterBreak="0">
    <w:nsid w:val="34FB38D9"/>
    <w:multiLevelType w:val="hybridMultilevel"/>
    <w:tmpl w:val="421CB640"/>
    <w:lvl w:ilvl="0" w:tplc="B03C7CCA">
      <w:start w:val="1"/>
      <w:numFmt w:val="decimal"/>
      <w:lvlText w:val="（%1）"/>
      <w:lvlJc w:val="left"/>
      <w:pPr>
        <w:ind w:left="1356" w:hanging="440"/>
      </w:pPr>
      <w:rPr>
        <w:rFonts w:hint="eastAsia"/>
      </w:rPr>
    </w:lvl>
    <w:lvl w:ilvl="1" w:tplc="04090019" w:tentative="1">
      <w:start w:val="1"/>
      <w:numFmt w:val="lowerLetter"/>
      <w:lvlText w:val="%2)"/>
      <w:lvlJc w:val="left"/>
      <w:pPr>
        <w:ind w:left="1796" w:hanging="440"/>
      </w:pPr>
    </w:lvl>
    <w:lvl w:ilvl="2" w:tplc="0409001B" w:tentative="1">
      <w:start w:val="1"/>
      <w:numFmt w:val="lowerRoman"/>
      <w:lvlText w:val="%3."/>
      <w:lvlJc w:val="right"/>
      <w:pPr>
        <w:ind w:left="2236" w:hanging="440"/>
      </w:pPr>
    </w:lvl>
    <w:lvl w:ilvl="3" w:tplc="0409000F" w:tentative="1">
      <w:start w:val="1"/>
      <w:numFmt w:val="decimal"/>
      <w:lvlText w:val="%4."/>
      <w:lvlJc w:val="left"/>
      <w:pPr>
        <w:ind w:left="2676" w:hanging="440"/>
      </w:pPr>
    </w:lvl>
    <w:lvl w:ilvl="4" w:tplc="04090019" w:tentative="1">
      <w:start w:val="1"/>
      <w:numFmt w:val="lowerLetter"/>
      <w:lvlText w:val="%5)"/>
      <w:lvlJc w:val="left"/>
      <w:pPr>
        <w:ind w:left="3116" w:hanging="440"/>
      </w:pPr>
    </w:lvl>
    <w:lvl w:ilvl="5" w:tplc="0409001B" w:tentative="1">
      <w:start w:val="1"/>
      <w:numFmt w:val="lowerRoman"/>
      <w:lvlText w:val="%6."/>
      <w:lvlJc w:val="right"/>
      <w:pPr>
        <w:ind w:left="3556" w:hanging="440"/>
      </w:pPr>
    </w:lvl>
    <w:lvl w:ilvl="6" w:tplc="0409000F" w:tentative="1">
      <w:start w:val="1"/>
      <w:numFmt w:val="decimal"/>
      <w:lvlText w:val="%7."/>
      <w:lvlJc w:val="left"/>
      <w:pPr>
        <w:ind w:left="3996" w:hanging="440"/>
      </w:pPr>
    </w:lvl>
    <w:lvl w:ilvl="7" w:tplc="04090019" w:tentative="1">
      <w:start w:val="1"/>
      <w:numFmt w:val="lowerLetter"/>
      <w:lvlText w:val="%8)"/>
      <w:lvlJc w:val="left"/>
      <w:pPr>
        <w:ind w:left="4436" w:hanging="440"/>
      </w:pPr>
    </w:lvl>
    <w:lvl w:ilvl="8" w:tplc="0409001B" w:tentative="1">
      <w:start w:val="1"/>
      <w:numFmt w:val="lowerRoman"/>
      <w:lvlText w:val="%9."/>
      <w:lvlJc w:val="right"/>
      <w:pPr>
        <w:ind w:left="4876" w:hanging="440"/>
      </w:pPr>
    </w:lvl>
  </w:abstractNum>
  <w:abstractNum w:abstractNumId="36"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3A99374A"/>
    <w:multiLevelType w:val="hybridMultilevel"/>
    <w:tmpl w:val="6C2A18AA"/>
    <w:lvl w:ilvl="0" w:tplc="65D412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3BE27EB2"/>
    <w:multiLevelType w:val="hybridMultilevel"/>
    <w:tmpl w:val="685C20C4"/>
    <w:lvl w:ilvl="0" w:tplc="B03C7CCA">
      <w:start w:val="1"/>
      <w:numFmt w:val="decimal"/>
      <w:lvlText w:val="（%1）"/>
      <w:lvlJc w:val="left"/>
      <w:pPr>
        <w:ind w:left="1356" w:hanging="440"/>
      </w:pPr>
      <w:rPr>
        <w:rFonts w:hint="eastAsia"/>
      </w:rPr>
    </w:lvl>
    <w:lvl w:ilvl="1" w:tplc="04090019" w:tentative="1">
      <w:start w:val="1"/>
      <w:numFmt w:val="lowerLetter"/>
      <w:lvlText w:val="%2)"/>
      <w:lvlJc w:val="left"/>
      <w:pPr>
        <w:ind w:left="1796" w:hanging="440"/>
      </w:pPr>
    </w:lvl>
    <w:lvl w:ilvl="2" w:tplc="0409001B" w:tentative="1">
      <w:start w:val="1"/>
      <w:numFmt w:val="lowerRoman"/>
      <w:lvlText w:val="%3."/>
      <w:lvlJc w:val="right"/>
      <w:pPr>
        <w:ind w:left="2236" w:hanging="440"/>
      </w:pPr>
    </w:lvl>
    <w:lvl w:ilvl="3" w:tplc="0409000F" w:tentative="1">
      <w:start w:val="1"/>
      <w:numFmt w:val="decimal"/>
      <w:lvlText w:val="%4."/>
      <w:lvlJc w:val="left"/>
      <w:pPr>
        <w:ind w:left="2676" w:hanging="440"/>
      </w:pPr>
    </w:lvl>
    <w:lvl w:ilvl="4" w:tplc="04090019" w:tentative="1">
      <w:start w:val="1"/>
      <w:numFmt w:val="lowerLetter"/>
      <w:lvlText w:val="%5)"/>
      <w:lvlJc w:val="left"/>
      <w:pPr>
        <w:ind w:left="3116" w:hanging="440"/>
      </w:pPr>
    </w:lvl>
    <w:lvl w:ilvl="5" w:tplc="0409001B" w:tentative="1">
      <w:start w:val="1"/>
      <w:numFmt w:val="lowerRoman"/>
      <w:lvlText w:val="%6."/>
      <w:lvlJc w:val="right"/>
      <w:pPr>
        <w:ind w:left="3556" w:hanging="440"/>
      </w:pPr>
    </w:lvl>
    <w:lvl w:ilvl="6" w:tplc="0409000F" w:tentative="1">
      <w:start w:val="1"/>
      <w:numFmt w:val="decimal"/>
      <w:lvlText w:val="%7."/>
      <w:lvlJc w:val="left"/>
      <w:pPr>
        <w:ind w:left="3996" w:hanging="440"/>
      </w:pPr>
    </w:lvl>
    <w:lvl w:ilvl="7" w:tplc="04090019" w:tentative="1">
      <w:start w:val="1"/>
      <w:numFmt w:val="lowerLetter"/>
      <w:lvlText w:val="%8)"/>
      <w:lvlJc w:val="left"/>
      <w:pPr>
        <w:ind w:left="4436" w:hanging="440"/>
      </w:pPr>
    </w:lvl>
    <w:lvl w:ilvl="8" w:tplc="0409001B" w:tentative="1">
      <w:start w:val="1"/>
      <w:numFmt w:val="lowerRoman"/>
      <w:lvlText w:val="%9."/>
      <w:lvlJc w:val="right"/>
      <w:pPr>
        <w:ind w:left="4876" w:hanging="440"/>
      </w:pPr>
    </w:lvl>
  </w:abstractNum>
  <w:abstractNum w:abstractNumId="39" w15:restartNumberingAfterBreak="0">
    <w:nsid w:val="3EEAB6D7"/>
    <w:multiLevelType w:val="singleLevel"/>
    <w:tmpl w:val="3EEAB6D7"/>
    <w:lvl w:ilvl="0">
      <w:start w:val="1"/>
      <w:numFmt w:val="decimal"/>
      <w:lvlText w:val="%1)"/>
      <w:lvlJc w:val="left"/>
      <w:pPr>
        <w:ind w:left="425" w:hanging="425"/>
      </w:pPr>
      <w:rPr>
        <w:rFonts w:hint="default"/>
      </w:rPr>
    </w:lvl>
  </w:abstractNum>
  <w:abstractNum w:abstractNumId="40" w15:restartNumberingAfterBreak="0">
    <w:nsid w:val="45E179EA"/>
    <w:multiLevelType w:val="hybridMultilevel"/>
    <w:tmpl w:val="BD8ADDB2"/>
    <w:lvl w:ilvl="0" w:tplc="B03C7CCA">
      <w:start w:val="1"/>
      <w:numFmt w:val="decimal"/>
      <w:lvlText w:val="（%1）"/>
      <w:lvlJc w:val="left"/>
      <w:pPr>
        <w:ind w:left="1356" w:hanging="440"/>
      </w:pPr>
      <w:rPr>
        <w:rFonts w:hint="eastAsia"/>
      </w:rPr>
    </w:lvl>
    <w:lvl w:ilvl="1" w:tplc="04090019" w:tentative="1">
      <w:start w:val="1"/>
      <w:numFmt w:val="lowerLetter"/>
      <w:lvlText w:val="%2)"/>
      <w:lvlJc w:val="left"/>
      <w:pPr>
        <w:ind w:left="1796" w:hanging="440"/>
      </w:pPr>
    </w:lvl>
    <w:lvl w:ilvl="2" w:tplc="0409001B" w:tentative="1">
      <w:start w:val="1"/>
      <w:numFmt w:val="lowerRoman"/>
      <w:lvlText w:val="%3."/>
      <w:lvlJc w:val="right"/>
      <w:pPr>
        <w:ind w:left="2236" w:hanging="440"/>
      </w:pPr>
    </w:lvl>
    <w:lvl w:ilvl="3" w:tplc="0409000F" w:tentative="1">
      <w:start w:val="1"/>
      <w:numFmt w:val="decimal"/>
      <w:lvlText w:val="%4."/>
      <w:lvlJc w:val="left"/>
      <w:pPr>
        <w:ind w:left="2676" w:hanging="440"/>
      </w:pPr>
    </w:lvl>
    <w:lvl w:ilvl="4" w:tplc="04090019" w:tentative="1">
      <w:start w:val="1"/>
      <w:numFmt w:val="lowerLetter"/>
      <w:lvlText w:val="%5)"/>
      <w:lvlJc w:val="left"/>
      <w:pPr>
        <w:ind w:left="3116" w:hanging="440"/>
      </w:pPr>
    </w:lvl>
    <w:lvl w:ilvl="5" w:tplc="0409001B" w:tentative="1">
      <w:start w:val="1"/>
      <w:numFmt w:val="lowerRoman"/>
      <w:lvlText w:val="%6."/>
      <w:lvlJc w:val="right"/>
      <w:pPr>
        <w:ind w:left="3556" w:hanging="440"/>
      </w:pPr>
    </w:lvl>
    <w:lvl w:ilvl="6" w:tplc="0409000F" w:tentative="1">
      <w:start w:val="1"/>
      <w:numFmt w:val="decimal"/>
      <w:lvlText w:val="%7."/>
      <w:lvlJc w:val="left"/>
      <w:pPr>
        <w:ind w:left="3996" w:hanging="440"/>
      </w:pPr>
    </w:lvl>
    <w:lvl w:ilvl="7" w:tplc="04090019" w:tentative="1">
      <w:start w:val="1"/>
      <w:numFmt w:val="lowerLetter"/>
      <w:lvlText w:val="%8)"/>
      <w:lvlJc w:val="left"/>
      <w:pPr>
        <w:ind w:left="4436" w:hanging="440"/>
      </w:pPr>
    </w:lvl>
    <w:lvl w:ilvl="8" w:tplc="0409001B" w:tentative="1">
      <w:start w:val="1"/>
      <w:numFmt w:val="lowerRoman"/>
      <w:lvlText w:val="%9."/>
      <w:lvlJc w:val="right"/>
      <w:pPr>
        <w:ind w:left="4876" w:hanging="440"/>
      </w:pPr>
    </w:lvl>
  </w:abstractNum>
  <w:abstractNum w:abstractNumId="41" w15:restartNumberingAfterBreak="0">
    <w:nsid w:val="48B179AB"/>
    <w:multiLevelType w:val="hybridMultilevel"/>
    <w:tmpl w:val="E780C19E"/>
    <w:lvl w:ilvl="0" w:tplc="B03C7CCA">
      <w:start w:val="1"/>
      <w:numFmt w:val="decimal"/>
      <w:lvlText w:val="（%1）"/>
      <w:lvlJc w:val="left"/>
      <w:pPr>
        <w:ind w:left="1356" w:hanging="440"/>
      </w:pPr>
      <w:rPr>
        <w:rFonts w:hint="eastAsia"/>
      </w:rPr>
    </w:lvl>
    <w:lvl w:ilvl="1" w:tplc="04090019" w:tentative="1">
      <w:start w:val="1"/>
      <w:numFmt w:val="lowerLetter"/>
      <w:lvlText w:val="%2)"/>
      <w:lvlJc w:val="left"/>
      <w:pPr>
        <w:ind w:left="1796" w:hanging="440"/>
      </w:pPr>
    </w:lvl>
    <w:lvl w:ilvl="2" w:tplc="0409001B" w:tentative="1">
      <w:start w:val="1"/>
      <w:numFmt w:val="lowerRoman"/>
      <w:lvlText w:val="%3."/>
      <w:lvlJc w:val="right"/>
      <w:pPr>
        <w:ind w:left="2236" w:hanging="440"/>
      </w:pPr>
    </w:lvl>
    <w:lvl w:ilvl="3" w:tplc="0409000F" w:tentative="1">
      <w:start w:val="1"/>
      <w:numFmt w:val="decimal"/>
      <w:lvlText w:val="%4."/>
      <w:lvlJc w:val="left"/>
      <w:pPr>
        <w:ind w:left="2676" w:hanging="440"/>
      </w:pPr>
    </w:lvl>
    <w:lvl w:ilvl="4" w:tplc="04090019" w:tentative="1">
      <w:start w:val="1"/>
      <w:numFmt w:val="lowerLetter"/>
      <w:lvlText w:val="%5)"/>
      <w:lvlJc w:val="left"/>
      <w:pPr>
        <w:ind w:left="3116" w:hanging="440"/>
      </w:pPr>
    </w:lvl>
    <w:lvl w:ilvl="5" w:tplc="0409001B" w:tentative="1">
      <w:start w:val="1"/>
      <w:numFmt w:val="lowerRoman"/>
      <w:lvlText w:val="%6."/>
      <w:lvlJc w:val="right"/>
      <w:pPr>
        <w:ind w:left="3556" w:hanging="440"/>
      </w:pPr>
    </w:lvl>
    <w:lvl w:ilvl="6" w:tplc="0409000F" w:tentative="1">
      <w:start w:val="1"/>
      <w:numFmt w:val="decimal"/>
      <w:lvlText w:val="%7."/>
      <w:lvlJc w:val="left"/>
      <w:pPr>
        <w:ind w:left="3996" w:hanging="440"/>
      </w:pPr>
    </w:lvl>
    <w:lvl w:ilvl="7" w:tplc="04090019" w:tentative="1">
      <w:start w:val="1"/>
      <w:numFmt w:val="lowerLetter"/>
      <w:lvlText w:val="%8)"/>
      <w:lvlJc w:val="left"/>
      <w:pPr>
        <w:ind w:left="4436" w:hanging="440"/>
      </w:pPr>
    </w:lvl>
    <w:lvl w:ilvl="8" w:tplc="0409001B" w:tentative="1">
      <w:start w:val="1"/>
      <w:numFmt w:val="lowerRoman"/>
      <w:lvlText w:val="%9."/>
      <w:lvlJc w:val="right"/>
      <w:pPr>
        <w:ind w:left="4876" w:hanging="440"/>
      </w:pPr>
    </w:lvl>
  </w:abstractNum>
  <w:abstractNum w:abstractNumId="42" w15:restartNumberingAfterBreak="0">
    <w:nsid w:val="48E6620D"/>
    <w:multiLevelType w:val="hybridMultilevel"/>
    <w:tmpl w:val="39D87C88"/>
    <w:lvl w:ilvl="0" w:tplc="6018D0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4DDD61B6"/>
    <w:multiLevelType w:val="multilevel"/>
    <w:tmpl w:val="AA2E2B1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5" w15:restartNumberingAfterBreak="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6"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48" w15:restartNumberingAfterBreak="0">
    <w:nsid w:val="5A707373"/>
    <w:multiLevelType w:val="singleLevel"/>
    <w:tmpl w:val="5A707373"/>
    <w:lvl w:ilvl="0">
      <w:start w:val="1"/>
      <w:numFmt w:val="chineseCounting"/>
      <w:suff w:val="nothing"/>
      <w:lvlText w:val="第%1，"/>
      <w:lvlJc w:val="left"/>
    </w:lvl>
  </w:abstractNum>
  <w:abstractNum w:abstractNumId="49"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FF26E1"/>
    <w:multiLevelType w:val="hybridMultilevel"/>
    <w:tmpl w:val="F5AA1A34"/>
    <w:lvl w:ilvl="0" w:tplc="A9A246B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52"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1F10A2F"/>
    <w:multiLevelType w:val="hybridMultilevel"/>
    <w:tmpl w:val="0C8CD2C0"/>
    <w:lvl w:ilvl="0" w:tplc="E4F4E5C6">
      <w:start w:val="2"/>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73E90BD4"/>
    <w:multiLevelType w:val="hybridMultilevel"/>
    <w:tmpl w:val="EDE0488A"/>
    <w:lvl w:ilvl="0" w:tplc="36A6E10A">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A33DD3"/>
    <w:multiLevelType w:val="hybridMultilevel"/>
    <w:tmpl w:val="170C7D18"/>
    <w:lvl w:ilvl="0" w:tplc="97B818FA">
      <w:start w:val="1"/>
      <w:numFmt w:val="bullet"/>
      <w:lvlText w:val=""/>
      <w:lvlPicBulletId w:val="2"/>
      <w:lvlJc w:val="left"/>
      <w:pPr>
        <w:tabs>
          <w:tab w:val="num" w:pos="420"/>
        </w:tabs>
        <w:ind w:left="420" w:firstLine="0"/>
      </w:pPr>
      <w:rPr>
        <w:rFonts w:ascii="Symbol" w:hAnsi="Symbol" w:hint="default"/>
      </w:rPr>
    </w:lvl>
    <w:lvl w:ilvl="1" w:tplc="6F7A3842" w:tentative="1">
      <w:start w:val="1"/>
      <w:numFmt w:val="bullet"/>
      <w:lvlText w:val=""/>
      <w:lvlJc w:val="left"/>
      <w:pPr>
        <w:tabs>
          <w:tab w:val="num" w:pos="840"/>
        </w:tabs>
        <w:ind w:left="840" w:firstLine="0"/>
      </w:pPr>
      <w:rPr>
        <w:rFonts w:ascii="Symbol" w:hAnsi="Symbol" w:hint="default"/>
      </w:rPr>
    </w:lvl>
    <w:lvl w:ilvl="2" w:tplc="BD3E64BE" w:tentative="1">
      <w:start w:val="1"/>
      <w:numFmt w:val="bullet"/>
      <w:lvlText w:val=""/>
      <w:lvlJc w:val="left"/>
      <w:pPr>
        <w:tabs>
          <w:tab w:val="num" w:pos="1260"/>
        </w:tabs>
        <w:ind w:left="1260" w:firstLine="0"/>
      </w:pPr>
      <w:rPr>
        <w:rFonts w:ascii="Symbol" w:hAnsi="Symbol" w:hint="default"/>
      </w:rPr>
    </w:lvl>
    <w:lvl w:ilvl="3" w:tplc="3B489EAA" w:tentative="1">
      <w:start w:val="1"/>
      <w:numFmt w:val="bullet"/>
      <w:lvlText w:val=""/>
      <w:lvlJc w:val="left"/>
      <w:pPr>
        <w:tabs>
          <w:tab w:val="num" w:pos="1680"/>
        </w:tabs>
        <w:ind w:left="1680" w:firstLine="0"/>
      </w:pPr>
      <w:rPr>
        <w:rFonts w:ascii="Symbol" w:hAnsi="Symbol" w:hint="default"/>
      </w:rPr>
    </w:lvl>
    <w:lvl w:ilvl="4" w:tplc="69A2EFB6" w:tentative="1">
      <w:start w:val="1"/>
      <w:numFmt w:val="bullet"/>
      <w:lvlText w:val=""/>
      <w:lvlJc w:val="left"/>
      <w:pPr>
        <w:tabs>
          <w:tab w:val="num" w:pos="2100"/>
        </w:tabs>
        <w:ind w:left="2100" w:firstLine="0"/>
      </w:pPr>
      <w:rPr>
        <w:rFonts w:ascii="Symbol" w:hAnsi="Symbol" w:hint="default"/>
      </w:rPr>
    </w:lvl>
    <w:lvl w:ilvl="5" w:tplc="D6AE5C66" w:tentative="1">
      <w:start w:val="1"/>
      <w:numFmt w:val="bullet"/>
      <w:lvlText w:val=""/>
      <w:lvlJc w:val="left"/>
      <w:pPr>
        <w:tabs>
          <w:tab w:val="num" w:pos="2520"/>
        </w:tabs>
        <w:ind w:left="2520" w:firstLine="0"/>
      </w:pPr>
      <w:rPr>
        <w:rFonts w:ascii="Symbol" w:hAnsi="Symbol" w:hint="default"/>
      </w:rPr>
    </w:lvl>
    <w:lvl w:ilvl="6" w:tplc="44A0207C" w:tentative="1">
      <w:start w:val="1"/>
      <w:numFmt w:val="bullet"/>
      <w:lvlText w:val=""/>
      <w:lvlJc w:val="left"/>
      <w:pPr>
        <w:tabs>
          <w:tab w:val="num" w:pos="2940"/>
        </w:tabs>
        <w:ind w:left="2940" w:firstLine="0"/>
      </w:pPr>
      <w:rPr>
        <w:rFonts w:ascii="Symbol" w:hAnsi="Symbol" w:hint="default"/>
      </w:rPr>
    </w:lvl>
    <w:lvl w:ilvl="7" w:tplc="9DB23864" w:tentative="1">
      <w:start w:val="1"/>
      <w:numFmt w:val="bullet"/>
      <w:lvlText w:val=""/>
      <w:lvlJc w:val="left"/>
      <w:pPr>
        <w:tabs>
          <w:tab w:val="num" w:pos="3360"/>
        </w:tabs>
        <w:ind w:left="3360" w:firstLine="0"/>
      </w:pPr>
      <w:rPr>
        <w:rFonts w:ascii="Symbol" w:hAnsi="Symbol" w:hint="default"/>
      </w:rPr>
    </w:lvl>
    <w:lvl w:ilvl="8" w:tplc="D34223D8" w:tentative="1">
      <w:start w:val="1"/>
      <w:numFmt w:val="bullet"/>
      <w:lvlText w:val=""/>
      <w:lvlJc w:val="left"/>
      <w:pPr>
        <w:tabs>
          <w:tab w:val="num" w:pos="3780"/>
        </w:tabs>
        <w:ind w:left="3780" w:firstLine="0"/>
      </w:pPr>
      <w:rPr>
        <w:rFonts w:ascii="Symbol" w:hAnsi="Symbol" w:hint="default"/>
      </w:rPr>
    </w:lvl>
  </w:abstractNum>
  <w:num w:numId="1" w16cid:durableId="875041897">
    <w:abstractNumId w:val="30"/>
  </w:num>
  <w:num w:numId="2" w16cid:durableId="1370034272">
    <w:abstractNumId w:val="51"/>
  </w:num>
  <w:num w:numId="3" w16cid:durableId="680935010">
    <w:abstractNumId w:val="31"/>
  </w:num>
  <w:num w:numId="4" w16cid:durableId="932411">
    <w:abstractNumId w:val="47"/>
  </w:num>
  <w:num w:numId="5" w16cid:durableId="1601986532">
    <w:abstractNumId w:val="2"/>
  </w:num>
  <w:num w:numId="6" w16cid:durableId="1237936790">
    <w:abstractNumId w:val="48"/>
  </w:num>
  <w:num w:numId="7" w16cid:durableId="98527396">
    <w:abstractNumId w:val="36"/>
  </w:num>
  <w:num w:numId="8" w16cid:durableId="1825317576">
    <w:abstractNumId w:val="1"/>
    <w:lvlOverride w:ilvl="0">
      <w:startOverride w:val="1"/>
    </w:lvlOverride>
  </w:num>
  <w:num w:numId="9" w16cid:durableId="1070274433">
    <w:abstractNumId w:val="0"/>
    <w:lvlOverride w:ilvl="0">
      <w:startOverride w:val="1"/>
    </w:lvlOverride>
  </w:num>
  <w:num w:numId="10" w16cid:durableId="498038607">
    <w:abstractNumId w:val="25"/>
  </w:num>
  <w:num w:numId="11" w16cid:durableId="381637301">
    <w:abstractNumId w:val="34"/>
  </w:num>
  <w:num w:numId="12" w16cid:durableId="2042630965">
    <w:abstractNumId w:val="20"/>
  </w:num>
  <w:num w:numId="13" w16cid:durableId="1885948243">
    <w:abstractNumId w:val="14"/>
  </w:num>
  <w:num w:numId="14" w16cid:durableId="277639264">
    <w:abstractNumId w:val="15"/>
  </w:num>
  <w:num w:numId="15" w16cid:durableId="341980971">
    <w:abstractNumId w:val="33"/>
  </w:num>
  <w:num w:numId="16" w16cid:durableId="1205286409">
    <w:abstractNumId w:val="49"/>
  </w:num>
  <w:num w:numId="17" w16cid:durableId="1914271759">
    <w:abstractNumId w:val="55"/>
  </w:num>
  <w:num w:numId="18" w16cid:durableId="2035496238">
    <w:abstractNumId w:val="46"/>
  </w:num>
  <w:num w:numId="19" w16cid:durableId="1329945732">
    <w:abstractNumId w:val="18"/>
  </w:num>
  <w:num w:numId="20" w16cid:durableId="711735556">
    <w:abstractNumId w:val="52"/>
  </w:num>
  <w:num w:numId="21" w16cid:durableId="177549515">
    <w:abstractNumId w:val="13"/>
  </w:num>
  <w:num w:numId="22" w16cid:durableId="699474775">
    <w:abstractNumId w:val="12"/>
  </w:num>
  <w:num w:numId="23" w16cid:durableId="1696079162">
    <w:abstractNumId w:val="11"/>
  </w:num>
  <w:num w:numId="24" w16cid:durableId="1887525156">
    <w:abstractNumId w:val="10"/>
  </w:num>
  <w:num w:numId="25" w16cid:durableId="208342458">
    <w:abstractNumId w:val="9"/>
  </w:num>
  <w:num w:numId="26" w16cid:durableId="1664432456">
    <w:abstractNumId w:val="8"/>
  </w:num>
  <w:num w:numId="27" w16cid:durableId="974607810">
    <w:abstractNumId w:val="7"/>
  </w:num>
  <w:num w:numId="28" w16cid:durableId="1053963365">
    <w:abstractNumId w:val="6"/>
  </w:num>
  <w:num w:numId="29" w16cid:durableId="369496480">
    <w:abstractNumId w:val="5"/>
  </w:num>
  <w:num w:numId="30" w16cid:durableId="434524272">
    <w:abstractNumId w:val="4"/>
  </w:num>
  <w:num w:numId="31" w16cid:durableId="2131776505">
    <w:abstractNumId w:val="39"/>
  </w:num>
  <w:num w:numId="32" w16cid:durableId="706638738">
    <w:abstractNumId w:val="45"/>
  </w:num>
  <w:num w:numId="33" w16cid:durableId="7411404">
    <w:abstractNumId w:val="44"/>
  </w:num>
  <w:num w:numId="34" w16cid:durableId="1409231967">
    <w:abstractNumId w:val="28"/>
  </w:num>
  <w:num w:numId="35" w16cid:durableId="1954364016">
    <w:abstractNumId w:val="3"/>
  </w:num>
  <w:num w:numId="36" w16cid:durableId="210726679">
    <w:abstractNumId w:val="37"/>
  </w:num>
  <w:num w:numId="37" w16cid:durableId="730153199">
    <w:abstractNumId w:val="42"/>
  </w:num>
  <w:num w:numId="38" w16cid:durableId="304704312">
    <w:abstractNumId w:val="21"/>
  </w:num>
  <w:num w:numId="39" w16cid:durableId="1615359395">
    <w:abstractNumId w:val="50"/>
  </w:num>
  <w:num w:numId="40" w16cid:durableId="1240603373">
    <w:abstractNumId w:val="43"/>
  </w:num>
  <w:num w:numId="41" w16cid:durableId="198277716">
    <w:abstractNumId w:val="26"/>
  </w:num>
  <w:num w:numId="42" w16cid:durableId="1515418319">
    <w:abstractNumId w:val="53"/>
  </w:num>
  <w:num w:numId="43" w16cid:durableId="145442196">
    <w:abstractNumId w:val="56"/>
  </w:num>
  <w:num w:numId="44" w16cid:durableId="1668050188">
    <w:abstractNumId w:val="23"/>
  </w:num>
  <w:num w:numId="45" w16cid:durableId="340932075">
    <w:abstractNumId w:val="29"/>
  </w:num>
  <w:num w:numId="46" w16cid:durableId="829760586">
    <w:abstractNumId w:val="54"/>
  </w:num>
  <w:num w:numId="47" w16cid:durableId="1487013607">
    <w:abstractNumId w:val="19"/>
  </w:num>
  <w:num w:numId="48" w16cid:durableId="106430664">
    <w:abstractNumId w:val="22"/>
  </w:num>
  <w:num w:numId="49" w16cid:durableId="209999785">
    <w:abstractNumId w:val="32"/>
  </w:num>
  <w:num w:numId="50" w16cid:durableId="1709064417">
    <w:abstractNumId w:val="38"/>
  </w:num>
  <w:num w:numId="51" w16cid:durableId="504127127">
    <w:abstractNumId w:val="17"/>
  </w:num>
  <w:num w:numId="52" w16cid:durableId="1548570783">
    <w:abstractNumId w:val="35"/>
  </w:num>
  <w:num w:numId="53" w16cid:durableId="1742407025">
    <w:abstractNumId w:val="16"/>
  </w:num>
  <w:num w:numId="54" w16cid:durableId="1412119754">
    <w:abstractNumId w:val="40"/>
  </w:num>
  <w:num w:numId="55" w16cid:durableId="1296065156">
    <w:abstractNumId w:val="27"/>
  </w:num>
  <w:num w:numId="56" w16cid:durableId="176358620">
    <w:abstractNumId w:val="24"/>
  </w:num>
  <w:num w:numId="57" w16cid:durableId="99583968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24"/>
    <w:rsid w:val="00003788"/>
    <w:rsid w:val="000038DD"/>
    <w:rsid w:val="00006D1D"/>
    <w:rsid w:val="00011970"/>
    <w:rsid w:val="000133A5"/>
    <w:rsid w:val="0001649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E7C"/>
    <w:rsid w:val="00051CC3"/>
    <w:rsid w:val="00057141"/>
    <w:rsid w:val="000626A6"/>
    <w:rsid w:val="00062FE9"/>
    <w:rsid w:val="00066107"/>
    <w:rsid w:val="0006648C"/>
    <w:rsid w:val="00073508"/>
    <w:rsid w:val="00076F82"/>
    <w:rsid w:val="00077C36"/>
    <w:rsid w:val="00084150"/>
    <w:rsid w:val="0008479B"/>
    <w:rsid w:val="000860FF"/>
    <w:rsid w:val="00097464"/>
    <w:rsid w:val="000A4A8F"/>
    <w:rsid w:val="000B02C6"/>
    <w:rsid w:val="000B20F1"/>
    <w:rsid w:val="000B3534"/>
    <w:rsid w:val="000B3957"/>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738A"/>
    <w:rsid w:val="000E7C8B"/>
    <w:rsid w:val="000F0036"/>
    <w:rsid w:val="000F28A8"/>
    <w:rsid w:val="000F4BED"/>
    <w:rsid w:val="00102E1C"/>
    <w:rsid w:val="00104E73"/>
    <w:rsid w:val="00110B5F"/>
    <w:rsid w:val="00116C85"/>
    <w:rsid w:val="0012030A"/>
    <w:rsid w:val="00131D4E"/>
    <w:rsid w:val="001332B7"/>
    <w:rsid w:val="001347BB"/>
    <w:rsid w:val="00140894"/>
    <w:rsid w:val="001433AC"/>
    <w:rsid w:val="0014382E"/>
    <w:rsid w:val="001450B7"/>
    <w:rsid w:val="001500E3"/>
    <w:rsid w:val="00154CEE"/>
    <w:rsid w:val="00156D70"/>
    <w:rsid w:val="001641C2"/>
    <w:rsid w:val="00164C7B"/>
    <w:rsid w:val="00167A77"/>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C4F"/>
    <w:rsid w:val="001B3E07"/>
    <w:rsid w:val="001B4395"/>
    <w:rsid w:val="001B492F"/>
    <w:rsid w:val="001B4FFD"/>
    <w:rsid w:val="001B682E"/>
    <w:rsid w:val="001B710F"/>
    <w:rsid w:val="001C0EEC"/>
    <w:rsid w:val="001C5F88"/>
    <w:rsid w:val="001D1713"/>
    <w:rsid w:val="001D2B45"/>
    <w:rsid w:val="001D427D"/>
    <w:rsid w:val="001D4E56"/>
    <w:rsid w:val="001E6598"/>
    <w:rsid w:val="001E6D43"/>
    <w:rsid w:val="001F1BFC"/>
    <w:rsid w:val="001F6F0F"/>
    <w:rsid w:val="00201B96"/>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57210"/>
    <w:rsid w:val="0027142D"/>
    <w:rsid w:val="002732E6"/>
    <w:rsid w:val="0027743E"/>
    <w:rsid w:val="002819AA"/>
    <w:rsid w:val="0028213F"/>
    <w:rsid w:val="00283EDC"/>
    <w:rsid w:val="0028564F"/>
    <w:rsid w:val="00291D8E"/>
    <w:rsid w:val="00292887"/>
    <w:rsid w:val="00292EE5"/>
    <w:rsid w:val="00294FD3"/>
    <w:rsid w:val="002963F1"/>
    <w:rsid w:val="0029793E"/>
    <w:rsid w:val="002A0E2F"/>
    <w:rsid w:val="002A1C81"/>
    <w:rsid w:val="002A1D71"/>
    <w:rsid w:val="002A5820"/>
    <w:rsid w:val="002A6194"/>
    <w:rsid w:val="002A746C"/>
    <w:rsid w:val="002B32DA"/>
    <w:rsid w:val="002C4C02"/>
    <w:rsid w:val="002C668C"/>
    <w:rsid w:val="002C70BF"/>
    <w:rsid w:val="002C7445"/>
    <w:rsid w:val="002C7CEA"/>
    <w:rsid w:val="002D039D"/>
    <w:rsid w:val="002D4626"/>
    <w:rsid w:val="002D5CCD"/>
    <w:rsid w:val="002D74D8"/>
    <w:rsid w:val="002E2792"/>
    <w:rsid w:val="002E503F"/>
    <w:rsid w:val="002F1FE6"/>
    <w:rsid w:val="002F2D81"/>
    <w:rsid w:val="00300BB1"/>
    <w:rsid w:val="0030510A"/>
    <w:rsid w:val="00311E98"/>
    <w:rsid w:val="00313A1D"/>
    <w:rsid w:val="0031705D"/>
    <w:rsid w:val="00317DBF"/>
    <w:rsid w:val="00317E80"/>
    <w:rsid w:val="00321472"/>
    <w:rsid w:val="00324A0C"/>
    <w:rsid w:val="003254FE"/>
    <w:rsid w:val="00330794"/>
    <w:rsid w:val="00331FBE"/>
    <w:rsid w:val="00332FF4"/>
    <w:rsid w:val="00334313"/>
    <w:rsid w:val="0033589E"/>
    <w:rsid w:val="003367D1"/>
    <w:rsid w:val="00347F6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84194"/>
    <w:rsid w:val="00390262"/>
    <w:rsid w:val="003914E2"/>
    <w:rsid w:val="00393C80"/>
    <w:rsid w:val="00394082"/>
    <w:rsid w:val="00395D81"/>
    <w:rsid w:val="003A0D1A"/>
    <w:rsid w:val="003B45B0"/>
    <w:rsid w:val="003B5515"/>
    <w:rsid w:val="003C12E0"/>
    <w:rsid w:val="003C3289"/>
    <w:rsid w:val="003C4800"/>
    <w:rsid w:val="003C4D06"/>
    <w:rsid w:val="003C57BB"/>
    <w:rsid w:val="003C62CD"/>
    <w:rsid w:val="003D46B8"/>
    <w:rsid w:val="003D5DF4"/>
    <w:rsid w:val="003D668A"/>
    <w:rsid w:val="003E1354"/>
    <w:rsid w:val="003E1502"/>
    <w:rsid w:val="003E1E5C"/>
    <w:rsid w:val="003E5FD9"/>
    <w:rsid w:val="003E6BB9"/>
    <w:rsid w:val="003F2D79"/>
    <w:rsid w:val="003F5354"/>
    <w:rsid w:val="003F604F"/>
    <w:rsid w:val="00403C1D"/>
    <w:rsid w:val="0040573D"/>
    <w:rsid w:val="00410652"/>
    <w:rsid w:val="004127DD"/>
    <w:rsid w:val="00420CE9"/>
    <w:rsid w:val="00430178"/>
    <w:rsid w:val="0043067E"/>
    <w:rsid w:val="00430CA7"/>
    <w:rsid w:val="00430F52"/>
    <w:rsid w:val="00431BEA"/>
    <w:rsid w:val="00440BE0"/>
    <w:rsid w:val="0044129F"/>
    <w:rsid w:val="00445B35"/>
    <w:rsid w:val="004555EF"/>
    <w:rsid w:val="00456FAD"/>
    <w:rsid w:val="004628E8"/>
    <w:rsid w:val="00466A1C"/>
    <w:rsid w:val="00471E95"/>
    <w:rsid w:val="004756A5"/>
    <w:rsid w:val="0048364F"/>
    <w:rsid w:val="004838F8"/>
    <w:rsid w:val="00483CD8"/>
    <w:rsid w:val="004860A2"/>
    <w:rsid w:val="004918C3"/>
    <w:rsid w:val="004975C8"/>
    <w:rsid w:val="004A0388"/>
    <w:rsid w:val="004A1861"/>
    <w:rsid w:val="004A2C87"/>
    <w:rsid w:val="004A5C26"/>
    <w:rsid w:val="004A73B6"/>
    <w:rsid w:val="004A7E18"/>
    <w:rsid w:val="004B0674"/>
    <w:rsid w:val="004B0D90"/>
    <w:rsid w:val="004B12DE"/>
    <w:rsid w:val="004B405F"/>
    <w:rsid w:val="004B4723"/>
    <w:rsid w:val="004C2990"/>
    <w:rsid w:val="004D1FA3"/>
    <w:rsid w:val="004D4C84"/>
    <w:rsid w:val="004D57DB"/>
    <w:rsid w:val="004E0A07"/>
    <w:rsid w:val="004E6E8E"/>
    <w:rsid w:val="004F09C9"/>
    <w:rsid w:val="004F11D3"/>
    <w:rsid w:val="004F244C"/>
    <w:rsid w:val="004F4CF4"/>
    <w:rsid w:val="004F62FC"/>
    <w:rsid w:val="00503A9E"/>
    <w:rsid w:val="005051B7"/>
    <w:rsid w:val="0051092B"/>
    <w:rsid w:val="00513092"/>
    <w:rsid w:val="0051587D"/>
    <w:rsid w:val="00515C06"/>
    <w:rsid w:val="0051605E"/>
    <w:rsid w:val="005169A1"/>
    <w:rsid w:val="00516D8D"/>
    <w:rsid w:val="00517428"/>
    <w:rsid w:val="00517DAD"/>
    <w:rsid w:val="0052033E"/>
    <w:rsid w:val="005268F5"/>
    <w:rsid w:val="00526AE6"/>
    <w:rsid w:val="005308E6"/>
    <w:rsid w:val="00531EA3"/>
    <w:rsid w:val="0053295D"/>
    <w:rsid w:val="0053723F"/>
    <w:rsid w:val="00541E3D"/>
    <w:rsid w:val="00542D51"/>
    <w:rsid w:val="0054391C"/>
    <w:rsid w:val="005444A2"/>
    <w:rsid w:val="005465C3"/>
    <w:rsid w:val="00546876"/>
    <w:rsid w:val="005536B1"/>
    <w:rsid w:val="005547BF"/>
    <w:rsid w:val="005549F6"/>
    <w:rsid w:val="00560EBB"/>
    <w:rsid w:val="00562694"/>
    <w:rsid w:val="00564069"/>
    <w:rsid w:val="00570DB1"/>
    <w:rsid w:val="00570E9F"/>
    <w:rsid w:val="00571CEA"/>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D14"/>
    <w:rsid w:val="005D2F69"/>
    <w:rsid w:val="005E2C50"/>
    <w:rsid w:val="005E45B5"/>
    <w:rsid w:val="005E5DB1"/>
    <w:rsid w:val="005F05E8"/>
    <w:rsid w:val="005F3E33"/>
    <w:rsid w:val="0060101E"/>
    <w:rsid w:val="00602939"/>
    <w:rsid w:val="00610E9E"/>
    <w:rsid w:val="006166C7"/>
    <w:rsid w:val="00617AB7"/>
    <w:rsid w:val="00620A4F"/>
    <w:rsid w:val="00620F72"/>
    <w:rsid w:val="00621D7A"/>
    <w:rsid w:val="0062260A"/>
    <w:rsid w:val="00623408"/>
    <w:rsid w:val="006241F3"/>
    <w:rsid w:val="006245DA"/>
    <w:rsid w:val="0062642B"/>
    <w:rsid w:val="0063183B"/>
    <w:rsid w:val="0063231F"/>
    <w:rsid w:val="00634446"/>
    <w:rsid w:val="00634CBD"/>
    <w:rsid w:val="0063501D"/>
    <w:rsid w:val="00635CF4"/>
    <w:rsid w:val="00635FA4"/>
    <w:rsid w:val="00640B39"/>
    <w:rsid w:val="00644D5B"/>
    <w:rsid w:val="00650E61"/>
    <w:rsid w:val="0065256A"/>
    <w:rsid w:val="006526E4"/>
    <w:rsid w:val="00666D65"/>
    <w:rsid w:val="0066715B"/>
    <w:rsid w:val="00672EC8"/>
    <w:rsid w:val="00673C78"/>
    <w:rsid w:val="006778A0"/>
    <w:rsid w:val="00682D5D"/>
    <w:rsid w:val="00686575"/>
    <w:rsid w:val="006907C4"/>
    <w:rsid w:val="00693A5D"/>
    <w:rsid w:val="006A0C48"/>
    <w:rsid w:val="006A1563"/>
    <w:rsid w:val="006A1B0D"/>
    <w:rsid w:val="006A34B2"/>
    <w:rsid w:val="006A3D5C"/>
    <w:rsid w:val="006A3F90"/>
    <w:rsid w:val="006A5FF2"/>
    <w:rsid w:val="006B0F0D"/>
    <w:rsid w:val="006B1CF9"/>
    <w:rsid w:val="006B47EE"/>
    <w:rsid w:val="006B6EEA"/>
    <w:rsid w:val="006B7475"/>
    <w:rsid w:val="006C41B9"/>
    <w:rsid w:val="006C5096"/>
    <w:rsid w:val="006C6BAA"/>
    <w:rsid w:val="006D3921"/>
    <w:rsid w:val="006D408B"/>
    <w:rsid w:val="006E0E0C"/>
    <w:rsid w:val="006E2F87"/>
    <w:rsid w:val="006E6474"/>
    <w:rsid w:val="006E760F"/>
    <w:rsid w:val="006E7B7B"/>
    <w:rsid w:val="006F28BC"/>
    <w:rsid w:val="006F300C"/>
    <w:rsid w:val="006F52F5"/>
    <w:rsid w:val="006F79DD"/>
    <w:rsid w:val="007002F8"/>
    <w:rsid w:val="007007CC"/>
    <w:rsid w:val="00701226"/>
    <w:rsid w:val="0070713C"/>
    <w:rsid w:val="007103F0"/>
    <w:rsid w:val="00713580"/>
    <w:rsid w:val="007138A4"/>
    <w:rsid w:val="007141FD"/>
    <w:rsid w:val="00715D6B"/>
    <w:rsid w:val="007166DE"/>
    <w:rsid w:val="007204C1"/>
    <w:rsid w:val="00724062"/>
    <w:rsid w:val="00726471"/>
    <w:rsid w:val="007317E0"/>
    <w:rsid w:val="00734046"/>
    <w:rsid w:val="0073487E"/>
    <w:rsid w:val="00740478"/>
    <w:rsid w:val="00740BC5"/>
    <w:rsid w:val="00742DDD"/>
    <w:rsid w:val="007430E0"/>
    <w:rsid w:val="00747A38"/>
    <w:rsid w:val="0075360F"/>
    <w:rsid w:val="007606F5"/>
    <w:rsid w:val="0076174E"/>
    <w:rsid w:val="007708C6"/>
    <w:rsid w:val="00771D41"/>
    <w:rsid w:val="007721C4"/>
    <w:rsid w:val="0077379F"/>
    <w:rsid w:val="00773918"/>
    <w:rsid w:val="00775AF2"/>
    <w:rsid w:val="00781023"/>
    <w:rsid w:val="007810E0"/>
    <w:rsid w:val="007850CB"/>
    <w:rsid w:val="007A7F1F"/>
    <w:rsid w:val="007B0257"/>
    <w:rsid w:val="007B0B09"/>
    <w:rsid w:val="007B0D07"/>
    <w:rsid w:val="007B0E2D"/>
    <w:rsid w:val="007B1A80"/>
    <w:rsid w:val="007B29FD"/>
    <w:rsid w:val="007C4028"/>
    <w:rsid w:val="007C6D48"/>
    <w:rsid w:val="007D1AEF"/>
    <w:rsid w:val="007D5FCD"/>
    <w:rsid w:val="007D776B"/>
    <w:rsid w:val="007F45BF"/>
    <w:rsid w:val="0080242C"/>
    <w:rsid w:val="00805018"/>
    <w:rsid w:val="00807BBC"/>
    <w:rsid w:val="008114A2"/>
    <w:rsid w:val="00811640"/>
    <w:rsid w:val="00811B04"/>
    <w:rsid w:val="00813ADC"/>
    <w:rsid w:val="00814362"/>
    <w:rsid w:val="008145F2"/>
    <w:rsid w:val="008216FA"/>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978"/>
    <w:rsid w:val="00866FD9"/>
    <w:rsid w:val="0087434A"/>
    <w:rsid w:val="008839BB"/>
    <w:rsid w:val="00883E9F"/>
    <w:rsid w:val="00884DD1"/>
    <w:rsid w:val="00886963"/>
    <w:rsid w:val="008875BA"/>
    <w:rsid w:val="0089710F"/>
    <w:rsid w:val="008A3266"/>
    <w:rsid w:val="008A7F84"/>
    <w:rsid w:val="008B1838"/>
    <w:rsid w:val="008B201B"/>
    <w:rsid w:val="008B7347"/>
    <w:rsid w:val="008B7DE7"/>
    <w:rsid w:val="008C0398"/>
    <w:rsid w:val="008C1BEA"/>
    <w:rsid w:val="008C4C09"/>
    <w:rsid w:val="008C4EF3"/>
    <w:rsid w:val="008C5A22"/>
    <w:rsid w:val="008C6FD3"/>
    <w:rsid w:val="008C7A92"/>
    <w:rsid w:val="008D30E6"/>
    <w:rsid w:val="008D3A53"/>
    <w:rsid w:val="008D3B25"/>
    <w:rsid w:val="008D40CC"/>
    <w:rsid w:val="008D7BDB"/>
    <w:rsid w:val="008E49CB"/>
    <w:rsid w:val="008E5D6E"/>
    <w:rsid w:val="008E6624"/>
    <w:rsid w:val="008F4C76"/>
    <w:rsid w:val="008F5C80"/>
    <w:rsid w:val="008F65AF"/>
    <w:rsid w:val="00903942"/>
    <w:rsid w:val="00904443"/>
    <w:rsid w:val="00905A67"/>
    <w:rsid w:val="00917582"/>
    <w:rsid w:val="0091798A"/>
    <w:rsid w:val="00920906"/>
    <w:rsid w:val="00920BC8"/>
    <w:rsid w:val="00923D4F"/>
    <w:rsid w:val="009263C8"/>
    <w:rsid w:val="00933EFE"/>
    <w:rsid w:val="0093759B"/>
    <w:rsid w:val="00941801"/>
    <w:rsid w:val="00941B6B"/>
    <w:rsid w:val="009429E7"/>
    <w:rsid w:val="009477D9"/>
    <w:rsid w:val="00950E20"/>
    <w:rsid w:val="00951E3D"/>
    <w:rsid w:val="0095432F"/>
    <w:rsid w:val="009568AB"/>
    <w:rsid w:val="00962238"/>
    <w:rsid w:val="00962DFC"/>
    <w:rsid w:val="00964805"/>
    <w:rsid w:val="00970316"/>
    <w:rsid w:val="00970D12"/>
    <w:rsid w:val="00971027"/>
    <w:rsid w:val="0097125F"/>
    <w:rsid w:val="00977A96"/>
    <w:rsid w:val="00980CC8"/>
    <w:rsid w:val="00982B3A"/>
    <w:rsid w:val="00986333"/>
    <w:rsid w:val="00986CEF"/>
    <w:rsid w:val="0098705C"/>
    <w:rsid w:val="00987883"/>
    <w:rsid w:val="009911B7"/>
    <w:rsid w:val="00992297"/>
    <w:rsid w:val="00994CD0"/>
    <w:rsid w:val="00995D4E"/>
    <w:rsid w:val="00995DB3"/>
    <w:rsid w:val="009A0FAD"/>
    <w:rsid w:val="009A569F"/>
    <w:rsid w:val="009A6158"/>
    <w:rsid w:val="009A75E4"/>
    <w:rsid w:val="009C4773"/>
    <w:rsid w:val="009C5916"/>
    <w:rsid w:val="009C7D0F"/>
    <w:rsid w:val="009D27AC"/>
    <w:rsid w:val="009E12C0"/>
    <w:rsid w:val="009E1F4B"/>
    <w:rsid w:val="009E50C6"/>
    <w:rsid w:val="009E63D4"/>
    <w:rsid w:val="009F4D40"/>
    <w:rsid w:val="00A00A18"/>
    <w:rsid w:val="00A01321"/>
    <w:rsid w:val="00A02166"/>
    <w:rsid w:val="00A026E4"/>
    <w:rsid w:val="00A04D48"/>
    <w:rsid w:val="00A0577E"/>
    <w:rsid w:val="00A06EEC"/>
    <w:rsid w:val="00A072DD"/>
    <w:rsid w:val="00A16D1C"/>
    <w:rsid w:val="00A303C4"/>
    <w:rsid w:val="00A318D8"/>
    <w:rsid w:val="00A33350"/>
    <w:rsid w:val="00A35CE6"/>
    <w:rsid w:val="00A43B2B"/>
    <w:rsid w:val="00A442B6"/>
    <w:rsid w:val="00A4525C"/>
    <w:rsid w:val="00A52734"/>
    <w:rsid w:val="00A553B6"/>
    <w:rsid w:val="00A60907"/>
    <w:rsid w:val="00A60B6E"/>
    <w:rsid w:val="00A626FC"/>
    <w:rsid w:val="00A63856"/>
    <w:rsid w:val="00A64354"/>
    <w:rsid w:val="00A64CC3"/>
    <w:rsid w:val="00A710B2"/>
    <w:rsid w:val="00A71884"/>
    <w:rsid w:val="00A72999"/>
    <w:rsid w:val="00A73FD8"/>
    <w:rsid w:val="00A7444E"/>
    <w:rsid w:val="00A76F1D"/>
    <w:rsid w:val="00A76F5B"/>
    <w:rsid w:val="00A8129E"/>
    <w:rsid w:val="00A84561"/>
    <w:rsid w:val="00A84BF3"/>
    <w:rsid w:val="00A87B29"/>
    <w:rsid w:val="00AA2818"/>
    <w:rsid w:val="00AA4359"/>
    <w:rsid w:val="00AA4F68"/>
    <w:rsid w:val="00AA543B"/>
    <w:rsid w:val="00AA5ACA"/>
    <w:rsid w:val="00AA6604"/>
    <w:rsid w:val="00AA7065"/>
    <w:rsid w:val="00AB2B64"/>
    <w:rsid w:val="00AC25D9"/>
    <w:rsid w:val="00AC4C6A"/>
    <w:rsid w:val="00AD0AB7"/>
    <w:rsid w:val="00AD0F5C"/>
    <w:rsid w:val="00AD226E"/>
    <w:rsid w:val="00AD369B"/>
    <w:rsid w:val="00AD48AD"/>
    <w:rsid w:val="00AD5029"/>
    <w:rsid w:val="00AD7B0D"/>
    <w:rsid w:val="00AD7E86"/>
    <w:rsid w:val="00AE20DF"/>
    <w:rsid w:val="00AE29A7"/>
    <w:rsid w:val="00AF246E"/>
    <w:rsid w:val="00AF479D"/>
    <w:rsid w:val="00AF635B"/>
    <w:rsid w:val="00AF75C8"/>
    <w:rsid w:val="00B00EE9"/>
    <w:rsid w:val="00B030E6"/>
    <w:rsid w:val="00B059FD"/>
    <w:rsid w:val="00B07332"/>
    <w:rsid w:val="00B20E51"/>
    <w:rsid w:val="00B23528"/>
    <w:rsid w:val="00B27C68"/>
    <w:rsid w:val="00B313D5"/>
    <w:rsid w:val="00B31DEE"/>
    <w:rsid w:val="00B3372F"/>
    <w:rsid w:val="00B34DD8"/>
    <w:rsid w:val="00B37214"/>
    <w:rsid w:val="00B415AC"/>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94097"/>
    <w:rsid w:val="00BA1F2C"/>
    <w:rsid w:val="00BA2BB2"/>
    <w:rsid w:val="00BA32AD"/>
    <w:rsid w:val="00BA4771"/>
    <w:rsid w:val="00BA4E68"/>
    <w:rsid w:val="00BA5289"/>
    <w:rsid w:val="00BA6421"/>
    <w:rsid w:val="00BA67C7"/>
    <w:rsid w:val="00BB017B"/>
    <w:rsid w:val="00BB6F3D"/>
    <w:rsid w:val="00BC126B"/>
    <w:rsid w:val="00BC49BB"/>
    <w:rsid w:val="00BD0F3E"/>
    <w:rsid w:val="00BD4E67"/>
    <w:rsid w:val="00BD750D"/>
    <w:rsid w:val="00BE12D1"/>
    <w:rsid w:val="00BE148F"/>
    <w:rsid w:val="00BE5AA8"/>
    <w:rsid w:val="00BF358E"/>
    <w:rsid w:val="00BF370B"/>
    <w:rsid w:val="00BF5F1D"/>
    <w:rsid w:val="00C00F31"/>
    <w:rsid w:val="00C01C0A"/>
    <w:rsid w:val="00C029DF"/>
    <w:rsid w:val="00C037A6"/>
    <w:rsid w:val="00C03F8A"/>
    <w:rsid w:val="00C200D7"/>
    <w:rsid w:val="00C217A0"/>
    <w:rsid w:val="00C223C3"/>
    <w:rsid w:val="00C24A2E"/>
    <w:rsid w:val="00C25CFC"/>
    <w:rsid w:val="00C32F13"/>
    <w:rsid w:val="00C36956"/>
    <w:rsid w:val="00C40577"/>
    <w:rsid w:val="00C405CB"/>
    <w:rsid w:val="00C410F4"/>
    <w:rsid w:val="00C41BDD"/>
    <w:rsid w:val="00C43658"/>
    <w:rsid w:val="00C46047"/>
    <w:rsid w:val="00C52B1A"/>
    <w:rsid w:val="00C540E0"/>
    <w:rsid w:val="00C601E8"/>
    <w:rsid w:val="00C63492"/>
    <w:rsid w:val="00C639B5"/>
    <w:rsid w:val="00C673BD"/>
    <w:rsid w:val="00C7337F"/>
    <w:rsid w:val="00C7545C"/>
    <w:rsid w:val="00C75C1A"/>
    <w:rsid w:val="00C86742"/>
    <w:rsid w:val="00C86E98"/>
    <w:rsid w:val="00C90543"/>
    <w:rsid w:val="00C935B4"/>
    <w:rsid w:val="00C9386D"/>
    <w:rsid w:val="00C94789"/>
    <w:rsid w:val="00C9729E"/>
    <w:rsid w:val="00CA455C"/>
    <w:rsid w:val="00CB0024"/>
    <w:rsid w:val="00CB3F3F"/>
    <w:rsid w:val="00CC33AB"/>
    <w:rsid w:val="00CC51D6"/>
    <w:rsid w:val="00CC537A"/>
    <w:rsid w:val="00CC6F6E"/>
    <w:rsid w:val="00CD12D8"/>
    <w:rsid w:val="00CD3AD6"/>
    <w:rsid w:val="00CE1F09"/>
    <w:rsid w:val="00CF2087"/>
    <w:rsid w:val="00CF2835"/>
    <w:rsid w:val="00CF2D53"/>
    <w:rsid w:val="00CF3432"/>
    <w:rsid w:val="00CF55D5"/>
    <w:rsid w:val="00CF5EB2"/>
    <w:rsid w:val="00CF736F"/>
    <w:rsid w:val="00D00583"/>
    <w:rsid w:val="00D12835"/>
    <w:rsid w:val="00D14104"/>
    <w:rsid w:val="00D15896"/>
    <w:rsid w:val="00D202FA"/>
    <w:rsid w:val="00D208AF"/>
    <w:rsid w:val="00D216E9"/>
    <w:rsid w:val="00D24914"/>
    <w:rsid w:val="00D326D7"/>
    <w:rsid w:val="00D33111"/>
    <w:rsid w:val="00D4023B"/>
    <w:rsid w:val="00D40B52"/>
    <w:rsid w:val="00D50E87"/>
    <w:rsid w:val="00D51572"/>
    <w:rsid w:val="00D53655"/>
    <w:rsid w:val="00D54453"/>
    <w:rsid w:val="00D54B65"/>
    <w:rsid w:val="00D556BF"/>
    <w:rsid w:val="00D60710"/>
    <w:rsid w:val="00D61798"/>
    <w:rsid w:val="00D62CB1"/>
    <w:rsid w:val="00D67634"/>
    <w:rsid w:val="00D71F81"/>
    <w:rsid w:val="00D726F9"/>
    <w:rsid w:val="00D756A9"/>
    <w:rsid w:val="00D765DA"/>
    <w:rsid w:val="00D83289"/>
    <w:rsid w:val="00D84579"/>
    <w:rsid w:val="00D850D5"/>
    <w:rsid w:val="00D859D5"/>
    <w:rsid w:val="00D85C5E"/>
    <w:rsid w:val="00D91E89"/>
    <w:rsid w:val="00D94761"/>
    <w:rsid w:val="00D94D4A"/>
    <w:rsid w:val="00DA17FB"/>
    <w:rsid w:val="00DA2027"/>
    <w:rsid w:val="00DA469D"/>
    <w:rsid w:val="00DB1A8E"/>
    <w:rsid w:val="00DB2818"/>
    <w:rsid w:val="00DB652D"/>
    <w:rsid w:val="00DB74DD"/>
    <w:rsid w:val="00DC2A33"/>
    <w:rsid w:val="00DC5C27"/>
    <w:rsid w:val="00DC74C5"/>
    <w:rsid w:val="00DD0C90"/>
    <w:rsid w:val="00DD491C"/>
    <w:rsid w:val="00DE03E4"/>
    <w:rsid w:val="00DE20EE"/>
    <w:rsid w:val="00DE2591"/>
    <w:rsid w:val="00DE4754"/>
    <w:rsid w:val="00DE5345"/>
    <w:rsid w:val="00DE5AD0"/>
    <w:rsid w:val="00DE6887"/>
    <w:rsid w:val="00DE6920"/>
    <w:rsid w:val="00DF05E9"/>
    <w:rsid w:val="00DF0F4C"/>
    <w:rsid w:val="00E014C1"/>
    <w:rsid w:val="00E01E6C"/>
    <w:rsid w:val="00E03097"/>
    <w:rsid w:val="00E03B22"/>
    <w:rsid w:val="00E06AC8"/>
    <w:rsid w:val="00E0700B"/>
    <w:rsid w:val="00E10BC9"/>
    <w:rsid w:val="00E166E9"/>
    <w:rsid w:val="00E2162E"/>
    <w:rsid w:val="00E27BC2"/>
    <w:rsid w:val="00E330F9"/>
    <w:rsid w:val="00E3579F"/>
    <w:rsid w:val="00E37814"/>
    <w:rsid w:val="00E415C5"/>
    <w:rsid w:val="00E42543"/>
    <w:rsid w:val="00E46E79"/>
    <w:rsid w:val="00E51572"/>
    <w:rsid w:val="00E520D0"/>
    <w:rsid w:val="00E53B98"/>
    <w:rsid w:val="00E74B97"/>
    <w:rsid w:val="00E768A0"/>
    <w:rsid w:val="00E770D4"/>
    <w:rsid w:val="00E8039B"/>
    <w:rsid w:val="00E8091B"/>
    <w:rsid w:val="00E84361"/>
    <w:rsid w:val="00E84A0C"/>
    <w:rsid w:val="00E90438"/>
    <w:rsid w:val="00E91058"/>
    <w:rsid w:val="00E95B02"/>
    <w:rsid w:val="00EA236B"/>
    <w:rsid w:val="00EA3753"/>
    <w:rsid w:val="00EA48CD"/>
    <w:rsid w:val="00EA75F6"/>
    <w:rsid w:val="00EA7776"/>
    <w:rsid w:val="00EA7FBC"/>
    <w:rsid w:val="00EB3041"/>
    <w:rsid w:val="00EB330F"/>
    <w:rsid w:val="00EB7229"/>
    <w:rsid w:val="00EC15D3"/>
    <w:rsid w:val="00EC3366"/>
    <w:rsid w:val="00EC4B8E"/>
    <w:rsid w:val="00EC60F9"/>
    <w:rsid w:val="00EC7693"/>
    <w:rsid w:val="00ED01D0"/>
    <w:rsid w:val="00ED2E6F"/>
    <w:rsid w:val="00ED4220"/>
    <w:rsid w:val="00ED7DB3"/>
    <w:rsid w:val="00EE0429"/>
    <w:rsid w:val="00EE0568"/>
    <w:rsid w:val="00EE4142"/>
    <w:rsid w:val="00EE528D"/>
    <w:rsid w:val="00EE6C33"/>
    <w:rsid w:val="00EE6DB8"/>
    <w:rsid w:val="00EF0E85"/>
    <w:rsid w:val="00EF2B6D"/>
    <w:rsid w:val="00EF302F"/>
    <w:rsid w:val="00F001B7"/>
    <w:rsid w:val="00F00938"/>
    <w:rsid w:val="00F02015"/>
    <w:rsid w:val="00F06B67"/>
    <w:rsid w:val="00F10AFC"/>
    <w:rsid w:val="00F232AB"/>
    <w:rsid w:val="00F27D53"/>
    <w:rsid w:val="00F31282"/>
    <w:rsid w:val="00F322A5"/>
    <w:rsid w:val="00F32502"/>
    <w:rsid w:val="00F34E9E"/>
    <w:rsid w:val="00F34EBF"/>
    <w:rsid w:val="00F36F17"/>
    <w:rsid w:val="00F448C4"/>
    <w:rsid w:val="00F459C2"/>
    <w:rsid w:val="00F53292"/>
    <w:rsid w:val="00F5440A"/>
    <w:rsid w:val="00F54627"/>
    <w:rsid w:val="00F5784F"/>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C12"/>
    <w:rsid w:val="00FC0AB0"/>
    <w:rsid w:val="00FC1005"/>
    <w:rsid w:val="00FC4A76"/>
    <w:rsid w:val="00FD3E77"/>
    <w:rsid w:val="00FD71AB"/>
    <w:rsid w:val="00FD7850"/>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459F18"/>
  <w15:docId w15:val="{5E5C3B00-E49A-4934-B666-86A01A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0"/>
    <w:next w:val="a0"/>
    <w:link w:val="51"/>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0"/>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6">
    <w:name w:val="footnote reference"/>
    <w:aliases w:val="论文脚注引用,a註腳參照"/>
    <w:uiPriority w:val="99"/>
    <w:qFormat/>
    <w:rsid w:val="00CB0024"/>
    <w:rPr>
      <w:vertAlign w:val="superscript"/>
    </w:rPr>
  </w:style>
  <w:style w:type="paragraph" w:styleId="a7">
    <w:name w:val="footer"/>
    <w:basedOn w:val="a0"/>
    <w:link w:val="a8"/>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qFormat/>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uiPriority w:val="99"/>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nhideWhenUsed/>
    <w:qFormat/>
    <w:rsid w:val="00EF302F"/>
    <w:rPr>
      <w:vertAlign w:val="superscript"/>
    </w:rPr>
  </w:style>
  <w:style w:type="paragraph" w:styleId="af0">
    <w:name w:val="header"/>
    <w:basedOn w:val="a0"/>
    <w:link w:val="af1"/>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qFormat/>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qFormat/>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3">
    <w:name w:val="无间隔1"/>
    <w:next w:val="af4"/>
    <w:uiPriority w:val="1"/>
    <w:qFormat/>
    <w:rsid w:val="006B0F0D"/>
    <w:pPr>
      <w:widowControl w:val="0"/>
      <w:jc w:val="both"/>
    </w:pPr>
    <w:rPr>
      <w:kern w:val="2"/>
      <w:sz w:val="21"/>
      <w:szCs w:val="22"/>
    </w:rPr>
  </w:style>
  <w:style w:type="paragraph" w:customStyle="1" w:styleId="14">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4"/>
    <w:uiPriority w:val="99"/>
    <w:semiHidden/>
    <w:rsid w:val="006B0F0D"/>
    <w:rPr>
      <w:sz w:val="18"/>
      <w:szCs w:val="18"/>
    </w:rPr>
  </w:style>
  <w:style w:type="paragraph" w:customStyle="1" w:styleId="15">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semiHidden/>
    <w:unhideWhenUsed/>
    <w:qFormat/>
    <w:rsid w:val="006B0F0D"/>
    <w:rPr>
      <w:sz w:val="18"/>
      <w:szCs w:val="18"/>
    </w:rPr>
  </w:style>
  <w:style w:type="character" w:customStyle="1" w:styleId="af7">
    <w:name w:val="批注框文本 字符"/>
    <w:link w:val="af5"/>
    <w:uiPriority w:val="99"/>
    <w:semiHidden/>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20"/>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link w:val="16"/>
    <w:rsid w:val="008C1BEA"/>
    <w:rPr>
      <w:kern w:val="2"/>
      <w:sz w:val="21"/>
      <w:szCs w:val="24"/>
    </w:rPr>
  </w:style>
  <w:style w:type="character" w:customStyle="1" w:styleId="afc">
    <w:name w:val="脚注文本 字符"/>
    <w:aliases w:val="脚注文本 Char 字符, Char 字符, 字元 字符,字元 字符, Char Char1 字符,註腳文字 字元 字元 字符,Char Char C 字符,脚注文本 Char Char Char Char Char Char Char Char Char Char Char Char Char Char Char Char Char Char Char Char Char 字符"/>
    <w:uiPriority w:val="99"/>
    <w:qFormat/>
    <w:rsid w:val="00C037A6"/>
    <w:rPr>
      <w:sz w:val="20"/>
      <w:szCs w:val="20"/>
    </w:rPr>
  </w:style>
  <w:style w:type="paragraph" w:styleId="afd">
    <w:name w:val="Normal (Web)"/>
    <w:basedOn w:val="a0"/>
    <w:uiPriority w:val="99"/>
    <w:unhideWhenUsed/>
    <w:qFormat/>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3">
    <w:name w:val="Table Grid"/>
    <w:basedOn w:val="a2"/>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paragraph" w:styleId="aff4">
    <w:name w:val="Title"/>
    <w:basedOn w:val="a0"/>
    <w:next w:val="a0"/>
    <w:link w:val="17"/>
    <w:uiPriority w:val="10"/>
    <w:qFormat/>
    <w:rsid w:val="009911B7"/>
    <w:pPr>
      <w:spacing w:before="240" w:after="60"/>
      <w:jc w:val="center"/>
      <w:outlineLvl w:val="0"/>
    </w:pPr>
    <w:rPr>
      <w:rFonts w:ascii="Cambria" w:hAnsi="Cambria"/>
      <w:b/>
      <w:bCs/>
      <w:sz w:val="32"/>
      <w:szCs w:val="32"/>
    </w:rPr>
  </w:style>
  <w:style w:type="character" w:customStyle="1" w:styleId="aff5">
    <w:name w:val="标题 字符"/>
    <w:basedOn w:val="a1"/>
    <w:uiPriority w:val="10"/>
    <w:rsid w:val="009911B7"/>
    <w:rPr>
      <w:rFonts w:asciiTheme="majorHAnsi" w:eastAsiaTheme="majorEastAsia" w:hAnsiTheme="majorHAnsi" w:cstheme="majorBidi"/>
      <w:b/>
      <w:bCs/>
      <w:kern w:val="2"/>
      <w:sz w:val="32"/>
      <w:szCs w:val="32"/>
    </w:rPr>
  </w:style>
  <w:style w:type="character" w:customStyle="1" w:styleId="17">
    <w:name w:val="标题 字符1"/>
    <w:link w:val="aff4"/>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0"/>
    <w:next w:val="a0"/>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0"/>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0"/>
    <w:next w:val="a0"/>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1"/>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0"/>
    <w:next w:val="a5"/>
    <w:unhideWhenUsed/>
    <w:rsid w:val="00077C36"/>
    <w:pPr>
      <w:snapToGrid w:val="0"/>
      <w:jc w:val="left"/>
    </w:pPr>
    <w:rPr>
      <w:rFonts w:asciiTheme="minorHAnsi" w:eastAsiaTheme="minorEastAsia" w:hAnsiTheme="minorHAnsi" w:cstheme="minorBidi"/>
      <w:sz w:val="18"/>
      <w:szCs w:val="18"/>
    </w:rPr>
  </w:style>
  <w:style w:type="character" w:customStyle="1" w:styleId="18">
    <w:name w:val="超链接1"/>
    <w:basedOn w:val="a1"/>
    <w:uiPriority w:val="99"/>
    <w:unhideWhenUsed/>
    <w:rsid w:val="00077C36"/>
    <w:rPr>
      <w:color w:val="0000FF"/>
      <w:u w:val="single"/>
    </w:rPr>
  </w:style>
  <w:style w:type="paragraph" w:customStyle="1" w:styleId="19">
    <w:name w:val="页眉1"/>
    <w:basedOn w:val="a0"/>
    <w:next w:val="af0"/>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a">
    <w:name w:val="页脚1"/>
    <w:basedOn w:val="a0"/>
    <w:next w:val="a7"/>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0"/>
    <w:rsid w:val="00077C36"/>
    <w:rPr>
      <w:rFonts w:ascii="Tahoma" w:hAnsi="Tahoma"/>
      <w:bCs/>
      <w:szCs w:val="20"/>
    </w:rPr>
  </w:style>
  <w:style w:type="paragraph" w:customStyle="1" w:styleId="CharCharCharCharCharCharChar6">
    <w:name w:val="Char Char Char Char Char Char Char6"/>
    <w:basedOn w:val="a0"/>
    <w:rsid w:val="00077C36"/>
    <w:rPr>
      <w:rFonts w:ascii="Tahoma" w:hAnsi="Tahoma"/>
      <w:bCs/>
      <w:szCs w:val="20"/>
    </w:rPr>
  </w:style>
  <w:style w:type="paragraph" w:customStyle="1" w:styleId="CharCharCharCharCharCharChar5">
    <w:name w:val="Char Char Char Char Char Char Char5"/>
    <w:basedOn w:val="a0"/>
    <w:rsid w:val="00077C36"/>
    <w:rPr>
      <w:rFonts w:ascii="Tahoma" w:hAnsi="Tahoma"/>
      <w:bCs/>
      <w:szCs w:val="20"/>
    </w:rPr>
  </w:style>
  <w:style w:type="paragraph" w:customStyle="1" w:styleId="CharCharCharCharCharCharChar4">
    <w:name w:val="Char Char Char Char Char Char Char4"/>
    <w:basedOn w:val="a0"/>
    <w:rsid w:val="00077C36"/>
    <w:rPr>
      <w:rFonts w:ascii="Tahoma" w:hAnsi="Tahoma"/>
      <w:bCs/>
      <w:szCs w:val="20"/>
    </w:rPr>
  </w:style>
  <w:style w:type="paragraph" w:customStyle="1" w:styleId="CharCharCharCharCharCharChar3">
    <w:name w:val="Char Char Char Char Char Char Char3"/>
    <w:basedOn w:val="a0"/>
    <w:rsid w:val="00077C36"/>
    <w:rPr>
      <w:rFonts w:ascii="Tahoma" w:hAnsi="Tahoma"/>
      <w:bCs/>
      <w:szCs w:val="20"/>
    </w:rPr>
  </w:style>
  <w:style w:type="paragraph" w:customStyle="1" w:styleId="CharCharCharCharCharCharChar2">
    <w:name w:val="Char Char Char Char Char Char Char2"/>
    <w:basedOn w:val="a0"/>
    <w:rsid w:val="00077C36"/>
    <w:rPr>
      <w:rFonts w:ascii="Tahoma" w:hAnsi="Tahoma"/>
      <w:bCs/>
      <w:szCs w:val="20"/>
    </w:rPr>
  </w:style>
  <w:style w:type="paragraph" w:customStyle="1" w:styleId="CharCharCharCharCharCharChar1">
    <w:name w:val="Char Char Char Char Char Char Char1"/>
    <w:basedOn w:val="a0"/>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1"/>
    <w:rsid w:val="00077C36"/>
  </w:style>
  <w:style w:type="character" w:customStyle="1" w:styleId="1b">
    <w:name w:val="访问过的超链接1"/>
    <w:basedOn w:val="a1"/>
    <w:uiPriority w:val="99"/>
    <w:semiHidden/>
    <w:unhideWhenUsed/>
    <w:rsid w:val="00077C36"/>
    <w:rPr>
      <w:color w:val="800080"/>
      <w:u w:val="single"/>
    </w:rPr>
  </w:style>
  <w:style w:type="paragraph" w:customStyle="1" w:styleId="16">
    <w:name w:val="尾注文本1"/>
    <w:basedOn w:val="a0"/>
    <w:next w:val="ae"/>
    <w:link w:val="afb"/>
    <w:uiPriority w:val="99"/>
    <w:semiHidden/>
    <w:unhideWhenUsed/>
    <w:rsid w:val="00077C36"/>
    <w:pPr>
      <w:snapToGrid w:val="0"/>
      <w:jc w:val="left"/>
    </w:pPr>
    <w:rPr>
      <w:rFonts w:ascii="Calibri" w:hAnsi="Calibri"/>
      <w:sz w:val="21"/>
      <w:szCs w:val="24"/>
    </w:rPr>
  </w:style>
  <w:style w:type="character" w:customStyle="1" w:styleId="1c">
    <w:name w:val="未处理的提及1"/>
    <w:basedOn w:val="a1"/>
    <w:uiPriority w:val="99"/>
    <w:semiHidden/>
    <w:unhideWhenUsed/>
    <w:rsid w:val="00077C36"/>
    <w:rPr>
      <w:color w:val="605E5C"/>
      <w:shd w:val="clear" w:color="auto" w:fill="E1DFDD"/>
    </w:rPr>
  </w:style>
  <w:style w:type="paragraph" w:styleId="22">
    <w:name w:val="List 2"/>
    <w:basedOn w:val="a0"/>
    <w:rsid w:val="00077C36"/>
    <w:pPr>
      <w:ind w:leftChars="200" w:left="100" w:hangingChars="200" w:hanging="200"/>
    </w:pPr>
    <w:rPr>
      <w:rFonts w:ascii="Times New Roman" w:hAnsi="Times New Roman"/>
      <w:sz w:val="21"/>
      <w:szCs w:val="24"/>
    </w:rPr>
  </w:style>
  <w:style w:type="paragraph" w:styleId="aff6">
    <w:name w:val="Body Text Indent"/>
    <w:basedOn w:val="a0"/>
    <w:link w:val="aff7"/>
    <w:rsid w:val="00077C36"/>
    <w:pPr>
      <w:spacing w:after="120"/>
      <w:ind w:leftChars="200" w:left="420"/>
    </w:pPr>
    <w:rPr>
      <w:rFonts w:ascii="Times New Roman" w:hAnsi="Times New Roman"/>
      <w:sz w:val="21"/>
      <w:szCs w:val="24"/>
    </w:rPr>
  </w:style>
  <w:style w:type="character" w:customStyle="1" w:styleId="aff7">
    <w:name w:val="正文文本缩进 字符"/>
    <w:basedOn w:val="a1"/>
    <w:link w:val="aff6"/>
    <w:rsid w:val="00077C36"/>
    <w:rPr>
      <w:rFonts w:ascii="Times New Roman" w:hAnsi="Times New Roman"/>
      <w:kern w:val="2"/>
      <w:sz w:val="21"/>
      <w:szCs w:val="24"/>
    </w:rPr>
  </w:style>
  <w:style w:type="paragraph" w:customStyle="1" w:styleId="1d">
    <w:name w:val="列表段落1"/>
    <w:basedOn w:val="a0"/>
    <w:next w:val="af6"/>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e">
    <w:name w:val="批注框文本 字符1"/>
    <w:basedOn w:val="a1"/>
    <w:uiPriority w:val="99"/>
    <w:semiHidden/>
    <w:rsid w:val="00077C36"/>
    <w:rPr>
      <w:sz w:val="18"/>
      <w:szCs w:val="18"/>
    </w:rPr>
  </w:style>
  <w:style w:type="character" w:customStyle="1" w:styleId="1f">
    <w:name w:val="页眉 字符1"/>
    <w:basedOn w:val="a1"/>
    <w:uiPriority w:val="99"/>
    <w:rsid w:val="00077C36"/>
    <w:rPr>
      <w:sz w:val="18"/>
      <w:szCs w:val="18"/>
    </w:rPr>
  </w:style>
  <w:style w:type="character" w:customStyle="1" w:styleId="1f0">
    <w:name w:val="页脚 字符1"/>
    <w:basedOn w:val="a1"/>
    <w:uiPriority w:val="99"/>
    <w:rsid w:val="00077C36"/>
    <w:rPr>
      <w:sz w:val="18"/>
      <w:szCs w:val="18"/>
    </w:rPr>
  </w:style>
  <w:style w:type="character" w:styleId="aff8">
    <w:name w:val="FollowedHyperlink"/>
    <w:basedOn w:val="a1"/>
    <w:uiPriority w:val="99"/>
    <w:semiHidden/>
    <w:unhideWhenUsed/>
    <w:qFormat/>
    <w:rsid w:val="00077C36"/>
    <w:rPr>
      <w:color w:val="954F72" w:themeColor="followedHyperlink"/>
      <w:u w:val="single"/>
    </w:rPr>
  </w:style>
  <w:style w:type="character" w:customStyle="1" w:styleId="swbf">
    <w:name w:val="swbf"/>
    <w:basedOn w:val="a1"/>
    <w:rsid w:val="00781023"/>
  </w:style>
  <w:style w:type="character" w:customStyle="1" w:styleId="ywyy">
    <w:name w:val="ywyy"/>
    <w:basedOn w:val="a1"/>
    <w:rsid w:val="00781023"/>
  </w:style>
  <w:style w:type="character" w:customStyle="1" w:styleId="swdz">
    <w:name w:val="swdz"/>
    <w:basedOn w:val="a1"/>
    <w:rsid w:val="00781023"/>
  </w:style>
  <w:style w:type="character" w:customStyle="1" w:styleId="40">
    <w:name w:val="标题 4 字符"/>
    <w:basedOn w:val="a1"/>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1"/>
    <w:uiPriority w:val="9"/>
    <w:semiHidden/>
    <w:qFormat/>
    <w:rsid w:val="00B806B1"/>
    <w:rPr>
      <w:rFonts w:ascii="宋体" w:hAnsi="宋体"/>
      <w:b/>
      <w:bCs/>
      <w:kern w:val="2"/>
      <w:sz w:val="28"/>
      <w:szCs w:val="28"/>
    </w:rPr>
  </w:style>
  <w:style w:type="paragraph" w:styleId="aff9">
    <w:name w:val="annotation text"/>
    <w:basedOn w:val="a0"/>
    <w:link w:val="affa"/>
    <w:uiPriority w:val="99"/>
    <w:semiHidden/>
    <w:unhideWhenUsed/>
    <w:qFormat/>
    <w:rsid w:val="00B806B1"/>
    <w:pPr>
      <w:widowControl/>
      <w:jc w:val="left"/>
    </w:pPr>
    <w:rPr>
      <w:rFonts w:cs="宋体"/>
      <w:kern w:val="0"/>
      <w:szCs w:val="24"/>
    </w:rPr>
  </w:style>
  <w:style w:type="character" w:customStyle="1" w:styleId="affa">
    <w:name w:val="批注文字 字符"/>
    <w:basedOn w:val="a1"/>
    <w:link w:val="aff9"/>
    <w:uiPriority w:val="99"/>
    <w:semiHidden/>
    <w:qFormat/>
    <w:rsid w:val="00B806B1"/>
    <w:rPr>
      <w:rFonts w:ascii="宋体" w:hAnsi="宋体" w:cs="宋体"/>
      <w:sz w:val="24"/>
      <w:szCs w:val="24"/>
    </w:rPr>
  </w:style>
  <w:style w:type="paragraph" w:styleId="affb">
    <w:name w:val="annotation subject"/>
    <w:basedOn w:val="aff9"/>
    <w:next w:val="aff9"/>
    <w:link w:val="affc"/>
    <w:uiPriority w:val="99"/>
    <w:semiHidden/>
    <w:unhideWhenUsed/>
    <w:qFormat/>
    <w:rsid w:val="00B806B1"/>
    <w:rPr>
      <w:b/>
      <w:bCs/>
    </w:rPr>
  </w:style>
  <w:style w:type="character" w:customStyle="1" w:styleId="affc">
    <w:name w:val="批注主题 字符"/>
    <w:basedOn w:val="affa"/>
    <w:link w:val="affb"/>
    <w:uiPriority w:val="99"/>
    <w:semiHidden/>
    <w:qFormat/>
    <w:rsid w:val="00B806B1"/>
    <w:rPr>
      <w:rFonts w:ascii="宋体" w:hAnsi="宋体" w:cs="宋体"/>
      <w:b/>
      <w:bCs/>
      <w:sz w:val="24"/>
      <w:szCs w:val="24"/>
    </w:rPr>
  </w:style>
  <w:style w:type="character" w:styleId="affd">
    <w:name w:val="annotation reference"/>
    <w:basedOn w:val="a1"/>
    <w:uiPriority w:val="99"/>
    <w:semiHidden/>
    <w:unhideWhenUsed/>
    <w:qFormat/>
    <w:rsid w:val="00B806B1"/>
    <w:rPr>
      <w:sz w:val="21"/>
      <w:szCs w:val="21"/>
    </w:rPr>
  </w:style>
  <w:style w:type="character" w:customStyle="1" w:styleId="affe">
    <w:name w:val="造字"/>
    <w:qFormat/>
    <w:rsid w:val="00B806B1"/>
    <w:rPr>
      <w:rFonts w:ascii="经典繁超宋" w:eastAsia="宋体-方正超大字符集"/>
      <w:sz w:val="32"/>
      <w:szCs w:val="52"/>
      <w:lang w:eastAsia="zh-CN"/>
    </w:rPr>
  </w:style>
  <w:style w:type="character" w:customStyle="1" w:styleId="1f1">
    <w:name w:val="未处理的提及1"/>
    <w:basedOn w:val="a1"/>
    <w:uiPriority w:val="99"/>
    <w:semiHidden/>
    <w:unhideWhenUsed/>
    <w:qFormat/>
    <w:rsid w:val="00B806B1"/>
    <w:rPr>
      <w:color w:val="605E5C"/>
      <w:shd w:val="clear" w:color="auto" w:fill="E1DFDD"/>
    </w:rPr>
  </w:style>
  <w:style w:type="character" w:customStyle="1" w:styleId="51">
    <w:name w:val="标题 5 字符1"/>
    <w:basedOn w:val="a1"/>
    <w:link w:val="5"/>
    <w:uiPriority w:val="9"/>
    <w:semiHidden/>
    <w:qFormat/>
    <w:rsid w:val="00B806B1"/>
    <w:rPr>
      <w:rFonts w:ascii="宋体" w:hAnsi="宋体" w:cs="宋体"/>
      <w:b/>
      <w:bCs/>
      <w:sz w:val="28"/>
      <w:szCs w:val="28"/>
    </w:rPr>
  </w:style>
  <w:style w:type="character" w:customStyle="1" w:styleId="afff">
    <w:name w:val="反切"/>
    <w:rsid w:val="00F001B7"/>
    <w:rPr>
      <w:rFonts w:ascii="宋体" w:eastAsia="宋体-方正超大字符集" w:hAnsi="宋体"/>
      <w:noProof/>
      <w:color w:val="800000"/>
      <w:sz w:val="15"/>
      <w:szCs w:val="15"/>
    </w:rPr>
  </w:style>
  <w:style w:type="character" w:customStyle="1" w:styleId="afff0">
    <w:name w:val="控呇湮佽恅苤蚼 红色"/>
    <w:rsid w:val="00F001B7"/>
    <w:rPr>
      <w:rFonts w:ascii="控呇湮佽恅苤蚼" w:eastAsia="控呇湮佽恅苤蚼" w:hAnsi="控呇湮佽恅苤蚼"/>
      <w:color w:val="FF0000"/>
    </w:rPr>
  </w:style>
  <w:style w:type="character" w:customStyle="1" w:styleId="fieldname">
    <w:name w:val="fieldname"/>
    <w:basedOn w:val="a1"/>
    <w:rsid w:val="00F001B7"/>
  </w:style>
  <w:style w:type="character" w:customStyle="1" w:styleId="fieldvalue">
    <w:name w:val="fieldvalue"/>
    <w:basedOn w:val="a1"/>
    <w:rsid w:val="00F001B7"/>
  </w:style>
  <w:style w:type="character" w:customStyle="1" w:styleId="number">
    <w:name w:val="number"/>
    <w:rsid w:val="00F001B7"/>
    <w:rPr>
      <w:color w:val="0033FF"/>
    </w:rPr>
  </w:style>
  <w:style w:type="character" w:customStyle="1" w:styleId="lzspan">
    <w:name w:val="lzspan"/>
    <w:rsid w:val="00F001B7"/>
  </w:style>
  <w:style w:type="paragraph" w:styleId="afff1">
    <w:name w:val="Subtitle"/>
    <w:basedOn w:val="a0"/>
    <w:next w:val="a0"/>
    <w:link w:val="afff2"/>
    <w:uiPriority w:val="11"/>
    <w:qFormat/>
    <w:rsid w:val="00526AE6"/>
    <w:pPr>
      <w:spacing w:before="240" w:after="60" w:line="312" w:lineRule="auto"/>
      <w:jc w:val="center"/>
      <w:outlineLvl w:val="1"/>
    </w:pPr>
    <w:rPr>
      <w:rFonts w:ascii="Arial" w:hAnsi="Arial"/>
      <w:b/>
      <w:bCs/>
      <w:kern w:val="28"/>
      <w:szCs w:val="32"/>
    </w:rPr>
  </w:style>
  <w:style w:type="character" w:customStyle="1" w:styleId="afff2">
    <w:name w:val="副标题 字符"/>
    <w:basedOn w:val="a1"/>
    <w:link w:val="afff1"/>
    <w:uiPriority w:val="11"/>
    <w:rsid w:val="00526AE6"/>
    <w:rPr>
      <w:rFonts w:ascii="Arial" w:hAnsi="Arial"/>
      <w:b/>
      <w:bCs/>
      <w:kern w:val="28"/>
      <w:sz w:val="24"/>
      <w:szCs w:val="32"/>
    </w:rPr>
  </w:style>
  <w:style w:type="paragraph" w:customStyle="1" w:styleId="a">
    <w:name w:val="論著"/>
    <w:basedOn w:val="af6"/>
    <w:link w:val="afff3"/>
    <w:qFormat/>
    <w:rsid w:val="00526AE6"/>
    <w:pPr>
      <w:numPr>
        <w:numId w:val="40"/>
      </w:numPr>
      <w:wordWrap w:val="0"/>
      <w:spacing w:line="360" w:lineRule="auto"/>
      <w:ind w:left="420" w:firstLineChars="0" w:hanging="420"/>
    </w:pPr>
    <w:rPr>
      <w:szCs w:val="28"/>
    </w:rPr>
  </w:style>
  <w:style w:type="character" w:customStyle="1" w:styleId="afff3">
    <w:name w:val="論著 字符"/>
    <w:basedOn w:val="a1"/>
    <w:link w:val="a"/>
    <w:rsid w:val="00526AE6"/>
    <w:rPr>
      <w:rFonts w:ascii="宋体" w:hAnsi="宋体"/>
      <w:kern w:val="2"/>
      <w:sz w:val="24"/>
      <w:szCs w:val="28"/>
    </w:rPr>
  </w:style>
  <w:style w:type="character" w:customStyle="1" w:styleId="nyfontcontent">
    <w:name w:val="ny_font_content"/>
    <w:basedOn w:val="a1"/>
    <w:rsid w:val="00526AE6"/>
  </w:style>
  <w:style w:type="character" w:styleId="afff4">
    <w:name w:val="Unresolved Mention"/>
    <w:basedOn w:val="a1"/>
    <w:uiPriority w:val="99"/>
    <w:semiHidden/>
    <w:unhideWhenUsed/>
    <w:rsid w:val="00526AE6"/>
    <w:rPr>
      <w:color w:val="605E5C"/>
      <w:shd w:val="clear" w:color="auto" w:fill="E1DFDD"/>
    </w:rPr>
  </w:style>
  <w:style w:type="character" w:customStyle="1" w:styleId="zi21">
    <w:name w:val="zi21"/>
    <w:basedOn w:val="a1"/>
    <w:rsid w:val="00526AE6"/>
    <w:rPr>
      <w:rFonts w:ascii="KaiXinSong" w:eastAsia="KaiXinSong" w:hAnsi="KaiXinSong" w:hint="eastAsia"/>
    </w:rPr>
  </w:style>
  <w:style w:type="paragraph" w:customStyle="1" w:styleId="afff5">
    <w:name w:val="样式"/>
    <w:rsid w:val="00526AE6"/>
    <w:pPr>
      <w:widowControl w:val="0"/>
      <w:autoSpaceDE w:val="0"/>
      <w:autoSpaceDN w:val="0"/>
      <w:adjustRightInd w:val="0"/>
    </w:pPr>
    <w:rPr>
      <w:rFonts w:ascii="宋体" w:hAnsi="Times New Roman" w:cs="宋体"/>
      <w:sz w:val="24"/>
      <w:szCs w:val="24"/>
    </w:rPr>
  </w:style>
  <w:style w:type="table" w:customStyle="1" w:styleId="1f2">
    <w:name w:val="网格型1"/>
    <w:basedOn w:val="a2"/>
    <w:next w:val="aff3"/>
    <w:uiPriority w:val="59"/>
    <w:rsid w:val="0072647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microsoft.com/office/2007/relationships/hdphoto" Target="media/hdphoto1.wdp"/><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1204</Words>
  <Characters>6869</Characters>
  <Application>Microsoft Office Word</Application>
  <DocSecurity>0</DocSecurity>
  <Lines>57</Lines>
  <Paragraphs>16</Paragraphs>
  <ScaleCrop>false</ScaleCrop>
  <Company>GWZ</Company>
  <LinksUpToDate>false</LinksUpToDate>
  <CharactersWithSpaces>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Ruofeng Peng</cp:lastModifiedBy>
  <cp:revision>6</cp:revision>
  <dcterms:created xsi:type="dcterms:W3CDTF">2024-03-24T06:54:00Z</dcterms:created>
  <dcterms:modified xsi:type="dcterms:W3CDTF">2024-03-24T07:06:00Z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309ff620ad76616861290f234b7f9af256d5ee33649d63cb7ce801945e0e44d0</vt:lpwstr>
  </property>
</Properties>
</file>