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C2B5" w14:textId="63E0B1F3" w:rsidR="00AA3E43" w:rsidRPr="009C27F0" w:rsidRDefault="009C27F0" w:rsidP="009C27F0">
      <w:pPr>
        <w:pStyle w:val="aff7"/>
      </w:pPr>
      <w:proofErr w:type="gramStart"/>
      <w:r w:rsidRPr="009C27F0">
        <w:rPr>
          <w:rFonts w:hint="eastAsia"/>
        </w:rPr>
        <w:t>據</w:t>
      </w:r>
      <w:proofErr w:type="gramEnd"/>
      <w:r w:rsidRPr="009C27F0">
        <w:rPr>
          <w:rFonts w:hint="eastAsia"/>
        </w:rPr>
        <w:t>北大秦簡說“突”字的古義</w:t>
      </w:r>
    </w:p>
    <w:p w14:paraId="16CA54E6" w14:textId="0CD56618" w:rsidR="009C27F0" w:rsidRPr="009C27F0" w:rsidRDefault="009C27F0" w:rsidP="009C27F0">
      <w:pPr>
        <w:pStyle w:val="aff6"/>
        <w:ind w:firstLineChars="71"/>
        <w:jc w:val="center"/>
        <w:rPr>
          <w:b/>
          <w:bCs/>
        </w:rPr>
      </w:pPr>
      <w:r w:rsidRPr="009C27F0">
        <w:rPr>
          <w:rFonts w:hint="eastAsia"/>
          <w:b/>
          <w:bCs/>
        </w:rPr>
        <w:t>（首發）</w:t>
      </w:r>
    </w:p>
    <w:p w14:paraId="39058C6C" w14:textId="1E3FF5ED" w:rsidR="00AA3E43" w:rsidRPr="009C27F0" w:rsidRDefault="009C27F0" w:rsidP="009C27F0">
      <w:pPr>
        <w:pStyle w:val="aff6"/>
        <w:ind w:firstLineChars="71"/>
        <w:jc w:val="center"/>
        <w:rPr>
          <w:b/>
          <w:bCs/>
        </w:rPr>
      </w:pPr>
      <w:r w:rsidRPr="009C27F0">
        <w:rPr>
          <w:rFonts w:hint="eastAsia"/>
          <w:b/>
          <w:bCs/>
        </w:rPr>
        <w:t>抱小</w:t>
      </w:r>
    </w:p>
    <w:p w14:paraId="0681D6B5" w14:textId="77777777" w:rsidR="009C27F0" w:rsidRPr="009C27F0" w:rsidRDefault="009C27F0" w:rsidP="009C27F0">
      <w:pPr>
        <w:pStyle w:val="aff6"/>
        <w:ind w:firstLine="560"/>
      </w:pPr>
      <w:r w:rsidRPr="009C27F0">
        <w:rPr>
          <w:rFonts w:hint="eastAsia"/>
        </w:rPr>
        <w:t>北大秦簡《病方》簡2</w:t>
      </w:r>
      <w:r w:rsidRPr="009C27F0">
        <w:t>00</w:t>
      </w:r>
      <w:r w:rsidRPr="009C27F0">
        <w:rPr>
          <w:rFonts w:hint="eastAsia"/>
        </w:rPr>
        <w:t>背有下引一段話：</w:t>
      </w:r>
    </w:p>
    <w:p w14:paraId="3E169055" w14:textId="77777777" w:rsidR="009C27F0" w:rsidRDefault="009C27F0" w:rsidP="009C27F0">
      <w:pPr>
        <w:pStyle w:val="aff4"/>
        <w:spacing w:before="540" w:after="540"/>
        <w:ind w:firstLine="496"/>
        <w:rPr>
          <w:rFonts w:eastAsia="PMingLiU"/>
        </w:rPr>
      </w:pPr>
      <w:r>
        <w:rPr>
          <w:rFonts w:hint="eastAsia"/>
        </w:rPr>
        <w:t>踐山山</w:t>
      </w:r>
      <w:bookmarkStart w:id="0" w:name="_Hlk144386253"/>
      <w:r>
        <w:rPr>
          <w:rFonts w:hint="eastAsia"/>
        </w:rPr>
        <w:t>突</w:t>
      </w:r>
      <w:r>
        <w:t>(</w:t>
      </w:r>
      <w:r>
        <w:rPr>
          <w:rFonts w:hint="eastAsia"/>
        </w:rPr>
        <w:t>頽</w:t>
      </w:r>
      <w:r>
        <w:t>)</w:t>
      </w:r>
      <w:bookmarkEnd w:id="0"/>
      <w:r>
        <w:t xml:space="preserve">, </w:t>
      </w:r>
      <w:r>
        <w:rPr>
          <w:noProof/>
        </w:rPr>
        <w:drawing>
          <wp:inline distT="0" distB="0" distL="0" distR="0" wp14:anchorId="70FAC537" wp14:editId="5F6CB03C">
            <wp:extent cx="260350" cy="247650"/>
            <wp:effectExtent l="0" t="0" r="6350" b="0"/>
            <wp:docPr id="10647910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79104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363" cy="2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(踐)草草絶, </w:t>
      </w:r>
      <w:r>
        <w:rPr>
          <w:noProof/>
        </w:rPr>
        <w:drawing>
          <wp:inline distT="0" distB="0" distL="0" distR="0" wp14:anchorId="67B1E54E" wp14:editId="2EB6D6AD">
            <wp:extent cx="260350" cy="247650"/>
            <wp:effectExtent l="0" t="0" r="6350" b="0"/>
            <wp:docPr id="2084168095" name="图片 2084168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68095" name="图片 20841680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363" cy="2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(踐)水水渴(竭)</w:t>
      </w:r>
      <w:r>
        <w:rPr>
          <w:rFonts w:hint="eastAsia"/>
        </w:rPr>
        <w:t>。</w:t>
      </w:r>
      <w:r>
        <w:t>祝血而已,祝</w:t>
      </w:r>
      <w:r>
        <w:rPr>
          <w:rFonts w:hint="eastAsia"/>
        </w:rPr>
        <w:t>叚</w:t>
      </w:r>
      <w:r>
        <w:t>(</w:t>
      </w:r>
      <w:r>
        <w:rPr>
          <w:rFonts w:hint="eastAsia"/>
        </w:rPr>
        <w:t>瘕</w:t>
      </w:r>
      <w:r>
        <w:t>)而起。</w:t>
      </w:r>
      <w:r>
        <w:rPr>
          <w:rStyle w:val="aff3"/>
          <w:rFonts w:ascii="宋体" w:eastAsia="宋体" w:hAnsi="宋体"/>
          <w:szCs w:val="24"/>
        </w:rPr>
        <w:footnoteReference w:id="1"/>
      </w:r>
    </w:p>
    <w:p w14:paraId="02ABD7A9" w14:textId="77777777" w:rsidR="009C27F0" w:rsidRDefault="009C27F0" w:rsidP="009C27F0">
      <w:pPr>
        <w:pStyle w:val="aff6"/>
        <w:ind w:firstLineChars="71" w:firstLine="199"/>
        <w:rPr>
          <w:lang w:eastAsia="zh-TW"/>
        </w:rPr>
      </w:pPr>
      <w:r>
        <w:rPr>
          <w:rFonts w:hint="eastAsia"/>
          <w:lang w:eastAsia="zh-TW"/>
        </w:rPr>
        <w:t>其原大圖版作：</w:t>
      </w:r>
    </w:p>
    <w:p w14:paraId="157D2C83" w14:textId="77777777" w:rsidR="009C27F0" w:rsidRDefault="009C27F0" w:rsidP="009C27F0">
      <w:pPr>
        <w:spacing w:before="312" w:after="312"/>
        <w:ind w:leftChars="200" w:left="480" w:right="480" w:firstLineChars="200" w:firstLine="480"/>
        <w:jc w:val="center"/>
        <w:textAlignment w:val="center"/>
        <w:rPr>
          <w:rFonts w:eastAsia="PMingLiU"/>
          <w:szCs w:val="24"/>
          <w:lang w:eastAsia="zh-TW"/>
        </w:rPr>
      </w:pPr>
      <w:bookmarkStart w:id="1" w:name="_Hlk144385495"/>
      <w:r>
        <w:rPr>
          <w:rFonts w:eastAsia="PMingLiU"/>
          <w:noProof/>
          <w:szCs w:val="24"/>
          <w:lang w:eastAsia="zh-TW"/>
        </w:rPr>
        <w:drawing>
          <wp:inline distT="0" distB="0" distL="0" distR="0" wp14:anchorId="37566F8F" wp14:editId="0A028A15">
            <wp:extent cx="279400" cy="3371850"/>
            <wp:effectExtent l="0" t="0" r="6350" b="0"/>
            <wp:docPr id="8943469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4695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14" cy="337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f3"/>
          <w:szCs w:val="24"/>
          <w:lang w:eastAsia="zh-TW"/>
        </w:rPr>
        <w:footnoteReference w:id="2"/>
      </w:r>
    </w:p>
    <w:p w14:paraId="7E216751" w14:textId="77777777" w:rsidR="009C27F0" w:rsidRDefault="009C27F0" w:rsidP="009C27F0">
      <w:pPr>
        <w:pStyle w:val="aff6"/>
        <w:ind w:firstLineChars="71" w:firstLine="199"/>
        <w:rPr>
          <w:lang w:eastAsia="zh-TW"/>
        </w:rPr>
      </w:pPr>
      <w:r>
        <w:rPr>
          <w:rFonts w:hint="eastAsia"/>
          <w:lang w:eastAsia="zh-TW"/>
        </w:rPr>
        <w:lastRenderedPageBreak/>
        <w:t>放大圖版作：</w:t>
      </w:r>
    </w:p>
    <w:p w14:paraId="62859B70" w14:textId="77777777" w:rsidR="009C27F0" w:rsidRDefault="009C27F0" w:rsidP="009C27F0">
      <w:pPr>
        <w:spacing w:before="312" w:after="312"/>
        <w:ind w:leftChars="200" w:left="480" w:right="480" w:firstLineChars="200" w:firstLine="480"/>
        <w:jc w:val="center"/>
        <w:textAlignment w:val="center"/>
        <w:rPr>
          <w:rFonts w:eastAsia="PMingLiU"/>
          <w:szCs w:val="24"/>
          <w:lang w:eastAsia="zh-TW"/>
        </w:rPr>
      </w:pPr>
      <w:r>
        <w:rPr>
          <w:noProof/>
          <w:szCs w:val="24"/>
          <w:lang w:eastAsia="zh-TW"/>
        </w:rPr>
        <w:drawing>
          <wp:inline distT="0" distB="0" distL="0" distR="0" wp14:anchorId="1E7805E6" wp14:editId="7D86F9DB">
            <wp:extent cx="438150" cy="2717800"/>
            <wp:effectExtent l="0" t="0" r="0" b="6350"/>
            <wp:docPr id="2550069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0693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73" cy="27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zh-TW"/>
        </w:rPr>
        <w:drawing>
          <wp:inline distT="0" distB="0" distL="0" distR="0" wp14:anchorId="3E2C3454" wp14:editId="40E05867">
            <wp:extent cx="457200" cy="3378200"/>
            <wp:effectExtent l="0" t="0" r="0" b="0"/>
            <wp:docPr id="21306250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2500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23" cy="337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Hlk144385938"/>
      <w:r>
        <w:rPr>
          <w:rStyle w:val="aff3"/>
          <w:szCs w:val="24"/>
          <w:lang w:eastAsia="zh-TW"/>
        </w:rPr>
        <w:footnoteReference w:id="3"/>
      </w:r>
      <w:bookmarkEnd w:id="1"/>
      <w:bookmarkEnd w:id="2"/>
    </w:p>
    <w:p w14:paraId="3AA91232" w14:textId="77777777" w:rsidR="009C27F0" w:rsidRDefault="009C27F0" w:rsidP="009C27F0">
      <w:pPr>
        <w:pStyle w:val="aff6"/>
        <w:ind w:firstLine="560"/>
        <w:rPr>
          <w:rFonts w:eastAsia="PMingLiU"/>
          <w:lang w:eastAsia="zh-TW"/>
        </w:rPr>
      </w:pPr>
      <w:r>
        <w:rPr>
          <w:rFonts w:hint="eastAsia"/>
          <w:lang w:eastAsia="zh-TW"/>
        </w:rPr>
        <w:t>根據圖版，“踐山”之“踐”也是從“止”從“戔”，</w:t>
      </w:r>
      <w:r>
        <w:rPr>
          <w:rFonts w:hint="eastAsia"/>
        </w:rPr>
        <w:t>同樣</w:t>
      </w:r>
      <w:r>
        <w:rPr>
          <w:rFonts w:hint="eastAsia"/>
          <w:lang w:eastAsia="zh-TW"/>
        </w:rPr>
        <w:t>應該嚴格隸定。</w:t>
      </w:r>
    </w:p>
    <w:p w14:paraId="032BE155" w14:textId="77777777" w:rsidR="009C27F0" w:rsidRDefault="009C27F0" w:rsidP="009C27F0">
      <w:pPr>
        <w:pStyle w:val="aff6"/>
        <w:ind w:firstLine="560"/>
        <w:rPr>
          <w:rFonts w:eastAsia="PMingLiU"/>
          <w:lang w:eastAsia="zh-TW"/>
        </w:rPr>
      </w:pPr>
      <w:r>
        <w:rPr>
          <w:rFonts w:hint="eastAsia"/>
          <w:lang w:eastAsia="zh-TW"/>
        </w:rPr>
        <w:t>整理者將</w:t>
      </w:r>
      <w:bookmarkStart w:id="3" w:name="_Hlk144386380"/>
      <w:bookmarkStart w:id="4" w:name="_Hlk144386342"/>
      <w:r>
        <w:rPr>
          <w:rFonts w:hint="eastAsia"/>
          <w:lang w:eastAsia="zh-TW"/>
        </w:rPr>
        <w:t>“突”</w:t>
      </w:r>
      <w:bookmarkEnd w:id="3"/>
      <w:r>
        <w:rPr>
          <w:rFonts w:hint="eastAsia"/>
          <w:lang w:eastAsia="zh-TW"/>
        </w:rPr>
        <w:t>括注為“頽”</w:t>
      </w:r>
      <w:bookmarkEnd w:id="4"/>
      <w:r>
        <w:rPr>
          <w:rFonts w:hint="eastAsia"/>
          <w:lang w:eastAsia="zh-TW"/>
        </w:rPr>
        <w:t>，無說。我們知道，“突”</w:t>
      </w:r>
      <w:bookmarkStart w:id="5" w:name="_Hlk144386399"/>
      <w:r>
        <w:rPr>
          <w:rFonts w:hint="eastAsia"/>
          <w:lang w:eastAsia="zh-TW"/>
        </w:rPr>
        <w:t>“頹”</w:t>
      </w:r>
      <w:bookmarkStart w:id="6" w:name="_Hlk144387299"/>
      <w:bookmarkEnd w:id="5"/>
      <w:r>
        <w:rPr>
          <w:rFonts w:hint="eastAsia"/>
          <w:lang w:eastAsia="zh-TW"/>
        </w:rPr>
        <w:t>二字</w:t>
      </w:r>
      <w:bookmarkEnd w:id="6"/>
      <w:r>
        <w:rPr>
          <w:rFonts w:hint="eastAsia"/>
          <w:lang w:eastAsia="zh-TW"/>
        </w:rPr>
        <w:t>的古音雖相近，但還是有別的。“突”為</w:t>
      </w:r>
      <w:bookmarkStart w:id="7" w:name="_Hlk144387134"/>
      <w:r>
        <w:rPr>
          <w:rFonts w:hint="eastAsia"/>
          <w:lang w:eastAsia="zh-TW"/>
        </w:rPr>
        <w:t>定母</w:t>
      </w:r>
      <w:bookmarkEnd w:id="7"/>
      <w:r>
        <w:rPr>
          <w:rFonts w:hint="eastAsia"/>
          <w:lang w:eastAsia="zh-TW"/>
        </w:rPr>
        <w:t>物部字，“頽”為定母微部字，二字的音調有異。而北大秦簡《病方》這段正好以突、絶、渴(竭)為韻（物月合韻），皆押入聲韻。所以並不能將“突”“頽”二字</w:t>
      </w:r>
      <w:bookmarkStart w:id="8" w:name="_Hlk145220543"/>
      <w:r>
        <w:rPr>
          <w:rFonts w:hint="eastAsia"/>
          <w:lang w:eastAsia="zh-TW"/>
        </w:rPr>
        <w:t>完全等同起來。</w:t>
      </w:r>
      <w:bookmarkEnd w:id="8"/>
      <w:r>
        <w:rPr>
          <w:rFonts w:hint="eastAsia"/>
          <w:lang w:eastAsia="zh-TW"/>
        </w:rPr>
        <w:t>但二字的確音近而義同，故可以認定為同源關係。</w:t>
      </w:r>
      <w:r>
        <w:rPr>
          <w:rStyle w:val="aff3"/>
          <w:rFonts w:hint="eastAsia"/>
          <w:sz w:val="24"/>
          <w:szCs w:val="24"/>
          <w:lang w:eastAsia="zh-TW"/>
        </w:rPr>
        <w:lastRenderedPageBreak/>
        <w:footnoteReference w:id="4"/>
      </w:r>
    </w:p>
    <w:p w14:paraId="45703333" w14:textId="77777777" w:rsidR="009C27F0" w:rsidRDefault="009C27F0" w:rsidP="009C27F0">
      <w:pPr>
        <w:pStyle w:val="aff6"/>
        <w:ind w:firstLine="560"/>
        <w:rPr>
          <w:rFonts w:eastAsia="PMingLiU"/>
          <w:lang w:eastAsia="zh-TW"/>
        </w:rPr>
      </w:pPr>
      <w:r>
        <w:rPr>
          <w:rFonts w:hint="eastAsia"/>
          <w:lang w:eastAsia="zh-TW"/>
        </w:rPr>
        <w:t>考“突”字古書中就有“禿”的意思。如</w:t>
      </w:r>
      <w:r>
        <w:rPr>
          <w:lang w:eastAsia="zh-TW"/>
        </w:rPr>
        <w:t>《孟子·盡心上》</w:t>
      </w:r>
      <w:r>
        <w:rPr>
          <w:rFonts w:hint="eastAsia"/>
          <w:lang w:eastAsia="zh-TW"/>
        </w:rPr>
        <w:t>有</w:t>
      </w:r>
      <w:r>
        <w:rPr>
          <w:lang w:eastAsia="zh-TW"/>
        </w:rPr>
        <w:t>“</w:t>
      </w:r>
      <w:r>
        <w:rPr>
          <w:rFonts w:hint="eastAsia"/>
          <w:lang w:eastAsia="zh-TW"/>
        </w:rPr>
        <w:t>墨子兼愛，摩頂放踵利天下，為之</w:t>
      </w:r>
      <w:r>
        <w:rPr>
          <w:lang w:eastAsia="zh-TW"/>
        </w:rPr>
        <w:t>”</w:t>
      </w:r>
      <w:r>
        <w:rPr>
          <w:rFonts w:hint="eastAsia"/>
          <w:lang w:eastAsia="zh-TW"/>
        </w:rPr>
        <w:t>之語，</w:t>
      </w:r>
      <w:r>
        <w:rPr>
          <w:lang w:eastAsia="zh-TW"/>
        </w:rPr>
        <w:t>趙岐注</w:t>
      </w:r>
      <w:r>
        <w:rPr>
          <w:rFonts w:hint="eastAsia"/>
          <w:lang w:eastAsia="zh-TW"/>
        </w:rPr>
        <w:t>：</w:t>
      </w:r>
      <w:r>
        <w:rPr>
          <w:lang w:eastAsia="zh-TW"/>
        </w:rPr>
        <w:t>“</w:t>
      </w:r>
      <w:r>
        <w:rPr>
          <w:rFonts w:hint="eastAsia"/>
          <w:lang w:eastAsia="zh-TW"/>
        </w:rPr>
        <w:t>兼愛他人，摩突其頂下至於踵，以利天下，樂爲之也。</w:t>
      </w:r>
      <w:r>
        <w:rPr>
          <w:lang w:eastAsia="zh-TW"/>
        </w:rPr>
        <w:t>”焦循</w:t>
      </w:r>
      <w:r>
        <w:rPr>
          <w:rFonts w:hint="eastAsia"/>
          <w:lang w:eastAsia="zh-TW"/>
        </w:rPr>
        <w:t>《</w:t>
      </w:r>
      <w:r>
        <w:rPr>
          <w:lang w:eastAsia="zh-TW"/>
        </w:rPr>
        <w:t>正義</w:t>
      </w:r>
      <w:r>
        <w:rPr>
          <w:rFonts w:hint="eastAsia"/>
          <w:lang w:eastAsia="zh-TW"/>
        </w:rPr>
        <w:t>》云：</w:t>
      </w:r>
    </w:p>
    <w:p w14:paraId="7C6903A4" w14:textId="77777777" w:rsidR="009C27F0" w:rsidRDefault="009C27F0" w:rsidP="009C27F0">
      <w:pPr>
        <w:pStyle w:val="aff4"/>
        <w:spacing w:before="540" w:after="540"/>
        <w:ind w:firstLine="496"/>
      </w:pPr>
      <w:r>
        <w:rPr>
          <w:rFonts w:hint="eastAsia"/>
        </w:rPr>
        <w:t>《音義》云“突，丁徒忽切，穿突也。”襄公</w:t>
      </w:r>
      <w:r>
        <w:rPr>
          <w:rFonts w:hint="eastAsia"/>
          <w:szCs w:val="21"/>
        </w:rPr>
        <w:t>二十五</w:t>
      </w:r>
      <w:r>
        <w:rPr>
          <w:rFonts w:hint="eastAsia"/>
        </w:rPr>
        <w:t>年《左傳》“宵突陳城”注云“突，穿也。”此丁公著所本。乃城可曰穿，頂不可言穿。《莊子·說劍篇》云“吾王所見劍士皆蓬頭突鬢”，《荀子·非相篇》“孫叔敖突秃”，</w:t>
      </w:r>
      <w:bookmarkStart w:id="9" w:name="_Hlk145219118"/>
      <w:r>
        <w:rPr>
          <w:rFonts w:hint="eastAsia"/>
        </w:rPr>
        <w:t>楊倞注</w:t>
      </w:r>
      <w:bookmarkEnd w:id="9"/>
      <w:r>
        <w:rPr>
          <w:rFonts w:hint="eastAsia"/>
        </w:rPr>
        <w:t>云：“突，謂短髮可凌突人者，</w:t>
      </w:r>
      <w:r>
        <w:t>故</w:t>
      </w:r>
      <w:r>
        <w:rPr>
          <w:rFonts w:hint="eastAsia"/>
        </w:rPr>
        <w:t>《</w:t>
      </w:r>
      <w:r>
        <w:t>莊子</w:t>
      </w:r>
      <w:r>
        <w:rPr>
          <w:rFonts w:hint="eastAsia"/>
        </w:rPr>
        <w:t>》</w:t>
      </w:r>
      <w:r>
        <w:t>説趙士蓬頭突</w:t>
      </w:r>
      <w:r>
        <w:rPr>
          <w:rFonts w:hint="eastAsia"/>
        </w:rPr>
        <w:t>鬢</w:t>
      </w:r>
      <w:r>
        <w:t>。</w:t>
      </w:r>
      <w:r>
        <w:rPr>
          <w:rFonts w:hint="eastAsia"/>
        </w:rPr>
        <w:t>”</w:t>
      </w:r>
      <w:r>
        <w:t>突、秃聲轉，</w:t>
      </w:r>
      <w:bookmarkStart w:id="10" w:name="_Hlk145218980"/>
      <w:r>
        <w:t>突</w:t>
      </w:r>
      <w:r>
        <w:rPr>
          <w:rFonts w:hint="eastAsia"/>
        </w:rPr>
        <w:t>即</w:t>
      </w:r>
      <w:r>
        <w:t>秃</w:t>
      </w:r>
      <w:bookmarkEnd w:id="10"/>
      <w:r>
        <w:t>,楊氏解爲</w:t>
      </w:r>
      <w:r>
        <w:rPr>
          <w:rFonts w:hint="eastAsia"/>
        </w:rPr>
        <w:t>“</w:t>
      </w:r>
      <w:r>
        <w:t>短髮</w:t>
      </w:r>
      <w:r>
        <w:rPr>
          <w:rFonts w:hint="eastAsia"/>
        </w:rPr>
        <w:t>”</w:t>
      </w:r>
      <w:r>
        <w:t>是也。趙氏以突明摩,謂摩</w:t>
      </w:r>
      <w:r>
        <w:rPr>
          <w:rFonts w:hint="eastAsia"/>
        </w:rPr>
        <w:t>迫其</w:t>
      </w:r>
      <w:r>
        <w:t>頂,髮爲之秃</w:t>
      </w:r>
      <w:r>
        <w:rPr>
          <w:rFonts w:hint="eastAsia"/>
        </w:rPr>
        <w:t>。丁氏以突爲穿，失趙義矣。</w:t>
      </w:r>
      <w:r>
        <w:rPr>
          <w:rStyle w:val="aff3"/>
          <w:rFonts w:hint="eastAsia"/>
          <w:szCs w:val="24"/>
        </w:rPr>
        <w:footnoteReference w:id="5"/>
      </w:r>
    </w:p>
    <w:p w14:paraId="63BDB2CC" w14:textId="77777777" w:rsidR="009C27F0" w:rsidRDefault="009C27F0" w:rsidP="009C27F0">
      <w:pPr>
        <w:pStyle w:val="aff6"/>
        <w:ind w:firstLineChars="0" w:firstLine="0"/>
        <w:rPr>
          <w:lang w:eastAsia="zh-TW"/>
        </w:rPr>
      </w:pPr>
      <w:bookmarkStart w:id="11" w:name="_Hlk144410170"/>
      <w:r>
        <w:rPr>
          <w:rFonts w:hint="eastAsia"/>
        </w:rPr>
        <w:t>案</w:t>
      </w:r>
      <w:r>
        <w:rPr>
          <w:lang w:eastAsia="zh-TW"/>
        </w:rPr>
        <w:t>焦循</w:t>
      </w:r>
      <w:r>
        <w:rPr>
          <w:rFonts w:hint="eastAsia"/>
          <w:lang w:eastAsia="zh-TW"/>
        </w:rPr>
        <w:t>的說法有得有失。謂“</w:t>
      </w:r>
      <w:r>
        <w:rPr>
          <w:lang w:eastAsia="zh-TW"/>
        </w:rPr>
        <w:t>突</w:t>
      </w:r>
      <w:r>
        <w:rPr>
          <w:rFonts w:hint="eastAsia"/>
          <w:lang w:eastAsia="zh-TW"/>
        </w:rPr>
        <w:t>即</w:t>
      </w:r>
      <w:r>
        <w:rPr>
          <w:lang w:eastAsia="zh-TW"/>
        </w:rPr>
        <w:t>秃</w:t>
      </w:r>
      <w:r>
        <w:rPr>
          <w:rFonts w:hint="eastAsia"/>
          <w:lang w:eastAsia="zh-TW"/>
        </w:rPr>
        <w:t>”及引《莊子》《荀子》兩例書證</w:t>
      </w:r>
      <w:r>
        <w:rPr>
          <w:rFonts w:hint="eastAsia"/>
        </w:rPr>
        <w:t>皆</w:t>
      </w:r>
      <w:r>
        <w:rPr>
          <w:rFonts w:hint="eastAsia"/>
          <w:lang w:eastAsia="zh-TW"/>
        </w:rPr>
        <w:t>是。但從楊倞注“短髮”之說則非。《荀子·非相》</w:t>
      </w:r>
      <w:bookmarkEnd w:id="11"/>
      <w:r>
        <w:rPr>
          <w:rFonts w:hint="eastAsia"/>
          <w:lang w:eastAsia="zh-TW"/>
        </w:rPr>
        <w:t>云</w:t>
      </w:r>
      <w:bookmarkStart w:id="12" w:name="_Hlk144407777"/>
      <w:r>
        <w:rPr>
          <w:rFonts w:hint="eastAsia"/>
          <w:lang w:eastAsia="zh-TW"/>
        </w:rPr>
        <w:t>“突禿長左”，“突禿”連文，應為同義複詞。清袁枚《隨園隨筆·今疾病見古書》：“孫叔敖突禿即今之髮禿也。”</w:t>
      </w:r>
      <w:bookmarkEnd w:id="12"/>
      <w:r>
        <w:rPr>
          <w:rFonts w:hint="eastAsia"/>
          <w:lang w:eastAsia="zh-TW"/>
        </w:rPr>
        <w:t>可從。乃楊倞注“謂短髮可</w:t>
      </w:r>
      <w:r>
        <w:rPr>
          <w:rFonts w:hint="eastAsia"/>
          <w:lang w:eastAsia="zh-TW"/>
        </w:rPr>
        <w:lastRenderedPageBreak/>
        <w:t>凌突人者”，而《莊子·說劍篇》之“蓬頭突鬢”（也是指鬢髮光禿），成玄英疏：“髮亂如蓬，鬢毛突出。”則或釋以“凌突”、或釋以“突出”，皆望文生訓，非是。</w:t>
      </w:r>
    </w:p>
    <w:p w14:paraId="7F811EA3" w14:textId="77777777" w:rsidR="009C27F0" w:rsidRDefault="009C27F0" w:rsidP="009C27F0">
      <w:pPr>
        <w:pStyle w:val="aff6"/>
        <w:ind w:firstLine="560"/>
        <w:rPr>
          <w:rFonts w:eastAsia="PMingLiU"/>
          <w:lang w:eastAsia="zh-TW"/>
        </w:rPr>
      </w:pPr>
      <w:r>
        <w:rPr>
          <w:rFonts w:hint="eastAsia"/>
        </w:rPr>
        <w:t>又</w:t>
      </w:r>
      <w:r>
        <w:t>張家山漢簡《脈書》</w:t>
      </w:r>
      <w:r>
        <w:rPr>
          <w:rFonts w:hint="eastAsia"/>
        </w:rPr>
        <w:t>簡15：</w:t>
      </w:r>
      <w:r>
        <w:t>“四節</w:t>
      </w:r>
      <w:proofErr w:type="gramStart"/>
      <w:r>
        <w:t>疟</w:t>
      </w:r>
      <w:proofErr w:type="gramEnd"/>
      <w:r>
        <w:t>如牛目,</w:t>
      </w:r>
      <w:proofErr w:type="gramStart"/>
      <w:r>
        <w:t>麋</w:t>
      </w:r>
      <w:proofErr w:type="gramEnd"/>
      <w:r>
        <w:t>(眉)突(脱),爲</w:t>
      </w:r>
      <w:r>
        <w:rPr>
          <w:rFonts w:ascii="SimSun-ExtB" w:eastAsia="SimSun-ExtB" w:hAnsi="SimSun-ExtB" w:cs="SimSun-ExtB" w:hint="eastAsia"/>
        </w:rPr>
        <w:t>𭙿</w:t>
      </w:r>
      <w:r>
        <w:t>(癘)。”</w:t>
      </w:r>
      <w:r>
        <w:rPr>
          <w:rStyle w:val="aff3"/>
          <w:sz w:val="24"/>
          <w:szCs w:val="24"/>
        </w:rPr>
        <w:footnoteReference w:id="6"/>
      </w:r>
      <w:r>
        <w:rPr>
          <w:rFonts w:hint="eastAsia"/>
        </w:rPr>
        <w:t>整理者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“突”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注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“脫”，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語音和</w:t>
      </w:r>
      <w:proofErr w:type="gramStart"/>
      <w:r>
        <w:rPr>
          <w:rFonts w:hint="eastAsia"/>
        </w:rPr>
        <w:t>文義</w:t>
      </w:r>
      <w:proofErr w:type="gramEnd"/>
      <w:r>
        <w:rPr>
          <w:rFonts w:hint="eastAsia"/>
        </w:rPr>
        <w:t>的角度，似無問題。但結合北大秦簡《病方》</w:t>
      </w:r>
      <w:r>
        <w:t>“</w:t>
      </w:r>
      <w:r>
        <w:rPr>
          <w:rFonts w:ascii="楷体" w:eastAsia="楷体" w:hAnsi="楷体"/>
          <w:noProof/>
          <w:szCs w:val="21"/>
          <w:lang w:eastAsia="zh-TW"/>
        </w:rPr>
        <w:drawing>
          <wp:inline distT="0" distB="0" distL="0" distR="0" wp14:anchorId="79AC31BE" wp14:editId="5DFD4D6B">
            <wp:extent cx="260350" cy="247650"/>
            <wp:effectExtent l="0" t="0" r="635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363" cy="2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szCs w:val="21"/>
          <w:lang w:eastAsia="zh-TW"/>
        </w:rPr>
        <w:t xml:space="preserve"> </w:t>
      </w:r>
      <w:r>
        <w:rPr>
          <w:rFonts w:cs="宋体" w:hint="eastAsia"/>
          <w:lang w:eastAsia="zh-TW"/>
        </w:rPr>
        <w:t>(踐)</w:t>
      </w:r>
      <w:r>
        <w:rPr>
          <w:rFonts w:hint="eastAsia"/>
        </w:rPr>
        <w:t>山山突</w:t>
      </w:r>
      <w:r>
        <w:t>”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看，就不必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“突”</w:t>
      </w:r>
      <w:proofErr w:type="gramStart"/>
      <w:r>
        <w:rPr>
          <w:rFonts w:hint="eastAsia"/>
        </w:rPr>
        <w:t>括</w:t>
      </w:r>
      <w:proofErr w:type="gramEnd"/>
      <w:r>
        <w:rPr>
          <w:rFonts w:hint="eastAsia"/>
        </w:rPr>
        <w:t>注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“脫”，而直接如字讀，“</w:t>
      </w:r>
      <w:proofErr w:type="gramStart"/>
      <w:r>
        <w:rPr>
          <w:rFonts w:hint="eastAsia"/>
        </w:rPr>
        <w:t>麋</w:t>
      </w:r>
      <w:proofErr w:type="gramEnd"/>
      <w:r>
        <w:rPr>
          <w:rFonts w:hint="eastAsia"/>
        </w:rPr>
        <w:t>(眉)突”，即眉毛</w:t>
      </w:r>
      <w:r>
        <w:rPr>
          <w:rFonts w:cs="宋体" w:hint="eastAsia"/>
        </w:rPr>
        <w:t>光</w:t>
      </w:r>
      <w:r>
        <w:rPr>
          <w:rFonts w:hint="eastAsia"/>
        </w:rPr>
        <w:t>禿的意思。</w:t>
      </w:r>
    </w:p>
    <w:p w14:paraId="17814DF3" w14:textId="77777777" w:rsidR="009C27F0" w:rsidRDefault="009C27F0" w:rsidP="009C27F0">
      <w:pPr>
        <w:pStyle w:val="aff6"/>
        <w:ind w:firstLine="560"/>
        <w:rPr>
          <w:rFonts w:cs="宋体"/>
          <w:lang w:eastAsia="zh-TW"/>
        </w:rPr>
      </w:pPr>
      <w:r>
        <w:rPr>
          <w:rFonts w:cs="宋体" w:hint="eastAsia"/>
        </w:rPr>
        <w:t>檢</w:t>
      </w:r>
      <w:r>
        <w:rPr>
          <w:rFonts w:cs="宋体" w:hint="eastAsia"/>
          <w:lang w:eastAsia="zh-TW"/>
        </w:rPr>
        <w:t>《墨子·修身》</w:t>
      </w:r>
      <w:r>
        <w:rPr>
          <w:rFonts w:cs="宋体" w:hint="eastAsia"/>
        </w:rPr>
        <w:t>云</w:t>
      </w:r>
      <w:r>
        <w:rPr>
          <w:rFonts w:cs="宋体" w:hint="eastAsia"/>
          <w:lang w:eastAsia="zh-TW"/>
        </w:rPr>
        <w:t>：“暢之四支，接之肌膚，華髮隳顛，而猶弗舍者，其唯聖人乎?”孫詒讓</w:t>
      </w:r>
      <w:r>
        <w:rPr>
          <w:rFonts w:cs="宋体" w:hint="eastAsia"/>
        </w:rPr>
        <w:t>云</w:t>
      </w:r>
      <w:r>
        <w:rPr>
          <w:rFonts w:cs="宋体" w:hint="eastAsia"/>
          <w:lang w:eastAsia="zh-TW"/>
        </w:rPr>
        <w:t>：“畢云：‘隳字當爲墮。’詒讓案：《說文·髟部》云：‘鬌，髮墮也。’《頁部》云：‘顛，頂也。’墮與鬌通。墮顛，即禿頂。《新序·雜事篇》云：‘齊宣王謂閭丘卬曰：士亦華髮墮顛，而後可用耳。’”</w:t>
      </w:r>
      <w:r>
        <w:rPr>
          <w:rStyle w:val="aff3"/>
          <w:rFonts w:cs="宋体" w:hint="eastAsia"/>
          <w:sz w:val="24"/>
          <w:szCs w:val="24"/>
          <w:lang w:eastAsia="zh-TW"/>
        </w:rPr>
        <w:footnoteReference w:id="7"/>
      </w:r>
      <w:r>
        <w:rPr>
          <w:rFonts w:cs="宋体" w:hint="eastAsia"/>
          <w:lang w:eastAsia="zh-TW"/>
        </w:rPr>
        <w:t>案《淮南子·說山》“髡屯犁牛，既</w:t>
      </w:r>
      <w:r>
        <w:rPr>
          <w:rFonts w:ascii="SimSun-ExtB" w:eastAsia="SimSun-ExtB" w:hAnsi="SimSun-ExtB" w:cs="SimSun-ExtB" w:hint="eastAsia"/>
          <w:lang w:eastAsia="zh-TW"/>
        </w:rPr>
        <w:t>𢱃</w:t>
      </w:r>
      <w:r>
        <w:rPr>
          <w:rFonts w:cs="宋体" w:hint="eastAsia"/>
          <w:lang w:eastAsia="zh-TW"/>
        </w:rPr>
        <w:t>以</w:t>
      </w:r>
      <w:r>
        <w:rPr>
          <w:rFonts w:ascii="SimSun-ExtB" w:eastAsia="SimSun-ExtB" w:hAnsi="SimSun-ExtB" w:cs="SimSun-ExtB" w:hint="eastAsia"/>
          <w:lang w:eastAsia="zh-TW"/>
        </w:rPr>
        <w:t>𤛛</w:t>
      </w:r>
      <w:r>
        <w:rPr>
          <w:rFonts w:cs="宋体" w:hint="eastAsia"/>
          <w:lang w:eastAsia="zh-TW"/>
        </w:rPr>
        <w:t>，決鼻而羈，生子而犧，尸祝齊戒以沈諸河”，高誘注：“</w:t>
      </w:r>
      <w:r>
        <w:rPr>
          <w:rFonts w:ascii="SimSun-ExtB" w:eastAsia="SimSun-ExtB" w:hAnsi="SimSun-ExtB" w:cs="SimSun-ExtB" w:hint="eastAsia"/>
          <w:lang w:eastAsia="zh-TW"/>
        </w:rPr>
        <w:t>𢱃</w:t>
      </w:r>
      <w:r>
        <w:rPr>
          <w:rFonts w:cs="宋体" w:hint="eastAsia"/>
          <w:lang w:eastAsia="zh-TW"/>
        </w:rPr>
        <w:t>，無角；</w:t>
      </w:r>
      <w:r>
        <w:rPr>
          <w:rFonts w:ascii="SimSun-ExtB" w:eastAsia="SimSun-ExtB" w:hAnsi="SimSun-ExtB" w:cs="SimSun-ExtB" w:hint="eastAsia"/>
          <w:lang w:eastAsia="zh-TW"/>
        </w:rPr>
        <w:t>𤛛</w:t>
      </w:r>
      <w:r>
        <w:rPr>
          <w:rFonts w:ascii="HanaMinB" w:eastAsia="HanaMinB" w:hAnsi="HanaMinB" w:cs="HanaMinB" w:hint="eastAsia"/>
          <w:lang w:eastAsia="zh-TW"/>
        </w:rPr>
        <w:t>，</w:t>
      </w:r>
      <w:r>
        <w:rPr>
          <w:rFonts w:cs="宋体" w:hint="eastAsia"/>
          <w:lang w:eastAsia="zh-TW"/>
        </w:rPr>
        <w:t>無尾。”王念孫云：</w:t>
      </w:r>
    </w:p>
    <w:p w14:paraId="56982B22" w14:textId="77777777" w:rsidR="009C27F0" w:rsidRDefault="009C27F0" w:rsidP="009C27F0">
      <w:pPr>
        <w:pStyle w:val="aff4"/>
        <w:spacing w:before="540" w:after="540"/>
        <w:ind w:firstLine="496"/>
      </w:pPr>
      <w:r>
        <w:rPr>
          <w:rFonts w:hint="eastAsia"/>
        </w:rPr>
        <w:t>《說文》《玉篇》《廣韻》《集韻》皆無</w:t>
      </w:r>
      <w:r>
        <w:rPr>
          <w:rFonts w:ascii="SimSun-ExtB" w:eastAsia="SimSun-ExtB" w:hAnsi="SimSun-ExtB" w:cs="SimSun-ExtB" w:hint="eastAsia"/>
        </w:rPr>
        <w:t>𢱃</w:t>
      </w:r>
      <w:r>
        <w:rPr>
          <w:rFonts w:ascii="宋体" w:eastAsia="宋体" w:hAnsi="宋体" w:cs="宋体" w:hint="eastAsia"/>
        </w:rPr>
        <w:t>、</w:t>
      </w:r>
      <w:r>
        <w:rPr>
          <w:rFonts w:ascii="SimSun-ExtB" w:eastAsia="SimSun-ExtB" w:hAnsi="SimSun-ExtB" w:cs="SimSun-ExtB" w:hint="eastAsia"/>
        </w:rPr>
        <w:t>𤛛</w:t>
      </w:r>
      <w:r>
        <w:rPr>
          <w:rFonts w:hint="eastAsia"/>
        </w:rPr>
        <w:t>二字，</w:t>
      </w:r>
      <w:r>
        <w:rPr>
          <w:rFonts w:ascii="SimSun-ExtB" w:eastAsia="SimSun-ExtB" w:hAnsi="SimSun-ExtB" w:cs="SimSun-ExtB" w:hint="eastAsia"/>
        </w:rPr>
        <w:t>𢱃</w:t>
      </w:r>
      <w:r>
        <w:rPr>
          <w:rFonts w:ascii="宋体" w:eastAsia="宋体" w:hAnsi="宋体" w:cs="宋体" w:hint="eastAsia"/>
        </w:rPr>
        <w:t>、</w:t>
      </w:r>
      <w:r>
        <w:rPr>
          <w:rFonts w:ascii="SimSun-ExtB" w:eastAsia="SimSun-ExtB" w:hAnsi="SimSun-ExtB" w:cs="SimSun-ExtB" w:hint="eastAsia"/>
        </w:rPr>
        <w:t>𤛛</w:t>
      </w:r>
      <w:r>
        <w:rPr>
          <w:rFonts w:hint="eastAsia"/>
        </w:rPr>
        <w:t>當爲科橢。</w:t>
      </w:r>
      <w:r>
        <w:rPr>
          <w:rFonts w:hint="eastAsia"/>
        </w:rPr>
        <w:lastRenderedPageBreak/>
        <w:t>後人從牛作犐、</w:t>
      </w:r>
      <w:r>
        <w:rPr>
          <w:rFonts w:ascii="SimSun-ExtB" w:eastAsia="SimSun-ExtB" w:hAnsi="SimSun-ExtB" w:cs="SimSun-ExtB" w:hint="eastAsia"/>
        </w:rPr>
        <w:t>𤛩</w:t>
      </w:r>
      <w:r>
        <w:rPr>
          <w:rFonts w:hint="eastAsia"/>
        </w:rPr>
        <w:t>，傳寫者又誤爲</w:t>
      </w:r>
      <w:r>
        <w:rPr>
          <w:rFonts w:ascii="SimSun-ExtB" w:eastAsia="SimSun-ExtB" w:hAnsi="SimSun-ExtB" w:cs="SimSun-ExtB" w:hint="eastAsia"/>
        </w:rPr>
        <w:t>𢱃</w:t>
      </w:r>
      <w:r>
        <w:rPr>
          <w:rFonts w:ascii="宋体" w:eastAsia="宋体" w:hAnsi="宋体" w:cs="宋体" w:hint="eastAsia"/>
        </w:rPr>
        <w:t>、</w:t>
      </w:r>
      <w:r>
        <w:rPr>
          <w:rFonts w:ascii="SimSun-ExtB" w:eastAsia="SimSun-ExtB" w:hAnsi="SimSun-ExtB" w:cs="SimSun-ExtB" w:hint="eastAsia"/>
        </w:rPr>
        <w:t>𤛛</w:t>
      </w:r>
      <w:r>
        <w:rPr>
          <w:rFonts w:hint="eastAsia"/>
        </w:rPr>
        <w:t>耳。……科與橢皆禿貌也，禿、橢一聲之轉。……《墨子·脩身篇》“華髪墮顚而猶弗舍”，墮與橢同，墮顚謂禿頂也。……其實無角亦可謂之橢，《呂氏春秋·至忠篇》“荆莊哀王獵於雲夢射隨兕”，隨與橢同。</w:t>
      </w:r>
      <w:r>
        <w:rPr>
          <w:rStyle w:val="aff3"/>
          <w:rFonts w:cs="楷体" w:hint="eastAsia"/>
          <w:szCs w:val="21"/>
        </w:rPr>
        <w:footnoteReference w:id="8"/>
      </w:r>
    </w:p>
    <w:p w14:paraId="26BB989C" w14:textId="77777777" w:rsidR="009C27F0" w:rsidRDefault="009C27F0" w:rsidP="009C27F0">
      <w:pPr>
        <w:pStyle w:val="aff6"/>
        <w:ind w:firstLine="560"/>
        <w:rPr>
          <w:lang w:eastAsia="zh-TW"/>
        </w:rPr>
      </w:pPr>
      <w:r>
        <w:rPr>
          <w:rFonts w:hint="eastAsia"/>
        </w:rPr>
        <w:t>是“隳”“墮”“鬌”“橢”“隨”等字，在古漢語中都含有“禿”的意思。</w:t>
      </w:r>
      <w:r>
        <w:rPr>
          <w:rFonts w:hint="eastAsia"/>
          <w:lang w:eastAsia="zh-TW"/>
        </w:rPr>
        <w:t>然則“突”與“頽”“隳”“墮”“鬌”“橢”“隨”並聲近而義同</w:t>
      </w:r>
      <w:r>
        <w:rPr>
          <w:rFonts w:hint="eastAsia"/>
        </w:rPr>
        <w:t>，是一組同源詞</w:t>
      </w:r>
      <w:r>
        <w:rPr>
          <w:rFonts w:hint="eastAsia"/>
          <w:lang w:eastAsia="zh-TW"/>
        </w:rPr>
        <w:t>。</w:t>
      </w:r>
    </w:p>
    <w:p w14:paraId="05DA69AC" w14:textId="77777777" w:rsidR="009C27F0" w:rsidRDefault="009C27F0" w:rsidP="009C27F0">
      <w:pPr>
        <w:pStyle w:val="aff6"/>
        <w:ind w:firstLine="560"/>
      </w:pPr>
      <w:r>
        <w:rPr>
          <w:rFonts w:hint="eastAsia"/>
        </w:rPr>
        <w:t>案《廣雅·釋訓》：“詭隨，小</w:t>
      </w:r>
      <w:proofErr w:type="gramStart"/>
      <w:r>
        <w:rPr>
          <w:rFonts w:hint="eastAsia"/>
        </w:rPr>
        <w:t>惡</w:t>
      </w:r>
      <w:proofErr w:type="gramEnd"/>
      <w:r>
        <w:rPr>
          <w:rFonts w:hint="eastAsia"/>
        </w:rPr>
        <w:t>也。”王念孫《疏證》云：</w:t>
      </w:r>
    </w:p>
    <w:p w14:paraId="2714AC86" w14:textId="77777777" w:rsidR="009C27F0" w:rsidRDefault="009C27F0" w:rsidP="009C27F0">
      <w:pPr>
        <w:pStyle w:val="aff4"/>
        <w:spacing w:before="540" w:after="540"/>
        <w:ind w:firstLine="496"/>
      </w:pPr>
      <w:r>
        <w:rPr>
          <w:rFonts w:hint="eastAsia"/>
        </w:rPr>
        <w:t>詭隨，謂譎詐謾欺之人也。詭，古讀若果；隨，古讀若䜏。䜏，音土禾反，字或作詑，又作訑，隨，其假字也。《方言》云：“虔、儇，慧也。秦謂之謾，晉謂之㦟，宋楚之閒謂之倢，楚或謂之䜏，自關而東趙魏之閒謂之黠，或謂之鬼。”《說文》云：“沇州謂欺曰詑。”《楚辭·九章》云：“或忠信而死節兮，或訑謾而不疑。”《燕策》云：“寡人甚不喜訑者言也。”並字異而義同。</w:t>
      </w:r>
      <w:r>
        <w:rPr>
          <w:rStyle w:val="aff3"/>
          <w:rFonts w:cs="楷体" w:hint="eastAsia"/>
          <w:sz w:val="21"/>
          <w:szCs w:val="21"/>
          <w:lang w:eastAsia="zh-CN"/>
        </w:rPr>
        <w:footnoteReference w:id="9"/>
      </w:r>
    </w:p>
    <w:p w14:paraId="5F2B5DA1" w14:textId="77777777" w:rsidR="009C27F0" w:rsidRDefault="009C27F0" w:rsidP="009C27F0">
      <w:pPr>
        <w:pStyle w:val="aff6"/>
        <w:ind w:firstLineChars="71" w:firstLine="199"/>
      </w:pPr>
      <w:r>
        <w:rPr>
          <w:rFonts w:hint="eastAsia"/>
        </w:rPr>
        <w:lastRenderedPageBreak/>
        <w:t>又《廣雅·釋詁二》：“詑、突，欺也。”王念孫《疏證》云：</w:t>
      </w:r>
    </w:p>
    <w:p w14:paraId="1DB3D83C" w14:textId="77777777" w:rsidR="009C27F0" w:rsidRDefault="009C27F0" w:rsidP="009C27F0">
      <w:pPr>
        <w:pStyle w:val="aff4"/>
        <w:spacing w:before="540" w:after="540"/>
        <w:ind w:firstLine="496"/>
      </w:pPr>
      <w:r>
        <w:rPr>
          <w:rFonts w:hint="eastAsia"/>
        </w:rPr>
        <w:t>突者</w:t>
      </w:r>
      <w:r>
        <w:rPr>
          <w:rFonts w:hint="eastAsia"/>
          <w:lang w:eastAsia="zh-CN"/>
        </w:rPr>
        <w:t>，《</w:t>
      </w:r>
      <w:r>
        <w:rPr>
          <w:rFonts w:hint="eastAsia"/>
        </w:rPr>
        <w:t>荀子</w:t>
      </w:r>
      <w:r>
        <w:rPr>
          <w:rFonts w:hint="eastAsia"/>
          <w:lang w:eastAsia="zh-CN"/>
        </w:rPr>
        <w:t>·</w:t>
      </w:r>
      <w:r>
        <w:rPr>
          <w:rFonts w:hint="eastAsia"/>
        </w:rPr>
        <w:t>榮辱篇</w:t>
      </w:r>
      <w:r>
        <w:rPr>
          <w:rFonts w:hint="eastAsia"/>
          <w:lang w:eastAsia="zh-CN"/>
        </w:rPr>
        <w:t>》</w:t>
      </w:r>
      <w:r>
        <w:rPr>
          <w:rFonts w:hint="eastAsia"/>
        </w:rPr>
        <w:t>云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陶誕突盜</w:t>
      </w:r>
      <w:r>
        <w:rPr>
          <w:rFonts w:hint="eastAsia"/>
          <w:lang w:eastAsia="zh-CN"/>
        </w:rPr>
        <w:t>、愓</w:t>
      </w:r>
      <w:r>
        <w:rPr>
          <w:rFonts w:hint="eastAsia"/>
        </w:rPr>
        <w:t>悍憍</w:t>
      </w:r>
      <w:r>
        <w:rPr>
          <w:rFonts w:hint="eastAsia"/>
          <w:lang w:eastAsia="zh-CN"/>
        </w:rPr>
        <w:t>暴，</w:t>
      </w:r>
      <w:r>
        <w:rPr>
          <w:rFonts w:hint="eastAsia"/>
        </w:rPr>
        <w:t>以偷生反側於亂世之閒</w:t>
      </w:r>
      <w:r>
        <w:rPr>
          <w:rFonts w:hint="eastAsia"/>
          <w:lang w:eastAsia="zh-CN"/>
        </w:rPr>
        <w:t>。”</w:t>
      </w:r>
      <w:r>
        <w:rPr>
          <w:rFonts w:hint="eastAsia"/>
        </w:rPr>
        <w:t>陶誕突盜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皆謂詐欺也</w:t>
      </w:r>
      <w:r>
        <w:rPr>
          <w:rFonts w:hint="eastAsia"/>
          <w:lang w:eastAsia="zh-CN"/>
        </w:rPr>
        <w:t>。《</w:t>
      </w:r>
      <w:r>
        <w:rPr>
          <w:rFonts w:hint="eastAsia"/>
        </w:rPr>
        <w:t>賈子</w:t>
      </w:r>
      <w:r>
        <w:rPr>
          <w:rFonts w:hint="eastAsia"/>
          <w:lang w:eastAsia="zh-CN"/>
        </w:rPr>
        <w:t>·</w:t>
      </w:r>
      <w:r>
        <w:rPr>
          <w:rFonts w:hint="eastAsia"/>
        </w:rPr>
        <w:t>時變篇</w:t>
      </w:r>
      <w:r>
        <w:rPr>
          <w:rFonts w:hint="eastAsia"/>
          <w:lang w:eastAsia="zh-CN"/>
        </w:rPr>
        <w:t>》</w:t>
      </w:r>
      <w:r>
        <w:rPr>
          <w:rFonts w:hint="eastAsia"/>
        </w:rPr>
        <w:t>云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欺突伯父</w:t>
      </w:r>
      <w:r>
        <w:rPr>
          <w:rFonts w:hint="eastAsia"/>
          <w:lang w:eastAsia="zh-CN"/>
        </w:rPr>
        <w:t>。”</w:t>
      </w:r>
      <w:r>
        <w:rPr>
          <w:rStyle w:val="aff3"/>
          <w:rFonts w:cs="楷体" w:hint="eastAsia"/>
          <w:sz w:val="21"/>
          <w:szCs w:val="21"/>
          <w:lang w:eastAsia="zh-CN"/>
        </w:rPr>
        <w:footnoteReference w:id="10"/>
      </w:r>
    </w:p>
    <w:p w14:paraId="177B3B1C" w14:textId="77777777" w:rsidR="009C27F0" w:rsidRDefault="009C27F0" w:rsidP="009C27F0">
      <w:pPr>
        <w:pStyle w:val="aff6"/>
        <w:ind w:firstLine="560"/>
      </w:pPr>
      <w:r>
        <w:rPr>
          <w:rFonts w:hint="eastAsia"/>
        </w:rPr>
        <w:t>由此可見，《詩經》“詭隨”之“隨”與訓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“欺”的“突”，在聲音上也是有密切關係的。</w:t>
      </w:r>
    </w:p>
    <w:p w14:paraId="6D975552" w14:textId="77777777" w:rsidR="009C27F0" w:rsidRDefault="009C27F0" w:rsidP="009C27F0">
      <w:pPr>
        <w:ind w:firstLineChars="200" w:firstLine="480"/>
        <w:rPr>
          <w:rFonts w:cs="宋体"/>
          <w:szCs w:val="24"/>
        </w:rPr>
      </w:pPr>
    </w:p>
    <w:p w14:paraId="61B114D0" w14:textId="77777777" w:rsidR="009C27F0" w:rsidRPr="009C27F0" w:rsidRDefault="009C27F0" w:rsidP="009C27F0">
      <w:pPr>
        <w:pStyle w:val="aff6"/>
        <w:ind w:firstLineChars="71"/>
        <w:rPr>
          <w:b/>
          <w:bCs/>
        </w:rPr>
      </w:pPr>
      <w:r w:rsidRPr="009C27F0">
        <w:rPr>
          <w:rFonts w:hint="eastAsia"/>
          <w:b/>
          <w:bCs/>
        </w:rPr>
        <w:t>附記：</w:t>
      </w:r>
    </w:p>
    <w:p w14:paraId="61784A4D" w14:textId="77777777" w:rsidR="009C27F0" w:rsidRDefault="009C27F0" w:rsidP="009C27F0">
      <w:pPr>
        <w:pStyle w:val="aff6"/>
        <w:ind w:firstLine="560"/>
      </w:pPr>
      <w:r>
        <w:rPr>
          <w:rFonts w:hint="eastAsia"/>
        </w:rPr>
        <w:t>小文寫成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9月5號，近讀網上學者的討論，見质量复位先生有說云：</w:t>
      </w:r>
    </w:p>
    <w:p w14:paraId="5EC74489" w14:textId="77777777" w:rsidR="009C27F0" w:rsidRDefault="009C27F0" w:rsidP="009C27F0">
      <w:pPr>
        <w:ind w:firstLineChars="200" w:firstLine="482"/>
        <w:rPr>
          <w:rFonts w:cs="宋体"/>
          <w:b/>
          <w:bCs/>
          <w:szCs w:val="24"/>
        </w:rPr>
      </w:pPr>
    </w:p>
    <w:p w14:paraId="1D9D306F" w14:textId="77777777" w:rsidR="009C27F0" w:rsidRDefault="009C27F0" w:rsidP="009C27F0">
      <w:pPr>
        <w:pStyle w:val="aff4"/>
        <w:spacing w:before="540" w:after="540"/>
        <w:ind w:firstLine="496"/>
        <w:rPr>
          <w:shd w:val="clear" w:color="auto" w:fill="FFFFFF"/>
        </w:rPr>
      </w:pPr>
      <w:r>
        <w:rPr>
          <w:rFonts w:hint="eastAsia"/>
          <w:shd w:val="clear" w:color="auto" w:fill="FFFFFF"/>
        </w:rPr>
        <w:t>按，文獻中未見“突”與“頹”通假的例證。“突”可如字讀。“突”有穿、破的意思。《左傳》襄公二十五年：“宵突陳城，遂入之。”杜預注：“突，穿也。”睡虎地秦簡《效律》：“官府臧（藏）皮革，數</w:t>
      </w:r>
      <w:r>
        <w:rPr>
          <w:rFonts w:ascii="SimSun-ExtB" w:eastAsia="SimSun-ExtB" w:hAnsi="SimSun-ExtB" w:cs="SimSun-ExtB" w:hint="eastAsia"/>
          <w:shd w:val="clear" w:color="auto" w:fill="FFFFFF"/>
        </w:rPr>
        <w:t>𥠜</w:t>
      </w:r>
      <w:r>
        <w:rPr>
          <w:rFonts w:hint="eastAsia"/>
          <w:shd w:val="clear" w:color="auto" w:fill="FFFFFF"/>
        </w:rPr>
        <w:t>（煬）風之，有蠹突者，貲官嗇夫一甲。”《文選</w:t>
      </w:r>
      <w:r>
        <w:rPr>
          <w:rFonts w:ascii="微软雅黑" w:eastAsia="微软雅黑" w:hAnsi="微软雅黑" w:cs="微软雅黑" w:hint="eastAsia"/>
          <w:shd w:val="clear" w:color="auto" w:fill="FFFFFF"/>
        </w:rPr>
        <w:t>•</w:t>
      </w:r>
      <w:r>
        <w:rPr>
          <w:rFonts w:cs="楷体" w:hint="eastAsia"/>
          <w:shd w:val="clear" w:color="auto" w:fill="FFFFFF"/>
        </w:rPr>
        <w:t>陳琳〈為袁紹檄豫州〉》：“操又特置發丘中郎將、摸金校尉，所過隳突，無骸不露。”李周翰注：“突，</w:t>
      </w:r>
      <w:r>
        <w:rPr>
          <w:rFonts w:cs="楷体" w:hint="eastAsia"/>
          <w:shd w:val="clear" w:color="auto" w:fill="FFFFFF"/>
        </w:rPr>
        <w:lastRenderedPageBreak/>
        <w:t>破也。言……所過皆破壤冢墓以取金寶，而露其骸骨也。”“隳突”當是近義連用，而“隳”常訓崩毀、毀壞。</w:t>
      </w:r>
      <w:r>
        <w:rPr>
          <w:rStyle w:val="aff3"/>
          <w:rFonts w:ascii="宋体" w:eastAsia="宋体" w:hAnsi="宋体" w:cs="宋体" w:hint="eastAsia"/>
          <w:color w:val="444444"/>
          <w:spacing w:val="0"/>
          <w:sz w:val="21"/>
          <w:szCs w:val="21"/>
          <w:shd w:val="clear" w:color="auto" w:fill="FFFFFF"/>
        </w:rPr>
        <w:footnoteReference w:id="11"/>
      </w:r>
    </w:p>
    <w:p w14:paraId="2104061F" w14:textId="3257E50C" w:rsidR="00B7429A" w:rsidRPr="009C27F0" w:rsidRDefault="009C27F0" w:rsidP="009C27F0">
      <w:pPr>
        <w:pStyle w:val="aff6"/>
        <w:ind w:firstLine="560"/>
      </w:pPr>
      <w:r w:rsidRPr="009C27F0">
        <w:rPr>
          <w:rFonts w:hint="eastAsia"/>
        </w:rPr>
        <w:t>與</w:t>
      </w:r>
      <w:proofErr w:type="gramStart"/>
      <w:r w:rsidRPr="009C27F0">
        <w:rPr>
          <w:rFonts w:hint="eastAsia"/>
        </w:rPr>
        <w:t>拙</w:t>
      </w:r>
      <w:proofErr w:type="gramEnd"/>
      <w:r w:rsidRPr="009C27F0">
        <w:rPr>
          <w:rFonts w:hint="eastAsia"/>
        </w:rPr>
        <w:t>說不同，讀者可以</w:t>
      </w:r>
      <w:proofErr w:type="gramStart"/>
      <w:r w:rsidRPr="009C27F0">
        <w:rPr>
          <w:rFonts w:hint="eastAsia"/>
        </w:rPr>
        <w:t>參</w:t>
      </w:r>
      <w:proofErr w:type="gramEnd"/>
      <w:r w:rsidRPr="009C27F0">
        <w:rPr>
          <w:rFonts w:hint="eastAsia"/>
        </w:rPr>
        <w:t>閱。</w:t>
      </w:r>
    </w:p>
    <w:sectPr w:rsidR="00B7429A" w:rsidRPr="009C27F0">
      <w:headerReference w:type="default" r:id="rId11"/>
      <w:footerReference w:type="even" r:id="rId12"/>
      <w:footerReference w:type="default" r:id="rId13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ED71" w14:textId="77777777" w:rsidR="007373E0" w:rsidRDefault="007373E0">
      <w:r>
        <w:separator/>
      </w:r>
    </w:p>
  </w:endnote>
  <w:endnote w:type="continuationSeparator" w:id="0">
    <w:p w14:paraId="1BCC8D04" w14:textId="77777777" w:rsidR="007373E0" w:rsidRDefault="0073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anaMinB">
    <w:altName w:val="Yu Gothic"/>
    <w:charset w:val="80"/>
    <w:family w:val="modern"/>
    <w:pitch w:val="default"/>
    <w:sig w:usb0="00000001" w:usb1="0A000000" w:usb2="00000000" w:usb3="00000000" w:csb0="0002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727B0CBC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211B2F">
      <w:rPr>
        <w:sz w:val="18"/>
        <w:szCs w:val="18"/>
      </w:rPr>
      <w:t>9</w:t>
    </w:r>
    <w:r>
      <w:rPr>
        <w:rFonts w:hint="eastAsia"/>
        <w:sz w:val="18"/>
        <w:szCs w:val="18"/>
      </w:rPr>
      <w:t>月</w:t>
    </w:r>
    <w:r w:rsidR="00211B2F">
      <w:rPr>
        <w:sz w:val="18"/>
        <w:szCs w:val="18"/>
      </w:rPr>
      <w:t>13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211B2F">
      <w:rPr>
        <w:sz w:val="18"/>
        <w:szCs w:val="18"/>
      </w:rPr>
      <w:t>9</w:t>
    </w:r>
    <w:r>
      <w:rPr>
        <w:rFonts w:hint="eastAsia"/>
        <w:sz w:val="18"/>
        <w:szCs w:val="18"/>
      </w:rPr>
      <w:t>月</w:t>
    </w:r>
    <w:r w:rsidR="00211B2F">
      <w:rPr>
        <w:sz w:val="18"/>
        <w:szCs w:val="18"/>
      </w:rPr>
      <w:t>13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6DC1" w14:textId="77777777" w:rsidR="007373E0" w:rsidRDefault="007373E0">
      <w:r>
        <w:separator/>
      </w:r>
    </w:p>
  </w:footnote>
  <w:footnote w:type="continuationSeparator" w:id="0">
    <w:p w14:paraId="42920E01" w14:textId="77777777" w:rsidR="007373E0" w:rsidRDefault="007373E0">
      <w:r>
        <w:continuationSeparator/>
      </w:r>
    </w:p>
  </w:footnote>
  <w:footnote w:id="1">
    <w:p w14:paraId="598FE467" w14:textId="77777777" w:rsidR="009C27F0" w:rsidRDefault="009C27F0" w:rsidP="009C27F0">
      <w:pPr>
        <w:pStyle w:val="af5"/>
        <w:rPr>
          <w:rFonts w:ascii="宋体" w:eastAsia="宋体" w:hAnsi="宋体"/>
        </w:rPr>
      </w:pPr>
      <w:r>
        <w:rPr>
          <w:rStyle w:val="aff3"/>
          <w:rFonts w:ascii="宋体" w:eastAsia="宋体" w:hAnsi="宋体"/>
        </w:rPr>
        <w:footnoteRef/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《北京大學藏秦簡牘（肆）》，上海古籍出版社，</w:t>
      </w:r>
      <w:r>
        <w:rPr>
          <w:rFonts w:ascii="宋体" w:eastAsia="宋体" w:hAnsi="宋体"/>
        </w:rPr>
        <w:t>2023年，</w:t>
      </w:r>
      <w:r>
        <w:rPr>
          <w:rFonts w:ascii="宋体" w:eastAsia="宋体" w:hAnsi="宋体" w:hint="eastAsia"/>
        </w:rPr>
        <w:t>第</w:t>
      </w:r>
      <w:r>
        <w:rPr>
          <w:rFonts w:ascii="宋体" w:eastAsia="宋体" w:hAnsi="宋体"/>
        </w:rPr>
        <w:t>867</w:t>
      </w:r>
      <w:r>
        <w:rPr>
          <w:rFonts w:ascii="宋体" w:eastAsia="宋体" w:hAnsi="宋体" w:hint="eastAsia"/>
        </w:rPr>
        <w:t>頁。</w:t>
      </w:r>
    </w:p>
  </w:footnote>
  <w:footnote w:id="2">
    <w:p w14:paraId="003A17CB" w14:textId="77777777" w:rsidR="009C27F0" w:rsidRDefault="009C27F0" w:rsidP="009C27F0">
      <w:pPr>
        <w:pStyle w:val="af5"/>
        <w:rPr>
          <w:rFonts w:ascii="宋体" w:eastAsia="宋体" w:hAnsi="宋体"/>
        </w:rPr>
      </w:pPr>
      <w:r>
        <w:rPr>
          <w:rStyle w:val="aff3"/>
          <w:rFonts w:ascii="宋体" w:eastAsia="宋体" w:hAnsi="宋体"/>
        </w:rPr>
        <w:footnoteRef/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《北京大學藏秦簡牘（叁）》，上海古籍出版社，</w:t>
      </w:r>
      <w:r>
        <w:rPr>
          <w:rFonts w:ascii="宋体" w:eastAsia="宋体" w:hAnsi="宋体"/>
        </w:rPr>
        <w:t>2023年，</w:t>
      </w:r>
      <w:r>
        <w:rPr>
          <w:rFonts w:ascii="宋体" w:eastAsia="宋体" w:hAnsi="宋体" w:hint="eastAsia"/>
        </w:rPr>
        <w:t>第5</w:t>
      </w:r>
      <w:r>
        <w:rPr>
          <w:rFonts w:ascii="宋体" w:eastAsia="宋体" w:hAnsi="宋体"/>
        </w:rPr>
        <w:t>24</w:t>
      </w:r>
      <w:r>
        <w:rPr>
          <w:rFonts w:ascii="宋体" w:eastAsia="宋体" w:hAnsi="宋体" w:hint="eastAsia"/>
        </w:rPr>
        <w:t>頁。</w:t>
      </w:r>
    </w:p>
  </w:footnote>
  <w:footnote w:id="3">
    <w:p w14:paraId="4FAF6817" w14:textId="77777777" w:rsidR="009C27F0" w:rsidRDefault="009C27F0" w:rsidP="009C27F0">
      <w:pPr>
        <w:pStyle w:val="af5"/>
        <w:rPr>
          <w:rFonts w:ascii="宋体" w:eastAsia="宋体" w:hAnsi="宋体" w:cs="宋体"/>
        </w:rPr>
      </w:pPr>
      <w:r>
        <w:rPr>
          <w:rStyle w:val="aff3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《北京大學藏秦簡牘（叁）》，上海古籍出版社，2023年，第673頁。</w:t>
      </w:r>
    </w:p>
  </w:footnote>
  <w:footnote w:id="4">
    <w:p w14:paraId="17390DAE" w14:textId="77777777" w:rsidR="009C27F0" w:rsidRDefault="009C27F0" w:rsidP="009C27F0">
      <w:pPr>
        <w:pStyle w:val="af5"/>
        <w:rPr>
          <w:rFonts w:ascii="宋体" w:eastAsia="宋体" w:hAnsi="宋体" w:cs="宋体"/>
        </w:rPr>
      </w:pPr>
      <w:r>
        <w:rPr>
          <w:rStyle w:val="aff3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王力先生說：“凡音義皆近，音近義同，或義近音同的字，叫做同源字。這些字都有同一來源。……同源字,常常是以某一概念爲中心,而以語音的细微差别(或同音),表示相近或相關的幾個概念。”見王力《同源字論》，商務印書館，1982年，第3頁。</w:t>
      </w:r>
    </w:p>
  </w:footnote>
  <w:footnote w:id="5">
    <w:p w14:paraId="02CE8D7A" w14:textId="77777777" w:rsidR="009C27F0" w:rsidRDefault="009C27F0" w:rsidP="009C27F0">
      <w:pPr>
        <w:pStyle w:val="af5"/>
        <w:rPr>
          <w:rFonts w:ascii="宋体" w:eastAsia="宋体" w:hAnsi="宋体" w:cs="宋体"/>
        </w:rPr>
      </w:pPr>
      <w:r>
        <w:rPr>
          <w:rStyle w:val="aff3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焦循《孟子正義》，中華書局，1987年，第916頁。</w:t>
      </w:r>
    </w:p>
  </w:footnote>
  <w:footnote w:id="6">
    <w:p w14:paraId="49163CD0" w14:textId="77777777" w:rsidR="009C27F0" w:rsidRDefault="009C27F0" w:rsidP="009C27F0">
      <w:pPr>
        <w:pStyle w:val="af5"/>
        <w:rPr>
          <w:rFonts w:ascii="宋体" w:eastAsia="宋体" w:hAnsi="宋体" w:cs="宋体"/>
        </w:rPr>
      </w:pPr>
      <w:r>
        <w:rPr>
          <w:rStyle w:val="aff3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《張家山漢墓竹簡（二四七號墓）》，文物出版社，2001年，第236頁。</w:t>
      </w:r>
    </w:p>
  </w:footnote>
  <w:footnote w:id="7">
    <w:p w14:paraId="7527D9F1" w14:textId="77777777" w:rsidR="009C27F0" w:rsidRDefault="009C27F0" w:rsidP="009C27F0">
      <w:pPr>
        <w:pStyle w:val="af5"/>
        <w:rPr>
          <w:rFonts w:ascii="宋体" w:eastAsia="宋体" w:hAnsi="宋体" w:cs="宋体"/>
        </w:rPr>
      </w:pPr>
      <w:r>
        <w:rPr>
          <w:rStyle w:val="aff3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孫詒讓《墨子閒詁》，中華書局，1986年，第9頁。</w:t>
      </w:r>
    </w:p>
  </w:footnote>
  <w:footnote w:id="8">
    <w:p w14:paraId="14E0F65A" w14:textId="77777777" w:rsidR="009C27F0" w:rsidRDefault="009C27F0" w:rsidP="009C27F0">
      <w:pPr>
        <w:pStyle w:val="af5"/>
        <w:rPr>
          <w:rFonts w:ascii="宋体" w:eastAsia="宋体" w:hAnsi="宋体" w:cs="宋体"/>
        </w:rPr>
      </w:pPr>
      <w:r>
        <w:rPr>
          <w:rStyle w:val="aff3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王念孫《讀書雜志》，江蘇古籍出版社，2000年，第911頁。</w:t>
      </w:r>
    </w:p>
  </w:footnote>
  <w:footnote w:id="9">
    <w:p w14:paraId="1557A1A8" w14:textId="77777777" w:rsidR="009C27F0" w:rsidRDefault="009C27F0" w:rsidP="009C27F0">
      <w:pPr>
        <w:pStyle w:val="af5"/>
        <w:rPr>
          <w:rFonts w:ascii="宋体" w:eastAsia="宋体" w:hAnsi="宋体" w:cs="宋体"/>
        </w:rPr>
      </w:pPr>
      <w:r>
        <w:rPr>
          <w:rStyle w:val="aff3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王念孫《廣雅疏證》，</w:t>
      </w:r>
      <w:r>
        <w:rPr>
          <w:rFonts w:ascii="宋体" w:eastAsia="宋体" w:hAnsi="宋体" w:cs="宋体" w:hint="eastAsia"/>
          <w:lang w:eastAsia="zh-CN"/>
        </w:rPr>
        <w:t>中華書局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lang w:eastAsia="zh-CN"/>
        </w:rPr>
        <w:t>1983</w:t>
      </w:r>
      <w:r>
        <w:rPr>
          <w:rFonts w:ascii="宋体" w:eastAsia="宋体" w:hAnsi="宋体" w:cs="宋体" w:hint="eastAsia"/>
        </w:rPr>
        <w:t>年，第</w:t>
      </w:r>
      <w:r>
        <w:rPr>
          <w:rFonts w:ascii="宋体" w:eastAsia="宋体" w:hAnsi="宋体" w:cs="宋体" w:hint="eastAsia"/>
          <w:lang w:eastAsia="zh-CN"/>
        </w:rPr>
        <w:t>191</w:t>
      </w:r>
      <w:r>
        <w:rPr>
          <w:rFonts w:ascii="宋体" w:eastAsia="宋体" w:hAnsi="宋体" w:cs="宋体" w:hint="eastAsia"/>
        </w:rPr>
        <w:t>頁</w:t>
      </w:r>
      <w:r>
        <w:rPr>
          <w:rFonts w:ascii="宋体" w:eastAsia="宋体" w:hAnsi="宋体" w:cs="宋体" w:hint="eastAsia"/>
          <w:lang w:eastAsia="zh-CN"/>
        </w:rPr>
        <w:t>；又王引之《經義述聞》，</w:t>
      </w:r>
      <w:r>
        <w:rPr>
          <w:rFonts w:ascii="宋体" w:eastAsia="宋体" w:hAnsi="宋体" w:cs="宋体" w:hint="eastAsia"/>
        </w:rPr>
        <w:t>江蘇古籍出版社，2000年，</w:t>
      </w:r>
      <w:r>
        <w:rPr>
          <w:rFonts w:ascii="宋体" w:eastAsia="宋体" w:hAnsi="宋体" w:cs="宋体" w:hint="eastAsia"/>
          <w:lang w:eastAsia="zh-CN"/>
        </w:rPr>
        <w:t>第164頁。</w:t>
      </w:r>
    </w:p>
  </w:footnote>
  <w:footnote w:id="10">
    <w:p w14:paraId="5DE15E08" w14:textId="77777777" w:rsidR="009C27F0" w:rsidRDefault="009C27F0" w:rsidP="009C27F0">
      <w:pPr>
        <w:pStyle w:val="af5"/>
        <w:rPr>
          <w:rFonts w:ascii="宋体" w:eastAsia="宋体" w:hAnsi="宋体" w:cs="宋体"/>
        </w:rPr>
      </w:pPr>
      <w:r>
        <w:rPr>
          <w:rStyle w:val="aff3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王念孫《廣雅疏證》，</w:t>
      </w:r>
      <w:r>
        <w:rPr>
          <w:rFonts w:ascii="宋体" w:eastAsia="宋体" w:hAnsi="宋体" w:cs="宋体" w:hint="eastAsia"/>
          <w:lang w:eastAsia="zh-CN"/>
        </w:rPr>
        <w:t>中華書局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lang w:eastAsia="zh-CN"/>
        </w:rPr>
        <w:t>1983</w:t>
      </w:r>
      <w:r>
        <w:rPr>
          <w:rFonts w:ascii="宋体" w:eastAsia="宋体" w:hAnsi="宋体" w:cs="宋体" w:hint="eastAsia"/>
        </w:rPr>
        <w:t>年，第</w:t>
      </w:r>
      <w:r>
        <w:rPr>
          <w:rFonts w:ascii="宋体" w:eastAsia="宋体" w:hAnsi="宋体" w:cs="宋体" w:hint="eastAsia"/>
          <w:lang w:eastAsia="zh-CN"/>
        </w:rPr>
        <w:t>72</w:t>
      </w:r>
      <w:r>
        <w:rPr>
          <w:rFonts w:ascii="宋体" w:eastAsia="宋体" w:hAnsi="宋体" w:cs="宋体" w:hint="eastAsia"/>
        </w:rPr>
        <w:t>頁</w:t>
      </w:r>
      <w:r>
        <w:rPr>
          <w:rFonts w:ascii="宋体" w:eastAsia="宋体" w:hAnsi="宋体" w:cs="宋体" w:hint="eastAsia"/>
          <w:lang w:eastAsia="zh-CN"/>
        </w:rPr>
        <w:t>。</w:t>
      </w:r>
    </w:p>
  </w:footnote>
  <w:footnote w:id="11">
    <w:p w14:paraId="29E134FF" w14:textId="77777777" w:rsidR="009C27F0" w:rsidRDefault="009C27F0" w:rsidP="009C27F0">
      <w:pPr>
        <w:pStyle w:val="af5"/>
        <w:rPr>
          <w:rFonts w:ascii="宋体" w:eastAsia="宋体" w:hAnsi="宋体" w:cs="宋体"/>
        </w:rPr>
      </w:pPr>
      <w:r>
        <w:rPr>
          <w:rStyle w:val="aff3"/>
          <w:rFonts w:ascii="宋体" w:eastAsia="宋体" w:hAnsi="宋体" w:cs="宋体" w:hint="eastAsia"/>
        </w:rPr>
        <w:footnoteRef/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  <w:lang w:eastAsia="zh-CN"/>
        </w:rPr>
        <w:t>武漢大學</w:t>
      </w:r>
      <w:hyperlink r:id="rId1" w:tooltip="首頁" w:history="1">
        <w:r>
          <w:rPr>
            <w:rStyle w:val="aff1"/>
            <w:rFonts w:ascii="宋体" w:eastAsia="宋体" w:hAnsi="宋体" w:cs="宋体" w:hint="eastAsia"/>
            <w:color w:val="333333"/>
            <w:sz w:val="18"/>
            <w:szCs w:val="18"/>
            <w:shd w:val="clear" w:color="auto" w:fill="FFFFFF"/>
          </w:rPr>
          <w:t>簡帛網</w:t>
        </w:r>
      </w:hyperlink>
      <w:r>
        <w:rPr>
          <w:rStyle w:val="aff0"/>
          <w:rFonts w:ascii="宋体" w:eastAsia="宋体" w:hAnsi="宋体" w:cs="宋体" w:hint="eastAsia"/>
          <w:color w:val="444444"/>
          <w:sz w:val="18"/>
          <w:szCs w:val="18"/>
          <w:shd w:val="clear" w:color="auto" w:fill="FFFFFF"/>
          <w:lang w:eastAsia="zh-CN"/>
        </w:rPr>
        <w:t>-</w:t>
      </w:r>
      <w:hyperlink r:id="rId2" w:history="1">
        <w:r>
          <w:rPr>
            <w:rStyle w:val="aff1"/>
            <w:rFonts w:ascii="宋体" w:eastAsia="宋体" w:hAnsi="宋体" w:cs="宋体" w:hint="eastAsia"/>
            <w:color w:val="333333"/>
            <w:sz w:val="18"/>
            <w:szCs w:val="18"/>
            <w:shd w:val="clear" w:color="auto" w:fill="FFFFFF"/>
          </w:rPr>
          <w:t>簡帛論壇</w:t>
        </w:r>
      </w:hyperlink>
      <w:hyperlink r:id="rId3" w:history="1">
        <w:r>
          <w:rPr>
            <w:rStyle w:val="aff1"/>
            <w:rFonts w:ascii="宋体" w:eastAsia="宋体" w:hAnsi="宋体" w:cs="宋体" w:hint="eastAsia"/>
            <w:color w:val="333333"/>
            <w:sz w:val="18"/>
            <w:szCs w:val="18"/>
            <w:shd w:val="clear" w:color="auto" w:fill="FFFFFF"/>
          </w:rPr>
          <w:t>《</w:t>
        </w:r>
        <w:r>
          <w:rPr>
            <w:rStyle w:val="aff1"/>
            <w:rFonts w:ascii="宋体" w:eastAsia="宋体" w:hAnsi="宋体" w:cs="宋体" w:hint="eastAsia"/>
            <w:color w:val="333333"/>
            <w:sz w:val="18"/>
            <w:szCs w:val="18"/>
            <w:shd w:val="clear" w:color="auto" w:fill="FFFFFF"/>
            <w:lang w:eastAsia="zh-CN"/>
          </w:rPr>
          <w:t>&lt;</w:t>
        </w:r>
        <w:r>
          <w:rPr>
            <w:rStyle w:val="aff1"/>
            <w:rFonts w:ascii="宋体" w:eastAsia="宋体" w:hAnsi="宋体" w:cs="宋体" w:hint="eastAsia"/>
            <w:color w:val="333333"/>
            <w:sz w:val="18"/>
            <w:szCs w:val="18"/>
            <w:shd w:val="clear" w:color="auto" w:fill="FFFFFF"/>
          </w:rPr>
          <w:t>北京大學藏秦簡牘</w:t>
        </w:r>
        <w:r>
          <w:rPr>
            <w:rStyle w:val="aff1"/>
            <w:rFonts w:ascii="宋体" w:eastAsia="宋体" w:hAnsi="宋体" w:cs="宋体" w:hint="eastAsia"/>
            <w:color w:val="333333"/>
            <w:sz w:val="18"/>
            <w:szCs w:val="18"/>
            <w:shd w:val="clear" w:color="auto" w:fill="FFFFFF"/>
            <w:lang w:eastAsia="zh-CN"/>
          </w:rPr>
          <w:t>&gt;</w:t>
        </w:r>
        <w:r>
          <w:rPr>
            <w:rStyle w:val="aff1"/>
            <w:rFonts w:ascii="宋体" w:eastAsia="宋体" w:hAnsi="宋体" w:cs="宋体" w:hint="eastAsia"/>
            <w:color w:val="333333"/>
            <w:sz w:val="18"/>
            <w:szCs w:val="18"/>
            <w:shd w:val="clear" w:color="auto" w:fill="FFFFFF"/>
          </w:rPr>
          <w:t>初讀</w:t>
        </w:r>
      </w:hyperlink>
      <w:r>
        <w:rPr>
          <w:rFonts w:ascii="宋体" w:eastAsia="宋体" w:hAnsi="宋体" w:cs="宋体" w:hint="eastAsia"/>
          <w:color w:val="333333"/>
          <w:sz w:val="18"/>
          <w:szCs w:val="18"/>
          <w:u w:val="single"/>
          <w:shd w:val="clear" w:color="auto" w:fill="FFFFFF"/>
          <w:lang w:eastAsia="zh-CN"/>
        </w:rPr>
        <w:t>》,</w:t>
      </w:r>
      <w:r>
        <w:rPr>
          <w:rFonts w:ascii="宋体" w:eastAsia="宋体" w:hAnsi="宋体" w:cs="宋体" w:hint="eastAsia"/>
        </w:rPr>
        <w:t>第</w:t>
      </w:r>
      <w:r>
        <w:rPr>
          <w:rFonts w:ascii="宋体" w:eastAsia="宋体" w:hAnsi="宋体" w:cs="宋体" w:hint="eastAsia"/>
          <w:lang w:eastAsia="zh-CN"/>
        </w:rPr>
        <w:t>38</w:t>
      </w:r>
      <w:r>
        <w:rPr>
          <w:rFonts w:ascii="宋体" w:eastAsia="宋体" w:hAnsi="宋体" w:cs="宋体" w:hint="eastAsia"/>
        </w:rPr>
        <w:t>#，發表</w:t>
      </w:r>
      <w:proofErr w:type="gramStart"/>
      <w:r>
        <w:rPr>
          <w:rFonts w:ascii="宋体" w:eastAsia="宋体" w:hAnsi="宋体" w:cs="宋体" w:hint="eastAsia"/>
        </w:rPr>
        <w:t>於</w:t>
      </w:r>
      <w:proofErr w:type="gramEnd"/>
      <w:r>
        <w:rPr>
          <w:rFonts w:ascii="宋体" w:eastAsia="宋体" w:hAnsi="宋体" w:cs="宋体" w:hint="eastAsia"/>
        </w:rPr>
        <w:t>2023-9-12</w:t>
      </w:r>
      <w:r>
        <w:rPr>
          <w:rFonts w:ascii="宋体" w:eastAsia="宋体" w:hAnsi="宋体" w:cs="宋体" w:hint="eastAsia"/>
          <w:lang w:eastAsia="zh-CN"/>
        </w:rPr>
        <w:t>，http://www.bsm.org.cn/forum/forum.php?mod=viewthread&amp;tid=12826&amp;extra=&amp;page=4。</w:t>
      </w:r>
      <w:r>
        <w:rPr>
          <w:rFonts w:ascii="宋体" w:eastAsia="宋体" w:hAnsi="宋体" w:cs="宋体" w:hint="eastAsi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232E148B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EF374E">
      <w:t>10</w:t>
    </w:r>
    <w:r w:rsidR="00211B2F">
      <w:t>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1B2F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D763B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D4657"/>
    <w:rsid w:val="006E0E0C"/>
    <w:rsid w:val="006E2F87"/>
    <w:rsid w:val="006E5250"/>
    <w:rsid w:val="006E7462"/>
    <w:rsid w:val="006E760F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373E0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2D4B"/>
    <w:rsid w:val="008964C1"/>
    <w:rsid w:val="00896A7F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27F0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3E43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6057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374E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1DD3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m.org.cn/forum/forum.php?mod=viewthread&amp;tid=12826" TargetMode="External"/><Relationship Id="rId2" Type="http://schemas.openxmlformats.org/officeDocument/2006/relationships/hyperlink" Target="http://www.bsm.org.cn/forum/forum.php?gid=14" TargetMode="External"/><Relationship Id="rId1" Type="http://schemas.openxmlformats.org/officeDocument/2006/relationships/hyperlink" Target="http://www.bsm.org.cn/foru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288</Words>
  <Characters>1646</Characters>
  <Application>Microsoft Office Word</Application>
  <DocSecurity>0</DocSecurity>
  <Lines>13</Lines>
  <Paragraphs>3</Paragraphs>
  <ScaleCrop>false</ScaleCrop>
  <Company>GWZ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祖康 汪</cp:lastModifiedBy>
  <cp:revision>12</cp:revision>
  <dcterms:created xsi:type="dcterms:W3CDTF">2022-12-28T06:33:00Z</dcterms:created>
  <dcterms:modified xsi:type="dcterms:W3CDTF">2023-09-13T14:50:00Z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