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B01E4" w14:textId="0B017AAE" w:rsidR="0055724E" w:rsidRPr="0055724E" w:rsidRDefault="0055724E" w:rsidP="00445DA3">
      <w:pPr>
        <w:widowControl/>
        <w:spacing w:beforeLines="50" w:before="180" w:line="480" w:lineRule="auto"/>
        <w:jc w:val="center"/>
        <w:rPr>
          <w:rFonts w:cs="宋体"/>
          <w:b/>
          <w:bCs/>
          <w:kern w:val="0"/>
          <w:sz w:val="32"/>
          <w:szCs w:val="32"/>
        </w:rPr>
      </w:pPr>
      <w:r w:rsidRPr="0055724E">
        <w:rPr>
          <w:rFonts w:cs="宋体"/>
          <w:b/>
          <w:bCs/>
          <w:kern w:val="0"/>
          <w:sz w:val="32"/>
          <w:szCs w:val="32"/>
        </w:rPr>
        <w:t>從古漢語中“善”的用法談到《老子》中的“善”</w:t>
      </w:r>
    </w:p>
    <w:p w14:paraId="7B828FC1" w14:textId="77777777" w:rsidR="009F4F5A" w:rsidRDefault="009F4F5A" w:rsidP="00445DA3">
      <w:pPr>
        <w:widowControl/>
        <w:spacing w:beforeLines="50" w:before="180" w:line="480" w:lineRule="auto"/>
        <w:jc w:val="center"/>
        <w:rPr>
          <w:rFonts w:cs="宋体"/>
          <w:b/>
          <w:bCs/>
          <w:kern w:val="0"/>
          <w:sz w:val="32"/>
          <w:szCs w:val="32"/>
        </w:rPr>
      </w:pPr>
    </w:p>
    <w:p w14:paraId="6577756E" w14:textId="32E0F778" w:rsidR="009F4F5A" w:rsidRPr="009F4F5A" w:rsidRDefault="0055724E" w:rsidP="00445DA3">
      <w:pPr>
        <w:pStyle w:val="ac"/>
        <w:spacing w:beforeLines="50" w:before="180" w:line="480" w:lineRule="auto"/>
      </w:pPr>
      <w:r w:rsidRPr="009F4F5A">
        <w:t>裘錫圭</w:t>
      </w:r>
    </w:p>
    <w:p w14:paraId="13562666" w14:textId="51592F46" w:rsidR="009F4F5A" w:rsidRPr="009F4F5A" w:rsidRDefault="009F4F5A" w:rsidP="00445DA3">
      <w:pPr>
        <w:pStyle w:val="ac"/>
        <w:spacing w:beforeLines="50" w:before="180" w:line="480" w:lineRule="auto"/>
      </w:pPr>
      <w:r w:rsidRPr="009F4F5A">
        <w:t>復旦大學出土文獻與古文字研究中心</w:t>
      </w:r>
    </w:p>
    <w:p w14:paraId="6B0BC73B" w14:textId="77777777" w:rsidR="009F4F5A" w:rsidRPr="009F4F5A" w:rsidRDefault="009F4F5A" w:rsidP="00445DA3">
      <w:pPr>
        <w:pStyle w:val="ac"/>
        <w:spacing w:beforeLines="50" w:before="180" w:line="480" w:lineRule="auto"/>
      </w:pPr>
      <w:r w:rsidRPr="009F4F5A">
        <w:t>“古文字與中華文明傳承發展工程”協同攻關創新平臺</w:t>
      </w:r>
    </w:p>
    <w:p w14:paraId="5A7D4E28" w14:textId="3DE71AC5" w:rsidR="0055724E" w:rsidRPr="0055724E" w:rsidRDefault="009F4F5A" w:rsidP="00445DA3">
      <w:pPr>
        <w:widowControl/>
        <w:spacing w:beforeLines="50" w:before="180" w:line="480" w:lineRule="auto"/>
        <w:jc w:val="center"/>
        <w:rPr>
          <w:rFonts w:cs="宋体"/>
          <w:b/>
          <w:bCs/>
          <w:kern w:val="0"/>
          <w:sz w:val="32"/>
          <w:szCs w:val="32"/>
        </w:rPr>
      </w:pPr>
      <w:r w:rsidRPr="009F4F5A">
        <w:rPr>
          <w:rFonts w:cs="宋体"/>
          <w:b/>
          <w:bCs/>
          <w:kern w:val="0"/>
          <w:sz w:val="32"/>
          <w:szCs w:val="32"/>
        </w:rPr>
        <w:t> </w:t>
      </w:r>
    </w:p>
    <w:p w14:paraId="653E7A14" w14:textId="77777777" w:rsidR="0033525D" w:rsidRPr="009F4F5A" w:rsidRDefault="0055724E" w:rsidP="00445DA3">
      <w:pPr>
        <w:widowControl/>
        <w:spacing w:beforeLines="50" w:before="180" w:line="480" w:lineRule="auto"/>
        <w:ind w:firstLine="480"/>
        <w:jc w:val="left"/>
        <w:rPr>
          <w:rFonts w:ascii="仿宋" w:eastAsia="仿宋" w:hAnsi="仿宋" w:cs="宋体"/>
          <w:kern w:val="0"/>
          <w:sz w:val="28"/>
          <w:szCs w:val="24"/>
        </w:rPr>
      </w:pPr>
      <w:r w:rsidRPr="0055724E">
        <w:rPr>
          <w:rFonts w:ascii="仿宋" w:eastAsia="仿宋" w:hAnsi="仿宋" w:cs="宋体"/>
          <w:kern w:val="0"/>
          <w:sz w:val="28"/>
          <w:szCs w:val="24"/>
        </w:rPr>
        <w:t>本文討論先秦時代“善”字的用法，其中用了頗大的篇幅討論“善人”的含義問題，榮曾先生是我敬佩的善人，故謹以此文爲榮曾先生壽。</w:t>
      </w:r>
    </w:p>
    <w:p w14:paraId="44A6D2E8" w14:textId="52E47459" w:rsidR="0033525D" w:rsidRDefault="0055724E" w:rsidP="00445DA3">
      <w:pPr>
        <w:pStyle w:val="aa"/>
        <w:spacing w:beforeLines="50" w:before="180"/>
        <w:ind w:firstLineChars="0" w:firstLine="0"/>
        <w:jc w:val="center"/>
        <w:rPr>
          <w:b/>
          <w:bCs/>
        </w:rPr>
      </w:pPr>
      <w:r w:rsidRPr="0055724E">
        <w:rPr>
          <w:b/>
          <w:bCs/>
        </w:rPr>
        <w:t>引言</w:t>
      </w:r>
    </w:p>
    <w:p w14:paraId="215051A0" w14:textId="77777777" w:rsidR="00445DA3" w:rsidRDefault="00445DA3" w:rsidP="00445DA3">
      <w:pPr>
        <w:pStyle w:val="aa"/>
        <w:spacing w:beforeLines="50" w:before="180"/>
        <w:ind w:firstLineChars="0" w:firstLine="0"/>
        <w:jc w:val="center"/>
        <w:rPr>
          <w:b/>
          <w:bCs/>
        </w:rPr>
      </w:pPr>
    </w:p>
    <w:p w14:paraId="4AABA0E0" w14:textId="77777777" w:rsidR="0033525D" w:rsidRDefault="0055724E"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本文主要想梳理一下先秦漢語中“善”字的各種用法。作爲重要先秦漢語資料的《老子》中的“善”字，除通常解釋爲“擅長、善於”一類意思的之外，後人往往有誤解，而有關問題在梳理清楚先秦漢語中“善”字的各種用法之後，可以比較容易地講清楚，所以我們最後才專門討論《老子》中的“善”字。在討論有些問題時，如有需要，</w:t>
      </w:r>
      <w:r w:rsidRPr="0055724E">
        <w:rPr>
          <w:rFonts w:cs="宋体"/>
          <w:color w:val="000000"/>
          <w:kern w:val="0"/>
          <w:sz w:val="28"/>
          <w:szCs w:val="23"/>
        </w:rPr>
        <w:lastRenderedPageBreak/>
        <w:t>會用到秦漢時代漢語中的一些資料，這並不意味著我們想全面討論自周至漢的古漢語中“善”字用法的演變情況。</w:t>
      </w:r>
    </w:p>
    <w:p w14:paraId="1267492B" w14:textId="37CF1D75" w:rsidR="009F4F5A" w:rsidRDefault="0055724E" w:rsidP="00445DA3">
      <w:pPr>
        <w:widowControl/>
        <w:spacing w:beforeLines="50" w:before="180" w:line="480" w:lineRule="auto"/>
        <w:ind w:firstLine="480"/>
        <w:jc w:val="left"/>
        <w:rPr>
          <w:rFonts w:cs="宋体"/>
          <w:color w:val="000000"/>
          <w:kern w:val="0"/>
          <w:sz w:val="28"/>
          <w:szCs w:val="23"/>
        </w:rPr>
      </w:pPr>
      <w:r w:rsidRPr="0055724E">
        <w:rPr>
          <w:rFonts w:cs="宋体"/>
          <w:color w:val="000000"/>
          <w:kern w:val="0"/>
          <w:sz w:val="28"/>
          <w:szCs w:val="23"/>
        </w:rPr>
        <w:t>《説文·誩部》：“</w:t>
      </w:r>
      <w:r w:rsidR="00781AFA">
        <w:rPr>
          <w:noProof/>
        </w:rPr>
        <w:drawing>
          <wp:inline distT="0" distB="0" distL="0" distR="0" wp14:anchorId="0454EE41" wp14:editId="4944DE2C">
            <wp:extent cx="160745" cy="204585"/>
            <wp:effectExtent l="0" t="0" r="0" b="508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3849" cy="246717"/>
                    </a:xfrm>
                    <a:prstGeom prst="rect">
                      <a:avLst/>
                    </a:prstGeom>
                  </pic:spPr>
                </pic:pic>
              </a:graphicData>
            </a:graphic>
          </wp:inline>
        </w:drawing>
      </w:r>
      <w:r w:rsidRPr="0055724E">
        <w:rPr>
          <w:rFonts w:cs="宋体"/>
          <w:color w:val="000000"/>
          <w:kern w:val="0"/>
          <w:sz w:val="28"/>
          <w:szCs w:val="23"/>
        </w:rPr>
        <w:t>（譱），吉也。从誩，从羊，此與‘義’‘美’同意。</w:t>
      </w:r>
      <w:r w:rsidR="00781AFA">
        <w:rPr>
          <w:noProof/>
        </w:rPr>
        <w:drawing>
          <wp:inline distT="0" distB="0" distL="0" distR="0" wp14:anchorId="3ED15BCE" wp14:editId="00BBCC1A">
            <wp:extent cx="181356" cy="248920"/>
            <wp:effectExtent l="0" t="0" r="9525"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6254" cy="269369"/>
                    </a:xfrm>
                    <a:prstGeom prst="rect">
                      <a:avLst/>
                    </a:prstGeom>
                  </pic:spPr>
                </pic:pic>
              </a:graphicData>
            </a:graphic>
          </wp:inline>
        </w:drawing>
      </w:r>
      <w:r w:rsidRPr="0055724E">
        <w:rPr>
          <w:rFonts w:cs="宋体"/>
          <w:color w:val="000000"/>
          <w:kern w:val="0"/>
          <w:sz w:val="28"/>
          <w:szCs w:val="23"/>
        </w:rPr>
        <w:t>（</w:t>
      </w:r>
      <w:r w:rsidR="00781AFA" w:rsidRPr="00885F39">
        <w:rPr>
          <w:rFonts w:ascii="SimSun-ExtB" w:eastAsia="SimSun-ExtB" w:hAnsi="SimSun-ExtB" w:cs="SimSun-ExtB" w:hint="eastAsia"/>
          <w:szCs w:val="24"/>
        </w:rPr>
        <w:t>𦎍</w:t>
      </w:r>
      <w:r w:rsidRPr="0055724E">
        <w:rPr>
          <w:rFonts w:cs="宋体"/>
          <w:color w:val="000000"/>
          <w:kern w:val="0"/>
          <w:sz w:val="28"/>
          <w:szCs w:val="23"/>
        </w:rPr>
        <w:t>），篆文从言。”西周春秋金文中的“善”字皆从“誩”，春秋金文所見兩個“</w:t>
      </w:r>
      <w:r w:rsidR="00AB1FCD">
        <w:rPr>
          <w:noProof/>
        </w:rPr>
        <w:drawing>
          <wp:inline distT="0" distB="0" distL="0" distR="0" wp14:anchorId="5D7E124A" wp14:editId="02A80674">
            <wp:extent cx="195857" cy="223837"/>
            <wp:effectExtent l="0" t="0" r="0" b="5080"/>
            <wp:docPr id="84" name="图片 8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图片"/>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426" cy="225631"/>
                    </a:xfrm>
                    <a:prstGeom prst="rect">
                      <a:avLst/>
                    </a:prstGeom>
                    <a:noFill/>
                    <a:ln>
                      <a:noFill/>
                    </a:ln>
                  </pic:spPr>
                </pic:pic>
              </a:graphicData>
            </a:graphic>
          </wp:inline>
        </w:drawing>
      </w:r>
      <w:r w:rsidRPr="0055724E">
        <w:rPr>
          <w:rFonts w:cs="宋体"/>
          <w:color w:val="000000"/>
          <w:kern w:val="0"/>
          <w:sz w:val="28"/>
          <w:szCs w:val="23"/>
        </w:rPr>
        <w:t>”字所从的“譱”亦从“誩”，與《説文》“譱”字字頭同。郭店簡《語叢》一、三中的“膳”字所从的“善”則皆已省从一“言”，下文注199所舉戰國不蠶善戈銘文中的“善”字亦从一“言”。《古陶文彙編》3山東出土卷412號及4河北出土卷104號著録的陶器殘片銘文中的陶工名皆爲“善”，前者从“誩”，後者从“言”。</w:t>
      </w:r>
      <w:r w:rsidR="009F4F5A" w:rsidRPr="00965627">
        <w:rPr>
          <w:rStyle w:val="ae"/>
          <w:rFonts w:cs="宋体"/>
          <w:color w:val="000000"/>
          <w:kern w:val="0"/>
          <w:sz w:val="28"/>
          <w:szCs w:val="23"/>
        </w:rPr>
        <w:endnoteReference w:id="1"/>
      </w:r>
      <w:r w:rsidR="009F4F5A" w:rsidRPr="0055724E">
        <w:rPr>
          <w:rFonts w:cs="宋体"/>
          <w:color w:val="000000"/>
          <w:kern w:val="0"/>
          <w:sz w:val="28"/>
          <w:szCs w:val="23"/>
        </w:rPr>
        <w:t>秦漢文字中的“善”，除漢印篆文“善”字往往从“誩”、個別有意仿古者如東漢夏承碑“善”字亦从“誩”外，一般皆从一“言”。</w:t>
      </w:r>
      <w:r w:rsidR="009F4F5A" w:rsidRPr="00965627">
        <w:rPr>
          <w:rStyle w:val="ae"/>
          <w:rFonts w:cs="宋体"/>
          <w:color w:val="000000"/>
          <w:kern w:val="0"/>
          <w:sz w:val="28"/>
          <w:szCs w:val="23"/>
        </w:rPr>
        <w:endnoteReference w:id="2"/>
      </w:r>
      <w:r w:rsidR="009F4F5A" w:rsidRPr="0055724E">
        <w:rPr>
          <w:rFonts w:cs="宋体"/>
          <w:color w:val="000000"/>
          <w:kern w:val="0"/>
          <w:sz w:val="28"/>
          <w:szCs w:val="23"/>
        </w:rPr>
        <w:t>但隸書“言”字部分皆有省變，情況複雜多樣。《説文》解釋字義與字形結構似皆難信。《字源》“善”字條認爲“《説文》以爲‘从誩，从羊’，會吉祥之意，很不好理解。近人或以爲‘譱’字所从‘羊’爲‘美’的省形，从二‘言’爲彼此相善之義；或以爲‘善’字从‘羊’，爲‘膳’的本字。眾説不一，迄今無定論”，其“構形意義不明”，</w:t>
      </w:r>
      <w:r w:rsidR="009F4F5A" w:rsidRPr="00965627">
        <w:rPr>
          <w:rStyle w:val="ae"/>
          <w:rFonts w:cs="宋体"/>
          <w:color w:val="000000"/>
          <w:kern w:val="0"/>
          <w:sz w:val="28"/>
          <w:szCs w:val="23"/>
        </w:rPr>
        <w:endnoteReference w:id="3"/>
      </w:r>
      <w:r w:rsidR="009F4F5A" w:rsidRPr="0055724E">
        <w:rPr>
          <w:rFonts w:cs="宋体"/>
          <w:color w:val="000000"/>
          <w:kern w:val="0"/>
          <w:sz w:val="28"/>
          <w:szCs w:val="23"/>
        </w:rPr>
        <w:t>這是很審慎的説法，可以爲多數人所接受。不</w:t>
      </w:r>
      <w:r w:rsidR="009F4F5A" w:rsidRPr="0055724E">
        <w:rPr>
          <w:rFonts w:cs="宋体"/>
          <w:color w:val="000000"/>
          <w:kern w:val="0"/>
          <w:sz w:val="28"/>
          <w:szCs w:val="23"/>
        </w:rPr>
        <w:lastRenderedPageBreak/>
        <w:t>過，我們在討論了除《老子》之外的先秦漢語中“善”字的用法之後，仍要對“善”字字形表示的意義和“善”的本義略作討論。</w:t>
      </w:r>
    </w:p>
    <w:p w14:paraId="4F850F23" w14:textId="77777777" w:rsidR="00445DA3" w:rsidRDefault="00445DA3" w:rsidP="00445DA3">
      <w:pPr>
        <w:widowControl/>
        <w:spacing w:beforeLines="50" w:before="180" w:line="480" w:lineRule="auto"/>
        <w:ind w:firstLine="480"/>
        <w:jc w:val="left"/>
        <w:rPr>
          <w:rFonts w:cs="宋体"/>
          <w:kern w:val="0"/>
          <w:sz w:val="28"/>
          <w:szCs w:val="24"/>
        </w:rPr>
      </w:pPr>
    </w:p>
    <w:p w14:paraId="738EB21B" w14:textId="3EA29991" w:rsidR="009F4F5A" w:rsidRDefault="009F4F5A" w:rsidP="00445DA3">
      <w:pPr>
        <w:pStyle w:val="aa"/>
        <w:spacing w:beforeLines="50" w:before="180"/>
        <w:ind w:firstLineChars="0" w:firstLine="0"/>
        <w:jc w:val="center"/>
        <w:rPr>
          <w:b/>
          <w:bCs/>
        </w:rPr>
      </w:pPr>
      <w:r w:rsidRPr="0055724E">
        <w:rPr>
          <w:b/>
          <w:bCs/>
        </w:rPr>
        <w:t>一、帶賓語的動詞性的“善”</w:t>
      </w:r>
    </w:p>
    <w:p w14:paraId="7EEA2012" w14:textId="77777777" w:rsidR="00445DA3" w:rsidRPr="00445DA3" w:rsidRDefault="00445DA3" w:rsidP="00445DA3">
      <w:pPr>
        <w:pStyle w:val="aa"/>
        <w:spacing w:beforeLines="50" w:before="180"/>
        <w:ind w:firstLineChars="0" w:firstLine="0"/>
        <w:jc w:val="center"/>
        <w:rPr>
          <w:b/>
          <w:bCs/>
        </w:rPr>
      </w:pPr>
    </w:p>
    <w:p w14:paraId="7DD920FD" w14:textId="5AB34F66" w:rsidR="009F4F5A" w:rsidRDefault="009F4F5A" w:rsidP="00445DA3">
      <w:pPr>
        <w:widowControl/>
        <w:spacing w:beforeLines="50" w:before="180" w:line="480" w:lineRule="auto"/>
        <w:ind w:firstLine="480"/>
        <w:jc w:val="left"/>
        <w:rPr>
          <w:rFonts w:cs="宋体"/>
          <w:color w:val="000000"/>
          <w:kern w:val="0"/>
          <w:sz w:val="28"/>
          <w:szCs w:val="24"/>
        </w:rPr>
      </w:pPr>
      <w:r w:rsidRPr="0055724E">
        <w:rPr>
          <w:rFonts w:cs="宋体"/>
          <w:color w:val="000000"/>
          <w:kern w:val="0"/>
          <w:sz w:val="28"/>
          <w:szCs w:val="24"/>
        </w:rPr>
        <w:t>我們梳理先秦漢語中“善”字的各種用法，想從帶賓語的動詞性的“善”字</w:t>
      </w:r>
      <w:r w:rsidRPr="0055724E">
        <w:rPr>
          <w:rFonts w:cs="宋体"/>
          <w:color w:val="000000"/>
          <w:kern w:val="0"/>
          <w:sz w:val="28"/>
          <w:szCs w:val="23"/>
        </w:rPr>
        <w:t>説</w:t>
      </w:r>
      <w:r w:rsidRPr="0055724E">
        <w:rPr>
          <w:rFonts w:cs="宋体"/>
          <w:color w:val="000000"/>
          <w:kern w:val="0"/>
          <w:sz w:val="28"/>
          <w:szCs w:val="24"/>
        </w:rPr>
        <w:t>起。</w:t>
      </w:r>
    </w:p>
    <w:p w14:paraId="2BF9F5BD" w14:textId="77777777" w:rsidR="00445DA3" w:rsidRPr="0055724E" w:rsidRDefault="00445DA3" w:rsidP="00445DA3">
      <w:pPr>
        <w:widowControl/>
        <w:spacing w:beforeLines="50" w:before="180" w:line="480" w:lineRule="auto"/>
        <w:ind w:firstLine="480"/>
        <w:jc w:val="left"/>
        <w:rPr>
          <w:rFonts w:cs="宋体"/>
          <w:kern w:val="0"/>
          <w:sz w:val="28"/>
          <w:szCs w:val="24"/>
        </w:rPr>
      </w:pPr>
    </w:p>
    <w:p w14:paraId="5752A740"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b/>
          <w:bCs/>
          <w:color w:val="000000"/>
          <w:kern w:val="0"/>
          <w:sz w:val="28"/>
          <w:szCs w:val="24"/>
        </w:rPr>
        <w:t>（一）賓語指某種行爲或情狀</w:t>
      </w:r>
    </w:p>
    <w:p w14:paraId="7843EC76"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4"/>
        </w:rPr>
        <w:t>這種“善”字所帶的賓語多數是指某種行爲或情狀的，如《詩·鄭風·大叔于田》“叔善射忌，又良御忌”、《衛風·淇奧》“善戲謔兮，不爲虐兮”、《孫子·軍爭》“善用兵者，避其鋭氣，擊其惰歸”、《禮記·學記》“善歌者使人繼其聲，善教者使人繼其志”、《孟子·公孫丑上》“宰我、子貢善爲</w:t>
      </w:r>
      <w:r w:rsidRPr="0055724E">
        <w:rPr>
          <w:rFonts w:cs="宋体"/>
          <w:color w:val="000000"/>
          <w:kern w:val="0"/>
          <w:sz w:val="28"/>
          <w:szCs w:val="23"/>
        </w:rPr>
        <w:t>説</w:t>
      </w:r>
      <w:r w:rsidRPr="0055724E">
        <w:rPr>
          <w:rFonts w:cs="宋体"/>
          <w:color w:val="000000"/>
          <w:kern w:val="0"/>
          <w:sz w:val="28"/>
          <w:szCs w:val="24"/>
        </w:rPr>
        <w:t>辭，冉牛、閔子、顏淵善言德行”、郭店《語叢三》簡38“不膳（善）擇，不爲智”諸例中的“射”、“戲謔”、“用兵”、“歌”、“教”、“爲</w:t>
      </w:r>
      <w:r w:rsidRPr="0055724E">
        <w:rPr>
          <w:rFonts w:cs="宋体"/>
          <w:color w:val="000000"/>
          <w:kern w:val="0"/>
          <w:sz w:val="28"/>
          <w:szCs w:val="23"/>
        </w:rPr>
        <w:t>説</w:t>
      </w:r>
      <w:r w:rsidRPr="0055724E">
        <w:rPr>
          <w:rFonts w:cs="宋体"/>
          <w:color w:val="000000"/>
          <w:kern w:val="0"/>
          <w:sz w:val="28"/>
          <w:szCs w:val="24"/>
        </w:rPr>
        <w:t>辭”、</w:t>
      </w:r>
      <w:r w:rsidRPr="0055724E">
        <w:rPr>
          <w:rFonts w:cs="宋体"/>
          <w:color w:val="000000"/>
          <w:kern w:val="0"/>
          <w:sz w:val="28"/>
          <w:szCs w:val="24"/>
        </w:rPr>
        <w:lastRenderedPageBreak/>
        <w:t>“言德行”、“擇”等。這種“善”字現在一般都解釋成“擅長”或“善於”，意思就是能把某種事情做得很好。漢語動詞没有形態變化，上舉出現在“善”字之後的“射”、“戲謔”、“歌”、“教”都可以看作動詞直接用爲“善”的賓語，“用兵”則是用作賓語的一個動賓結構。</w:t>
      </w:r>
    </w:p>
    <w:p w14:paraId="2691E7D0"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4"/>
        </w:rPr>
        <w:t>《孟子·盡心上》</w:t>
      </w:r>
      <w:r w:rsidRPr="0055724E">
        <w:rPr>
          <w:rFonts w:cs="宋体"/>
          <w:color w:val="000000"/>
          <w:kern w:val="0"/>
          <w:sz w:val="28"/>
          <w:szCs w:val="23"/>
        </w:rPr>
        <w:t>説</w:t>
      </w:r>
      <w:r w:rsidRPr="0055724E">
        <w:rPr>
          <w:rFonts w:cs="宋体"/>
          <w:color w:val="000000"/>
          <w:kern w:val="0"/>
          <w:sz w:val="28"/>
          <w:szCs w:val="24"/>
        </w:rPr>
        <w:t>：“善政，不如善教之得民也。善政民畏之，善教民愛之。善政得民財，善教得民心。”一般都將“善政”“善教”的“善”理解爲定語。我們認爲這兩個“善”與《學記》“善教”之“善”同義，應該理解爲“擅長”“善於”。《孟子》的“善教”應該理解爲善於教化人民，“善政”的“政”跟“教”一樣，也應看作動詞，就是施政治民的意思。《逸周書·允文》</w:t>
      </w:r>
      <w:r w:rsidRPr="0055724E">
        <w:rPr>
          <w:rFonts w:cs="宋体"/>
          <w:color w:val="000000"/>
          <w:kern w:val="0"/>
          <w:sz w:val="28"/>
          <w:szCs w:val="23"/>
        </w:rPr>
        <w:t>説</w:t>
      </w:r>
      <w:r w:rsidRPr="0055724E">
        <w:rPr>
          <w:rFonts w:cs="宋体"/>
          <w:color w:val="000000"/>
          <w:kern w:val="0"/>
          <w:sz w:val="28"/>
          <w:szCs w:val="24"/>
        </w:rPr>
        <w:t>勝敵之後要全面推行很好的安民措施，“寬以政之，孰云不聽”，“政之”就是治理其民的意思。《後漢書·桓譚傳》“蓋善政者，視俗而施教，察失而立防，威德更興，文武迭用”，《孟子》和此文的“善政”都是善於施政治民的意思。如果用後世的眼光，把《孟子》的“善政”理解爲與“苛政”“暴政”相對的“良好的政治”，就與其後的“民畏之”“得民財”之語難以相應了。</w:t>
      </w:r>
    </w:p>
    <w:p w14:paraId="586DB991"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4"/>
        </w:rPr>
        <w:lastRenderedPageBreak/>
        <w:t>所“善”之事的範圍是很廣的，就是不好的事也可以出現在“善”字之後</w:t>
      </w:r>
      <w:r w:rsidRPr="0055724E">
        <w:rPr>
          <w:rFonts w:cs="宋体"/>
          <w:b/>
          <w:bCs/>
          <w:color w:val="A0A0A0"/>
          <w:kern w:val="0"/>
          <w:sz w:val="21"/>
          <w:szCs w:val="21"/>
        </w:rPr>
        <w:t>（爲了使讀者易於理解，所舉之例不完全限於先秦時代。以下對同類情況不再説明）</w:t>
      </w:r>
      <w:r w:rsidRPr="0055724E">
        <w:rPr>
          <w:rFonts w:cs="宋体"/>
          <w:color w:val="000000"/>
          <w:kern w:val="0"/>
          <w:sz w:val="28"/>
          <w:szCs w:val="24"/>
        </w:rPr>
        <w:t>。《詩·大雅·桑柔》“善背”朱熹解釋爲“工爲反覆”，“善詈”朱熹解釋爲“工爲惡言”。《論語·季氏》所舉“損者三友”第二項爲“友善柔”，朱熹《集注》说“善柔謂工於媚</w:t>
      </w:r>
      <w:r w:rsidRPr="0055724E">
        <w:rPr>
          <w:rFonts w:cs="宋体"/>
          <w:color w:val="000000"/>
          <w:kern w:val="0"/>
          <w:sz w:val="28"/>
          <w:szCs w:val="23"/>
        </w:rPr>
        <w:t>説</w:t>
      </w:r>
      <w:r w:rsidRPr="0055724E">
        <w:rPr>
          <w:rFonts w:cs="宋体"/>
          <w:b/>
          <w:bCs/>
          <w:color w:val="A0A0A0"/>
          <w:kern w:val="0"/>
          <w:sz w:val="21"/>
          <w:szCs w:val="21"/>
        </w:rPr>
        <w:t>（‘説’讀爲‘悦’）</w:t>
      </w:r>
      <w:r w:rsidRPr="0055724E">
        <w:rPr>
          <w:rFonts w:cs="宋体"/>
          <w:color w:val="000000"/>
          <w:kern w:val="0"/>
          <w:sz w:val="28"/>
          <w:szCs w:val="24"/>
        </w:rPr>
        <w:t>而不諒”，“工”與“擅長”之義相近</w:t>
      </w:r>
      <w:r w:rsidRPr="0055724E">
        <w:rPr>
          <w:rFonts w:cs="宋体"/>
          <w:b/>
          <w:bCs/>
          <w:color w:val="A0A0A0"/>
          <w:kern w:val="0"/>
          <w:sz w:val="21"/>
          <w:szCs w:val="21"/>
        </w:rPr>
        <w:t>（如《漢語大詞典》“工”字義項③“擅長；善於”）</w:t>
      </w:r>
      <w:r w:rsidRPr="0055724E">
        <w:rPr>
          <w:rFonts w:cs="宋体"/>
          <w:color w:val="000000"/>
          <w:kern w:val="0"/>
          <w:sz w:val="28"/>
          <w:szCs w:val="24"/>
        </w:rPr>
        <w:t>。《離騷》“眾女嫉余之蛾眉兮，謠諑謂余以善淫”，《文選》五臣注將“善淫”解釋爲“善爲淫亂”</w:t>
      </w:r>
      <w:r w:rsidRPr="0055724E">
        <w:rPr>
          <w:rFonts w:cs="宋体"/>
          <w:b/>
          <w:bCs/>
          <w:color w:val="A0A0A0"/>
          <w:kern w:val="0"/>
          <w:sz w:val="21"/>
          <w:szCs w:val="21"/>
        </w:rPr>
        <w:t>（王逸《章句》釋“善淫”爲“美而淫”，顯然誤解了此“善”字之義。又五臣注釋“淫”爲“淫亂”，似不如釋爲“淫巧”，《離騷》此處下一句爲“固时俗之工巧兮，偭规矩而改错”）</w:t>
      </w:r>
      <w:r w:rsidRPr="0055724E">
        <w:rPr>
          <w:rFonts w:cs="宋体"/>
          <w:color w:val="000000"/>
          <w:kern w:val="0"/>
          <w:sz w:val="28"/>
          <w:szCs w:val="24"/>
        </w:rPr>
        <w:t>。《晏子春秋·内篇雜下·楚王欲辱晏子指盜者爲齊人晏子對以橘第十》屢次</w:t>
      </w:r>
      <w:r w:rsidRPr="0055724E">
        <w:rPr>
          <w:rFonts w:cs="宋体"/>
          <w:color w:val="000000"/>
          <w:kern w:val="0"/>
          <w:sz w:val="28"/>
          <w:szCs w:val="23"/>
        </w:rPr>
        <w:t>説</w:t>
      </w:r>
      <w:r w:rsidRPr="0055724E">
        <w:rPr>
          <w:rFonts w:cs="宋体"/>
          <w:color w:val="000000"/>
          <w:kern w:val="0"/>
          <w:sz w:val="28"/>
          <w:szCs w:val="24"/>
        </w:rPr>
        <w:t>到“善盜”</w:t>
      </w:r>
      <w:r w:rsidRPr="0055724E">
        <w:rPr>
          <w:rFonts w:cs="宋体"/>
          <w:b/>
          <w:bCs/>
          <w:color w:val="A0A0A0"/>
          <w:kern w:val="0"/>
          <w:sz w:val="21"/>
          <w:szCs w:val="21"/>
        </w:rPr>
        <w:t>（“盜”，古作偷竊講。類似内容亦見於《韓詩外傳》卷十）</w:t>
      </w:r>
      <w:r w:rsidRPr="0055724E">
        <w:rPr>
          <w:rFonts w:cs="宋体"/>
          <w:color w:val="000000"/>
          <w:kern w:val="0"/>
          <w:sz w:val="28"/>
          <w:szCs w:val="24"/>
        </w:rPr>
        <w:t>，“善盜”就是善於偷竊的意思。《史記·大宛列傳》“昆明之屬無君長，善寇盜”，《殷本紀》“費中善諛，……惡來善毀讒”。我們今天還可以把“擅長”或“善於”加在不好的事情上，如</w:t>
      </w:r>
      <w:r w:rsidRPr="0055724E">
        <w:rPr>
          <w:rFonts w:cs="宋体"/>
          <w:color w:val="000000"/>
          <w:kern w:val="0"/>
          <w:sz w:val="28"/>
          <w:szCs w:val="23"/>
        </w:rPr>
        <w:t>説</w:t>
      </w:r>
      <w:r w:rsidRPr="0055724E">
        <w:rPr>
          <w:rFonts w:cs="宋体"/>
          <w:color w:val="000000"/>
          <w:kern w:val="0"/>
          <w:sz w:val="28"/>
          <w:szCs w:val="24"/>
        </w:rPr>
        <w:t>某人“擅長/善於溜須拍馬”、“擅長/善於弄虚作假”等。</w:t>
      </w:r>
    </w:p>
    <w:p w14:paraId="12E75626" w14:textId="0FA4ACFF"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4"/>
        </w:rPr>
        <w:t>但是，需要指出，如果主體發出的行爲或表現的情狀是由外界觸發的，或者是由於身體上的原因如疾病等造成的，總之是主體難以甚</w:t>
      </w:r>
      <w:r w:rsidRPr="0055724E">
        <w:rPr>
          <w:rFonts w:cs="宋体"/>
          <w:color w:val="000000"/>
          <w:kern w:val="0"/>
          <w:sz w:val="28"/>
          <w:szCs w:val="24"/>
        </w:rPr>
        <w:lastRenderedPageBreak/>
        <w:t>至完全不能自主的，那麼，“善”一般就不能解釋爲“擅長”，而必須解釋爲“容易”或“多”。《詩·鄘風·載馳》“女子善懷，亦各有行”，鄭箋“善猶多也”，朱熹《集注》“善懷，多憂思也”，向熹《詩經詞典》將“善懷”之“善”列在“多；容易”義項下。</w:t>
      </w:r>
      <w:r w:rsidRPr="00965627">
        <w:rPr>
          <w:rStyle w:val="ae"/>
          <w:rFonts w:cs="宋体"/>
          <w:color w:val="000000"/>
          <w:kern w:val="0"/>
          <w:sz w:val="28"/>
          <w:szCs w:val="24"/>
        </w:rPr>
        <w:endnoteReference w:id="4"/>
      </w:r>
      <w:r w:rsidRPr="0055724E">
        <w:rPr>
          <w:rFonts w:cs="宋体"/>
          <w:color w:val="000000"/>
          <w:kern w:val="0"/>
          <w:sz w:val="28"/>
          <w:szCs w:val="24"/>
        </w:rPr>
        <w:t>《載馳》一詩據《詩序》爲嫁到許國的衛女許穆夫人所作，當時衛懿公抗狄戰死，衛國在危亡之中，她卻因許人不允無法回國吊唁，心中憂傷，故爲此詩。就許穆夫人來</w:t>
      </w:r>
      <w:r w:rsidRPr="0055724E">
        <w:rPr>
          <w:rFonts w:cs="宋体"/>
          <w:color w:val="000000"/>
          <w:kern w:val="0"/>
          <w:sz w:val="28"/>
          <w:szCs w:val="23"/>
        </w:rPr>
        <w:t>説</w:t>
      </w:r>
      <w:r w:rsidRPr="0055724E">
        <w:rPr>
          <w:rFonts w:cs="宋体"/>
          <w:color w:val="000000"/>
          <w:kern w:val="0"/>
          <w:sz w:val="28"/>
          <w:szCs w:val="24"/>
        </w:rPr>
        <w:t>，她當時的“懷”就是由於衛國的危亡而觸發的“憂思”，余冠英《詩經選譯》把“善懷”翻譯爲“多愁善感”，</w:t>
      </w:r>
      <w:r w:rsidRPr="00965627">
        <w:rPr>
          <w:rStyle w:val="ae"/>
          <w:rFonts w:cs="宋体"/>
          <w:color w:val="000000"/>
          <w:kern w:val="0"/>
          <w:sz w:val="28"/>
          <w:szCs w:val="24"/>
        </w:rPr>
        <w:endnoteReference w:id="5"/>
      </w:r>
      <w:r w:rsidRPr="0055724E">
        <w:rPr>
          <w:rFonts w:cs="宋体"/>
          <w:color w:val="000000"/>
          <w:kern w:val="0"/>
          <w:sz w:val="28"/>
          <w:szCs w:val="24"/>
        </w:rPr>
        <w:t>“感”就是因某種情況而觸發思緒。《左傳·襄公二十八年》“慶氏之馬善驚，士皆釋甲束馬”，《</w:t>
      </w:r>
      <w:r w:rsidRPr="0055724E">
        <w:rPr>
          <w:rFonts w:cs="宋体"/>
          <w:color w:val="000000"/>
          <w:kern w:val="0"/>
          <w:sz w:val="28"/>
          <w:szCs w:val="23"/>
        </w:rPr>
        <w:t>説</w:t>
      </w:r>
      <w:r w:rsidRPr="0055724E">
        <w:rPr>
          <w:rFonts w:cs="宋体"/>
          <w:color w:val="000000"/>
          <w:kern w:val="0"/>
          <w:sz w:val="28"/>
          <w:szCs w:val="24"/>
        </w:rPr>
        <w:t>文·馬部》“驚，馬駭也”，“驚”是馬因受到外界的刺激而驚駭，“善驚”也就是“易驚”的意思。竹添光鴻《左傳會箋》</w:t>
      </w:r>
      <w:r w:rsidRPr="0055724E">
        <w:rPr>
          <w:rFonts w:cs="宋体"/>
          <w:color w:val="000000"/>
          <w:kern w:val="0"/>
          <w:sz w:val="28"/>
          <w:szCs w:val="23"/>
        </w:rPr>
        <w:t>説</w:t>
      </w:r>
      <w:r w:rsidRPr="0055724E">
        <w:rPr>
          <w:rFonts w:cs="宋体"/>
          <w:color w:val="000000"/>
          <w:kern w:val="0"/>
          <w:sz w:val="28"/>
          <w:szCs w:val="24"/>
        </w:rPr>
        <w:t>：“善猶多也，與善食、善懷、善病、善崩之善同。</w:t>
      </w:r>
      <w:r w:rsidRPr="00965627">
        <w:rPr>
          <w:rStyle w:val="ae"/>
          <w:rFonts w:cs="宋体"/>
          <w:color w:val="000000"/>
          <w:kern w:val="0"/>
          <w:sz w:val="28"/>
          <w:szCs w:val="24"/>
        </w:rPr>
        <w:endnoteReference w:id="6"/>
      </w:r>
      <w:r w:rsidRPr="0055724E">
        <w:rPr>
          <w:rFonts w:cs="宋体"/>
          <w:color w:val="000000"/>
          <w:kern w:val="0"/>
          <w:sz w:val="28"/>
          <w:szCs w:val="24"/>
        </w:rPr>
        <w:t>”他將“善驚”與“善食”“善懷”“善病”中的“善”歸爲一類，是很有見地的</w:t>
      </w:r>
      <w:r w:rsidRPr="0055724E">
        <w:rPr>
          <w:rFonts w:cs="宋体"/>
          <w:b/>
          <w:bCs/>
          <w:color w:val="A0A0A0"/>
          <w:kern w:val="0"/>
          <w:sz w:val="21"/>
          <w:szCs w:val="21"/>
        </w:rPr>
        <w:t>（“善食”“善病”之例詳後，“善崩”一例的情況與其他諸例並不完全一致，亦詳後）</w:t>
      </w:r>
      <w:r w:rsidRPr="0055724E">
        <w:rPr>
          <w:rFonts w:cs="宋体"/>
          <w:color w:val="000000"/>
          <w:kern w:val="0"/>
          <w:sz w:val="28"/>
          <w:szCs w:val="24"/>
        </w:rPr>
        <w:t>。《莊子·達生》“（氣）上而不下，則使人善怒；下而不上，則使人善忘”。《黃帝</w:t>
      </w:r>
      <w:r w:rsidRPr="0055724E">
        <w:rPr>
          <w:rFonts w:cs="宋体"/>
          <w:color w:val="000000"/>
          <w:kern w:val="0"/>
          <w:sz w:val="28"/>
          <w:szCs w:val="23"/>
        </w:rPr>
        <w:t>内</w:t>
      </w:r>
      <w:r w:rsidRPr="0055724E">
        <w:rPr>
          <w:rFonts w:cs="宋体"/>
          <w:color w:val="000000"/>
          <w:kern w:val="0"/>
          <w:sz w:val="28"/>
          <w:szCs w:val="24"/>
        </w:rPr>
        <w:t>經》多用“善”字，如“善怒”</w:t>
      </w:r>
      <w:r w:rsidRPr="0055724E">
        <w:rPr>
          <w:rFonts w:cs="宋体"/>
          <w:b/>
          <w:bCs/>
          <w:color w:val="A0A0A0"/>
          <w:kern w:val="0"/>
          <w:sz w:val="21"/>
          <w:szCs w:val="21"/>
        </w:rPr>
        <w:t>（見《素問·宣明五氣》等篇）</w:t>
      </w:r>
      <w:r w:rsidRPr="0055724E">
        <w:rPr>
          <w:rFonts w:cs="宋体"/>
          <w:color w:val="000000"/>
          <w:kern w:val="0"/>
          <w:sz w:val="28"/>
          <w:szCs w:val="24"/>
        </w:rPr>
        <w:t>、“善忘”</w:t>
      </w:r>
      <w:r w:rsidRPr="0055724E">
        <w:rPr>
          <w:rFonts w:cs="宋体"/>
          <w:b/>
          <w:bCs/>
          <w:color w:val="A0A0A0"/>
          <w:kern w:val="0"/>
          <w:sz w:val="21"/>
          <w:szCs w:val="21"/>
        </w:rPr>
        <w:t>（見《靈樞·厥病》《素問·玉機真藏論》等篇）</w:t>
      </w:r>
      <w:r w:rsidRPr="0055724E">
        <w:rPr>
          <w:rFonts w:cs="宋体"/>
          <w:color w:val="000000"/>
          <w:kern w:val="0"/>
          <w:sz w:val="28"/>
          <w:szCs w:val="24"/>
        </w:rPr>
        <w:t>、“善悲”</w:t>
      </w:r>
      <w:r w:rsidRPr="0055724E">
        <w:rPr>
          <w:rFonts w:cs="宋体"/>
          <w:b/>
          <w:bCs/>
          <w:color w:val="A0A0A0"/>
          <w:kern w:val="0"/>
          <w:sz w:val="21"/>
          <w:szCs w:val="21"/>
        </w:rPr>
        <w:t>（《素問·刺腰論痛》）</w:t>
      </w:r>
      <w:r w:rsidRPr="0055724E">
        <w:rPr>
          <w:rFonts w:cs="宋体"/>
          <w:color w:val="000000"/>
          <w:kern w:val="0"/>
          <w:sz w:val="28"/>
          <w:szCs w:val="24"/>
        </w:rPr>
        <w:t>、“善饑”</w:t>
      </w:r>
      <w:r w:rsidRPr="0055724E">
        <w:rPr>
          <w:rFonts w:cs="宋体"/>
          <w:b/>
          <w:bCs/>
          <w:color w:val="A0A0A0"/>
          <w:kern w:val="0"/>
          <w:sz w:val="21"/>
          <w:szCs w:val="21"/>
        </w:rPr>
        <w:t>（見《靈樞·經脈》</w:t>
      </w:r>
      <w:r w:rsidRPr="0055724E">
        <w:rPr>
          <w:rFonts w:cs="宋体"/>
          <w:b/>
          <w:bCs/>
          <w:color w:val="A0A0A0"/>
          <w:kern w:val="0"/>
          <w:sz w:val="21"/>
          <w:szCs w:val="21"/>
        </w:rPr>
        <w:lastRenderedPageBreak/>
        <w:t>《素問·藏氣法時論》等篇</w:t>
      </w:r>
      <w:r w:rsidRPr="0055724E">
        <w:rPr>
          <w:rFonts w:cs="宋体"/>
          <w:color w:val="000000"/>
          <w:kern w:val="0"/>
          <w:sz w:val="28"/>
          <w:szCs w:val="24"/>
        </w:rPr>
        <w:t>、“善食”</w:t>
      </w:r>
      <w:r w:rsidRPr="0055724E">
        <w:rPr>
          <w:rFonts w:cs="宋体"/>
          <w:b/>
          <w:bCs/>
          <w:color w:val="A0A0A0"/>
          <w:kern w:val="0"/>
          <w:sz w:val="21"/>
          <w:szCs w:val="21"/>
        </w:rPr>
        <w:t>（《素問·氣厥論》）</w:t>
      </w:r>
      <w:r w:rsidRPr="0055724E">
        <w:rPr>
          <w:rFonts w:cs="宋体"/>
          <w:color w:val="000000"/>
          <w:kern w:val="0"/>
          <w:sz w:val="28"/>
          <w:szCs w:val="24"/>
        </w:rPr>
        <w:t>、“善咳”</w:t>
      </w:r>
      <w:r w:rsidRPr="0055724E">
        <w:rPr>
          <w:rFonts w:cs="宋体"/>
          <w:b/>
          <w:bCs/>
          <w:color w:val="A0A0A0"/>
          <w:kern w:val="0"/>
          <w:sz w:val="21"/>
          <w:szCs w:val="21"/>
        </w:rPr>
        <w:t>（《素問·陰陽別論篇》）</w:t>
      </w:r>
      <w:r w:rsidRPr="0055724E">
        <w:rPr>
          <w:rFonts w:cs="宋体"/>
          <w:color w:val="000000"/>
          <w:kern w:val="0"/>
          <w:sz w:val="28"/>
          <w:szCs w:val="24"/>
        </w:rPr>
        <w:t>、“善嘔”</w:t>
      </w:r>
      <w:r w:rsidRPr="0055724E">
        <w:rPr>
          <w:rFonts w:cs="宋体"/>
          <w:b/>
          <w:bCs/>
          <w:color w:val="A0A0A0"/>
          <w:kern w:val="0"/>
          <w:sz w:val="21"/>
          <w:szCs w:val="21"/>
        </w:rPr>
        <w:t>（見《靈樞·終始》《素問·刺熱》等篇）</w:t>
      </w:r>
      <w:r w:rsidRPr="0055724E">
        <w:rPr>
          <w:rFonts w:cs="宋体"/>
          <w:color w:val="000000"/>
          <w:kern w:val="0"/>
          <w:sz w:val="28"/>
          <w:szCs w:val="24"/>
        </w:rPr>
        <w:t>、“善脇下痛”</w:t>
      </w:r>
      <w:r w:rsidRPr="0055724E">
        <w:rPr>
          <w:rFonts w:cs="宋体"/>
          <w:b/>
          <w:bCs/>
          <w:color w:val="A0A0A0"/>
          <w:kern w:val="0"/>
          <w:sz w:val="21"/>
          <w:szCs w:val="21"/>
        </w:rPr>
        <w:t>（《靈樞·本藏》）</w:t>
      </w:r>
      <w:r w:rsidRPr="0055724E">
        <w:rPr>
          <w:rFonts w:cs="宋体"/>
          <w:color w:val="000000"/>
          <w:kern w:val="0"/>
          <w:sz w:val="28"/>
          <w:szCs w:val="24"/>
        </w:rPr>
        <w:t>、“善暴死”</w:t>
      </w:r>
      <w:r w:rsidRPr="0055724E">
        <w:rPr>
          <w:rFonts w:cs="宋体"/>
          <w:b/>
          <w:bCs/>
          <w:color w:val="A0A0A0"/>
          <w:kern w:val="0"/>
          <w:sz w:val="21"/>
          <w:szCs w:val="21"/>
        </w:rPr>
        <w:t>（見《靈樞·九宮八風》《素問·六元正紀大論》）</w:t>
      </w:r>
      <w:r w:rsidRPr="0055724E">
        <w:rPr>
          <w:rFonts w:cs="宋体"/>
          <w:color w:val="000000"/>
          <w:kern w:val="0"/>
          <w:sz w:val="28"/>
          <w:szCs w:val="24"/>
        </w:rPr>
        <w:t>、“善病風”</w:t>
      </w:r>
      <w:r w:rsidRPr="0055724E">
        <w:rPr>
          <w:rFonts w:cs="宋体"/>
          <w:b/>
          <w:bCs/>
          <w:color w:val="A0A0A0"/>
          <w:kern w:val="0"/>
          <w:sz w:val="21"/>
          <w:szCs w:val="21"/>
        </w:rPr>
        <w:t>（《靈樞·五變》《素問·金匱真言論》等篇）</w:t>
      </w:r>
      <w:r w:rsidRPr="00965627">
        <w:rPr>
          <w:rStyle w:val="ae"/>
          <w:rFonts w:cs="宋体"/>
          <w:color w:val="000000"/>
          <w:kern w:val="0"/>
          <w:sz w:val="28"/>
          <w:szCs w:val="24"/>
        </w:rPr>
        <w:endnoteReference w:id="7"/>
      </w:r>
      <w:r w:rsidRPr="0055724E">
        <w:rPr>
          <w:rFonts w:cs="宋体"/>
          <w:color w:val="000000"/>
          <w:kern w:val="0"/>
          <w:sz w:val="28"/>
          <w:szCs w:val="24"/>
        </w:rPr>
        <w:t>等。上引《莊子》《</w:t>
      </w:r>
      <w:r w:rsidRPr="0055724E">
        <w:rPr>
          <w:rFonts w:cs="宋体"/>
          <w:color w:val="000000"/>
          <w:kern w:val="0"/>
          <w:sz w:val="28"/>
          <w:szCs w:val="23"/>
        </w:rPr>
        <w:t>内</w:t>
      </w:r>
      <w:r w:rsidRPr="0055724E">
        <w:rPr>
          <w:rFonts w:cs="宋体"/>
          <w:color w:val="000000"/>
          <w:kern w:val="0"/>
          <w:sz w:val="28"/>
          <w:szCs w:val="24"/>
        </w:rPr>
        <w:t>經》諸例，“善”字後賓語所指的行爲或情狀都是主體難以甚至完全不能控制的，這種“善”字當然也應該解釋爲“易”或“多”。《史記·太史公自序·論六家要旨》“名家使人儉而善失真”，“儉”各家都讀爲“檢”，</w:t>
      </w:r>
      <w:r w:rsidRPr="00965627">
        <w:rPr>
          <w:rStyle w:val="ae"/>
          <w:rFonts w:cs="宋体"/>
          <w:color w:val="000000"/>
          <w:kern w:val="0"/>
          <w:sz w:val="28"/>
          <w:szCs w:val="24"/>
        </w:rPr>
        <w:endnoteReference w:id="8"/>
      </w:r>
      <w:r w:rsidRPr="0055724E">
        <w:rPr>
          <w:rFonts w:cs="宋体"/>
          <w:color w:val="000000"/>
          <w:kern w:val="0"/>
          <w:sz w:val="28"/>
          <w:szCs w:val="24"/>
        </w:rPr>
        <w:t>下文中司馬談自己解釋</w:t>
      </w:r>
      <w:r w:rsidRPr="0055724E">
        <w:rPr>
          <w:rFonts w:cs="宋体"/>
          <w:color w:val="000000"/>
          <w:kern w:val="0"/>
          <w:sz w:val="28"/>
          <w:szCs w:val="23"/>
        </w:rPr>
        <w:t>説</w:t>
      </w:r>
      <w:r w:rsidRPr="0055724E">
        <w:rPr>
          <w:rFonts w:cs="宋体"/>
          <w:color w:val="000000"/>
          <w:kern w:val="0"/>
          <w:sz w:val="28"/>
          <w:szCs w:val="24"/>
        </w:rPr>
        <w:t>“名家苛察繳繞，使人不得反其意，專決於名而失人情，故曰‘使人儉而善失真’”，“儉”似與“專決於名”相當，“失真”應與“失人情”相當。“失真”是由於人們受名家主張的拘束、“專決於名”而引起的必然結果，是接受名家主張的人自己難以控制的，所以“善失真”的“善”也應該訓爲“容易”或“多”。</w:t>
      </w:r>
    </w:p>
    <w:p w14:paraId="79FE5AA4" w14:textId="3B8D72C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4"/>
        </w:rPr>
        <w:t>帶賓語的“善”字有時還被用於無生物，如《史記·河渠書》“岸善崩”</w:t>
      </w:r>
      <w:r w:rsidRPr="0055724E">
        <w:rPr>
          <w:rFonts w:cs="宋体"/>
          <w:b/>
          <w:bCs/>
          <w:color w:val="A0A0A0"/>
          <w:kern w:val="0"/>
          <w:sz w:val="21"/>
          <w:szCs w:val="21"/>
        </w:rPr>
        <w:t>（亦見《漢書·溝洫志》）</w:t>
      </w:r>
      <w:r w:rsidRPr="0055724E">
        <w:rPr>
          <w:rFonts w:cs="宋体"/>
          <w:color w:val="000000"/>
          <w:kern w:val="0"/>
          <w:sz w:val="28"/>
          <w:szCs w:val="24"/>
        </w:rPr>
        <w:t>，《溝洫志》顏师古注“善崩，言憙（喜）崩也”，</w:t>
      </w:r>
      <w:r w:rsidRPr="0055724E">
        <w:rPr>
          <w:rFonts w:cs="宋体"/>
          <w:color w:val="000000"/>
          <w:kern w:val="0"/>
          <w:sz w:val="28"/>
          <w:szCs w:val="23"/>
        </w:rPr>
        <w:t>説</w:t>
      </w:r>
      <w:r w:rsidRPr="0055724E">
        <w:rPr>
          <w:rFonts w:cs="宋体"/>
          <w:color w:val="000000"/>
          <w:kern w:val="0"/>
          <w:sz w:val="28"/>
          <w:szCs w:val="24"/>
        </w:rPr>
        <w:t>岸“善崩”、“喜崩”都是擬人化的</w:t>
      </w:r>
      <w:r w:rsidRPr="0055724E">
        <w:rPr>
          <w:rFonts w:cs="宋体"/>
          <w:color w:val="000000"/>
          <w:kern w:val="0"/>
          <w:sz w:val="28"/>
          <w:szCs w:val="23"/>
        </w:rPr>
        <w:t>説</w:t>
      </w:r>
      <w:r w:rsidRPr="0055724E">
        <w:rPr>
          <w:rFonts w:cs="宋体"/>
          <w:color w:val="000000"/>
          <w:kern w:val="0"/>
          <w:sz w:val="28"/>
          <w:szCs w:val="24"/>
        </w:rPr>
        <w:t>法，其實就是</w:t>
      </w:r>
      <w:r w:rsidRPr="0055724E">
        <w:rPr>
          <w:rFonts w:cs="宋体"/>
          <w:color w:val="000000"/>
          <w:kern w:val="0"/>
          <w:sz w:val="28"/>
          <w:szCs w:val="23"/>
        </w:rPr>
        <w:t>説</w:t>
      </w:r>
      <w:r w:rsidRPr="0055724E">
        <w:rPr>
          <w:rFonts w:cs="宋体"/>
          <w:color w:val="000000"/>
          <w:kern w:val="0"/>
          <w:sz w:val="28"/>
          <w:szCs w:val="24"/>
        </w:rPr>
        <w:t>岸易崩、多崩。</w:t>
      </w:r>
    </w:p>
    <w:p w14:paraId="423741ED"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4"/>
        </w:rPr>
        <w:lastRenderedPageBreak/>
        <w:t>不過，仔細體會起來，“善”跟“易”應該還有程度上的區別，如馬“善驚”似應理解爲馬很容易受驚，而不是一般的容易受驚。</w:t>
      </w:r>
    </w:p>
    <w:p w14:paraId="6DDEDE2A" w14:textId="4E42C8B6" w:rsidR="009F4F5A" w:rsidRDefault="009F4F5A" w:rsidP="00445DA3">
      <w:pPr>
        <w:widowControl/>
        <w:spacing w:beforeLines="50" w:before="180" w:line="480" w:lineRule="auto"/>
        <w:ind w:firstLine="480"/>
        <w:jc w:val="left"/>
        <w:rPr>
          <w:rFonts w:cs="宋体"/>
          <w:color w:val="000000"/>
          <w:kern w:val="0"/>
          <w:sz w:val="28"/>
          <w:szCs w:val="24"/>
        </w:rPr>
      </w:pPr>
      <w:r w:rsidRPr="0055724E">
        <w:rPr>
          <w:rFonts w:cs="宋体"/>
          <w:color w:val="000000"/>
          <w:kern w:val="0"/>
          <w:sz w:val="28"/>
          <w:szCs w:val="24"/>
        </w:rPr>
        <w:t>“善”字訓爲“擅長”的用法與訓爲“易”“多”的用法，都含有很“能”或很“會”的意思。現代漢語的“會”既可以用於主體自主的事情，如“他會唱歌”、“他會開車”；也可以用於主體難以甚至完全不能自主的事情，如“天這樣冷，他衣服穿得少，會感冒的”、“得了這種病，常常會嘔吐”、“馬會受驚嗎”；也可以用於主體是無生物的情況，如“天會下雨嗎”、“這段堤防會崩塌嗎”。古漢語的“善”與現代漢語的“會”在這方面比較相近。</w:t>
      </w:r>
    </w:p>
    <w:p w14:paraId="731AD8E3" w14:textId="77777777" w:rsidR="00445DA3" w:rsidRDefault="00445DA3" w:rsidP="00445DA3">
      <w:pPr>
        <w:widowControl/>
        <w:spacing w:beforeLines="50" w:before="180" w:line="480" w:lineRule="auto"/>
        <w:ind w:firstLine="480"/>
        <w:jc w:val="left"/>
        <w:rPr>
          <w:rFonts w:cs="宋体"/>
          <w:kern w:val="0"/>
          <w:sz w:val="28"/>
          <w:szCs w:val="24"/>
        </w:rPr>
      </w:pPr>
    </w:p>
    <w:p w14:paraId="5A746EF8"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b/>
          <w:bCs/>
          <w:color w:val="000000"/>
          <w:kern w:val="0"/>
          <w:sz w:val="28"/>
          <w:szCs w:val="24"/>
        </w:rPr>
        <w:t>（二）賓語爲事物名稱或其代詞</w:t>
      </w:r>
    </w:p>
    <w:p w14:paraId="4F60F596" w14:textId="2B7C4BCB" w:rsidR="009F4F5A" w:rsidRPr="0055724E" w:rsidRDefault="009F4F5A" w:rsidP="00445DA3">
      <w:pPr>
        <w:widowControl/>
        <w:spacing w:beforeLines="50" w:before="180" w:line="480" w:lineRule="auto"/>
        <w:jc w:val="left"/>
        <w:rPr>
          <w:rFonts w:cs="宋体"/>
          <w:kern w:val="0"/>
          <w:sz w:val="28"/>
          <w:szCs w:val="24"/>
        </w:rPr>
      </w:pPr>
      <w:r w:rsidRPr="0055724E">
        <w:rPr>
          <w:rFonts w:cs="宋体"/>
          <w:b/>
          <w:bCs/>
          <w:kern w:val="0"/>
          <w:sz w:val="28"/>
          <w:szCs w:val="24"/>
        </w:rPr>
        <w:t>1.</w:t>
      </w:r>
    </w:p>
    <w:p w14:paraId="43672BBC"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4"/>
        </w:rPr>
        <w:t>“善”的賓語也有不少是某種事物的名稱或其代詞</w:t>
      </w:r>
      <w:r w:rsidRPr="0055724E">
        <w:rPr>
          <w:rFonts w:cs="宋体"/>
          <w:b/>
          <w:bCs/>
          <w:color w:val="A0A0A0"/>
          <w:kern w:val="0"/>
          <w:sz w:val="21"/>
          <w:szCs w:val="21"/>
        </w:rPr>
        <w:t>（通常作“之”）</w:t>
      </w:r>
      <w:r w:rsidRPr="0055724E">
        <w:rPr>
          <w:rFonts w:cs="宋体"/>
          <w:color w:val="000000"/>
          <w:kern w:val="0"/>
          <w:sz w:val="28"/>
          <w:szCs w:val="24"/>
        </w:rPr>
        <w:t>，也就是“善”直接以事物名稱或其代詞“之”爲賓語。</w:t>
      </w:r>
      <w:r w:rsidRPr="00965627">
        <w:rPr>
          <w:rStyle w:val="ae"/>
          <w:rFonts w:cs="宋体"/>
          <w:color w:val="000000"/>
          <w:kern w:val="0"/>
          <w:sz w:val="28"/>
          <w:szCs w:val="24"/>
        </w:rPr>
        <w:endnoteReference w:id="9"/>
      </w:r>
      <w:r w:rsidRPr="0055724E">
        <w:rPr>
          <w:rFonts w:cs="宋体"/>
          <w:color w:val="000000"/>
          <w:kern w:val="0"/>
          <w:sz w:val="28"/>
          <w:szCs w:val="24"/>
        </w:rPr>
        <w:t>《書·秦誓》“惟截截善諞言，俾君子易辭</w:t>
      </w:r>
      <w:r w:rsidRPr="0055724E">
        <w:rPr>
          <w:rFonts w:cs="宋体"/>
          <w:b/>
          <w:bCs/>
          <w:color w:val="A0A0A0"/>
          <w:kern w:val="0"/>
          <w:sz w:val="21"/>
          <w:szCs w:val="21"/>
        </w:rPr>
        <w:t>（段玉裁《古文尚書撰異》據《公羊傳·文公十二年》所引謂‘辭’應讀爲‘怠’）</w:t>
      </w:r>
      <w:r w:rsidRPr="0055724E">
        <w:rPr>
          <w:rFonts w:cs="宋体"/>
          <w:color w:val="000000"/>
          <w:kern w:val="0"/>
          <w:sz w:val="28"/>
          <w:szCs w:val="24"/>
        </w:rPr>
        <w:t>”，《</w:t>
      </w:r>
      <w:r w:rsidRPr="0055724E">
        <w:rPr>
          <w:rFonts w:cs="宋体"/>
          <w:color w:val="000000"/>
          <w:kern w:val="0"/>
          <w:sz w:val="28"/>
          <w:szCs w:val="23"/>
        </w:rPr>
        <w:t>説</w:t>
      </w:r>
      <w:r w:rsidRPr="0055724E">
        <w:rPr>
          <w:rFonts w:cs="宋体"/>
          <w:color w:val="000000"/>
          <w:kern w:val="0"/>
          <w:sz w:val="28"/>
          <w:szCs w:val="24"/>
        </w:rPr>
        <w:t>文·言部》：“諞，便巧言也。”“諞言”就是“便巧”的言語。清華簡《鄭武夫人規孺子》記鄭武夫人對</w:t>
      </w:r>
      <w:r w:rsidRPr="0055724E">
        <w:rPr>
          <w:rFonts w:cs="宋体"/>
          <w:color w:val="000000"/>
          <w:kern w:val="0"/>
          <w:sz w:val="28"/>
          <w:szCs w:val="24"/>
        </w:rPr>
        <w:lastRenderedPageBreak/>
        <w:t>其子即剛繼承武公之位的莊公</w:t>
      </w:r>
      <w:r w:rsidRPr="0055724E">
        <w:rPr>
          <w:rFonts w:cs="宋体"/>
          <w:color w:val="000000"/>
          <w:kern w:val="0"/>
          <w:sz w:val="28"/>
          <w:szCs w:val="23"/>
        </w:rPr>
        <w:t>説</w:t>
      </w:r>
      <w:r w:rsidRPr="0055724E">
        <w:rPr>
          <w:rFonts w:cs="宋体"/>
          <w:color w:val="000000"/>
          <w:kern w:val="0"/>
          <w:sz w:val="28"/>
          <w:szCs w:val="24"/>
        </w:rPr>
        <w:t>：“今吾君既枼（世），孺子如毋知邦政，屬之大夫。……孺子如恭大夫，且以學焉。如及三歲，幸果善之，孺子其重得良臣，四鄰以吾先君爲能敘。如弗果善，㰷</w:t>
      </w:r>
      <w:r w:rsidRPr="00965627">
        <w:rPr>
          <w:rStyle w:val="ae"/>
          <w:rFonts w:cs="宋体"/>
          <w:color w:val="000000"/>
          <w:kern w:val="0"/>
          <w:sz w:val="28"/>
          <w:szCs w:val="24"/>
        </w:rPr>
        <w:endnoteReference w:id="10"/>
      </w:r>
      <w:r w:rsidRPr="0055724E">
        <w:rPr>
          <w:rFonts w:cs="宋体"/>
          <w:color w:val="000000"/>
          <w:kern w:val="0"/>
          <w:sz w:val="28"/>
          <w:szCs w:val="24"/>
        </w:rPr>
        <w:t>吾先君而孤孺子，其罪亦足數也。”在我們略去的原文裏，還</w:t>
      </w:r>
      <w:r w:rsidRPr="0055724E">
        <w:rPr>
          <w:rFonts w:cs="宋体"/>
          <w:color w:val="000000"/>
          <w:kern w:val="0"/>
          <w:sz w:val="28"/>
          <w:szCs w:val="23"/>
        </w:rPr>
        <w:t>説</w:t>
      </w:r>
      <w:r w:rsidRPr="0055724E">
        <w:rPr>
          <w:rFonts w:cs="宋体"/>
          <w:color w:val="000000"/>
          <w:kern w:val="0"/>
          <w:sz w:val="28"/>
          <w:szCs w:val="24"/>
        </w:rPr>
        <w:t>到鄭武夫人自己不會去“亂大夫之政”，並要孺子也不要去“亂大夫之政”。“善之”的“之”即指上文所</w:t>
      </w:r>
      <w:r w:rsidRPr="0055724E">
        <w:rPr>
          <w:rFonts w:cs="宋体"/>
          <w:color w:val="000000"/>
          <w:kern w:val="0"/>
          <w:sz w:val="28"/>
          <w:szCs w:val="23"/>
        </w:rPr>
        <w:t>説</w:t>
      </w:r>
      <w:r w:rsidRPr="0055724E">
        <w:rPr>
          <w:rFonts w:cs="宋体"/>
          <w:color w:val="000000"/>
          <w:kern w:val="0"/>
          <w:sz w:val="28"/>
          <w:szCs w:val="24"/>
        </w:rPr>
        <w:t>的“邦政”，亦即大夫所處理的“政”。《國語·周語中》：“古之善禮者，將焉用全烝。”《論語·泰伯》“子曰：篤信好學，守死善道，危邦不入，亂邦不居，天下有道則見，無道則隱。”《莊子·大宗師》：“夫大塊載我以形，勞我以生，佚我以老，息我以死。故善吾生者，乃所以善吾死也。”</w:t>
      </w:r>
      <w:r w:rsidRPr="00965627">
        <w:rPr>
          <w:rStyle w:val="ae"/>
          <w:rFonts w:cs="宋体"/>
          <w:color w:val="000000"/>
          <w:kern w:val="0"/>
          <w:sz w:val="28"/>
          <w:szCs w:val="24"/>
        </w:rPr>
        <w:endnoteReference w:id="11"/>
      </w:r>
      <w:r w:rsidRPr="0055724E">
        <w:rPr>
          <w:rFonts w:cs="宋体"/>
          <w:color w:val="000000"/>
          <w:kern w:val="0"/>
          <w:sz w:val="28"/>
          <w:szCs w:val="24"/>
        </w:rPr>
        <w:t>同篇：“故聖人將遊於物之所不得遯而皆存。善夭善老，善始善終，人猶效之，又況萬物之所係，而一化之所待乎。”《莊子·養生主》述庖丁言其解牛之事最後</w:t>
      </w:r>
      <w:r w:rsidRPr="0055724E">
        <w:rPr>
          <w:rFonts w:cs="宋体"/>
          <w:color w:val="000000"/>
          <w:kern w:val="0"/>
          <w:sz w:val="28"/>
          <w:szCs w:val="23"/>
        </w:rPr>
        <w:t>説</w:t>
      </w:r>
      <w:r w:rsidRPr="0055724E">
        <w:rPr>
          <w:rFonts w:cs="宋体"/>
          <w:color w:val="000000"/>
          <w:kern w:val="0"/>
          <w:sz w:val="28"/>
          <w:szCs w:val="24"/>
        </w:rPr>
        <w:t>他解牛之後“提刀而立，爲之四顧，爲之躊躇滿志，善刀而藏之”。《漢書·元帝紀》“元帝多材藝，善史書”</w:t>
      </w:r>
      <w:r w:rsidRPr="0055724E">
        <w:rPr>
          <w:rFonts w:cs="宋体"/>
          <w:b/>
          <w:bCs/>
          <w:color w:val="A0A0A0"/>
          <w:kern w:val="0"/>
          <w:sz w:val="21"/>
          <w:szCs w:val="21"/>
        </w:rPr>
        <w:t>（“善史書”之語又見同書《嚴延年傳》《外戚傳·孝成许皇后》，亦見《後漢書·樂成靖王黨傳》《和熹鄧太后傳》）</w:t>
      </w:r>
      <w:r w:rsidRPr="0055724E">
        <w:rPr>
          <w:rFonts w:cs="宋体"/>
          <w:color w:val="000000"/>
          <w:kern w:val="0"/>
          <w:sz w:val="28"/>
          <w:szCs w:val="24"/>
        </w:rPr>
        <w:t>，史書，舊以爲“周宣王太史史籀所作大篆”，段玉裁《</w:t>
      </w:r>
      <w:r w:rsidRPr="0055724E">
        <w:rPr>
          <w:rFonts w:cs="宋体"/>
          <w:color w:val="000000"/>
          <w:kern w:val="0"/>
          <w:sz w:val="28"/>
          <w:szCs w:val="23"/>
        </w:rPr>
        <w:t>説</w:t>
      </w:r>
      <w:r w:rsidRPr="0055724E">
        <w:rPr>
          <w:rFonts w:cs="宋体"/>
          <w:color w:val="000000"/>
          <w:kern w:val="0"/>
          <w:sz w:val="28"/>
          <w:szCs w:val="24"/>
        </w:rPr>
        <w:t>文·敘》注已經指出“史書”爲隸書，善史書“猶今人之工楷書”。</w:t>
      </w:r>
      <w:r w:rsidRPr="00965627">
        <w:rPr>
          <w:rStyle w:val="ae"/>
          <w:rFonts w:cs="宋体"/>
          <w:color w:val="000000"/>
          <w:kern w:val="0"/>
          <w:sz w:val="28"/>
          <w:szCs w:val="24"/>
        </w:rPr>
        <w:endnoteReference w:id="12"/>
      </w:r>
      <w:r w:rsidRPr="0055724E">
        <w:rPr>
          <w:rFonts w:cs="宋体"/>
          <w:color w:val="000000"/>
          <w:kern w:val="0"/>
          <w:sz w:val="28"/>
          <w:szCs w:val="24"/>
        </w:rPr>
        <w:t>《新論·離事》：“韓牧，字子臺，善水事。”《吴越</w:t>
      </w:r>
      <w:r w:rsidRPr="0055724E">
        <w:rPr>
          <w:rFonts w:cs="宋体"/>
          <w:color w:val="000000"/>
          <w:kern w:val="0"/>
          <w:sz w:val="28"/>
          <w:szCs w:val="24"/>
        </w:rPr>
        <w:lastRenderedPageBreak/>
        <w:t>春秋·勾踐陰謀外傳》：“（袁公）问於處女：‘吾聞子善劍，願一見之。’”時代稍後之例如“善《詩》”、“善《論》”</w:t>
      </w:r>
      <w:r w:rsidRPr="0055724E">
        <w:rPr>
          <w:rFonts w:cs="宋体"/>
          <w:b/>
          <w:bCs/>
          <w:color w:val="A0A0A0"/>
          <w:kern w:val="0"/>
          <w:sz w:val="21"/>
          <w:szCs w:val="21"/>
        </w:rPr>
        <w:t>（以上兩例見馬總《意林》卷五引西晋傅玄《傅子》）</w:t>
      </w:r>
      <w:r w:rsidRPr="0055724E">
        <w:rPr>
          <w:rFonts w:cs="宋体"/>
          <w:color w:val="000000"/>
          <w:kern w:val="0"/>
          <w:sz w:val="28"/>
          <w:szCs w:val="24"/>
        </w:rPr>
        <w:t>、“善草書”、“善音樂”、“善圍棋”</w:t>
      </w:r>
      <w:r w:rsidRPr="0055724E">
        <w:rPr>
          <w:rFonts w:cs="宋体"/>
          <w:b/>
          <w:bCs/>
          <w:color w:val="A0A0A0"/>
          <w:kern w:val="0"/>
          <w:sz w:val="21"/>
          <w:szCs w:val="21"/>
        </w:rPr>
        <w:t>（以上三例見《三國志》裴注引西晋張華《博物志》）</w:t>
      </w:r>
      <w:r w:rsidRPr="0055724E">
        <w:rPr>
          <w:rFonts w:cs="宋体"/>
          <w:color w:val="000000"/>
          <w:kern w:val="0"/>
          <w:sz w:val="28"/>
          <w:szCs w:val="24"/>
        </w:rPr>
        <w:t>、“善文章”</w:t>
      </w:r>
      <w:r w:rsidRPr="0055724E">
        <w:rPr>
          <w:rFonts w:cs="宋体"/>
          <w:b/>
          <w:bCs/>
          <w:color w:val="A0A0A0"/>
          <w:kern w:val="0"/>
          <w:sz w:val="21"/>
          <w:szCs w:val="21"/>
        </w:rPr>
        <w:t>（東晋袁宏《後漢紀·光武皇帝紀》、南朝宋范曄《後漢書·郅壽傳》。“文章”應指與經書、典籍有關的學問）</w:t>
      </w:r>
      <w:r w:rsidRPr="0055724E">
        <w:rPr>
          <w:rFonts w:cs="宋体"/>
          <w:color w:val="000000"/>
          <w:kern w:val="0"/>
          <w:sz w:val="28"/>
          <w:szCs w:val="24"/>
        </w:rPr>
        <w:t>、“善天文”</w:t>
      </w:r>
      <w:r w:rsidRPr="0055724E">
        <w:rPr>
          <w:rFonts w:cs="宋体"/>
          <w:b/>
          <w:bCs/>
          <w:color w:val="A0A0A0"/>
          <w:kern w:val="0"/>
          <w:sz w:val="21"/>
          <w:szCs w:val="21"/>
        </w:rPr>
        <w:t>（《後漢書·方士傳·高獲》）</w:t>
      </w:r>
      <w:r w:rsidRPr="0055724E">
        <w:rPr>
          <w:rFonts w:cs="宋体"/>
          <w:color w:val="000000"/>
          <w:kern w:val="0"/>
          <w:sz w:val="28"/>
          <w:szCs w:val="24"/>
        </w:rPr>
        <w:t>等，甚爲常見。以上所舉見於漢之後諸書之例所言皆爲漢人之事。</w:t>
      </w:r>
    </w:p>
    <w:p w14:paraId="74C30F27"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4"/>
        </w:rPr>
        <w:t>這種用例的意思，一般是</w:t>
      </w:r>
      <w:r w:rsidRPr="0055724E">
        <w:rPr>
          <w:rFonts w:cs="宋体"/>
          <w:color w:val="000000"/>
          <w:kern w:val="0"/>
          <w:sz w:val="28"/>
          <w:szCs w:val="23"/>
        </w:rPr>
        <w:t>説</w:t>
      </w:r>
      <w:r w:rsidRPr="0055724E">
        <w:rPr>
          <w:rFonts w:cs="宋体"/>
          <w:color w:val="000000"/>
          <w:kern w:val="0"/>
          <w:sz w:val="28"/>
          <w:szCs w:val="24"/>
        </w:rPr>
        <w:t>能把以所舉事物爲對象的某種或某些事做得很好，而這種或這些事是什麼在有關語境中通常是容易看出來的，但有</w:t>
      </w:r>
      <w:r w:rsidRPr="0055724E">
        <w:rPr>
          <w:rFonts w:cs="宋体"/>
          <w:color w:val="000000"/>
          <w:kern w:val="0"/>
          <w:sz w:val="28"/>
          <w:szCs w:val="28"/>
        </w:rPr>
        <w:t>時没有説出的</w:t>
      </w:r>
      <w:r w:rsidRPr="0055724E">
        <w:rPr>
          <w:rFonts w:cs="宋体"/>
          <w:color w:val="000000"/>
          <w:kern w:val="0"/>
          <w:sz w:val="28"/>
          <w:szCs w:val="24"/>
        </w:rPr>
        <w:t>意思雖然大體上可以體會到，要選一個把意思表現得全面、恰當的詞卻很困難。這也許是人們要使用這種句式的原因之一。下面對上引例子作一些解釋。《書·秦誓》的“善諞言”，應指善於用便巧的言語對君上產生不好的影響。《鄭武夫人規孺子》篇所</w:t>
      </w:r>
      <w:r w:rsidRPr="0055724E">
        <w:rPr>
          <w:rFonts w:cs="宋体"/>
          <w:color w:val="000000"/>
          <w:kern w:val="0"/>
          <w:sz w:val="28"/>
          <w:szCs w:val="28"/>
        </w:rPr>
        <w:t>説</w:t>
      </w:r>
      <w:r w:rsidRPr="0055724E">
        <w:rPr>
          <w:rFonts w:cs="宋体"/>
          <w:color w:val="000000"/>
          <w:kern w:val="0"/>
          <w:sz w:val="28"/>
          <w:szCs w:val="24"/>
        </w:rPr>
        <w:t>的“幸果善之”就是</w:t>
      </w:r>
      <w:r w:rsidRPr="0055724E">
        <w:rPr>
          <w:rFonts w:cs="宋体"/>
          <w:color w:val="000000"/>
          <w:kern w:val="0"/>
          <w:sz w:val="28"/>
          <w:szCs w:val="23"/>
        </w:rPr>
        <w:t>説</w:t>
      </w:r>
      <w:r w:rsidRPr="0055724E">
        <w:rPr>
          <w:rFonts w:cs="宋体"/>
          <w:color w:val="000000"/>
          <w:kern w:val="0"/>
          <w:sz w:val="28"/>
          <w:szCs w:val="24"/>
        </w:rPr>
        <w:t>如果大夫真的能把政事處理得很好，“如弗果善”就是</w:t>
      </w:r>
      <w:r w:rsidRPr="0055724E">
        <w:rPr>
          <w:rFonts w:cs="宋体"/>
          <w:color w:val="000000"/>
          <w:kern w:val="0"/>
          <w:sz w:val="28"/>
          <w:szCs w:val="23"/>
        </w:rPr>
        <w:t>説</w:t>
      </w:r>
      <w:r w:rsidRPr="0055724E">
        <w:rPr>
          <w:rFonts w:cs="宋体"/>
          <w:color w:val="000000"/>
          <w:kern w:val="0"/>
          <w:sz w:val="28"/>
          <w:szCs w:val="24"/>
        </w:rPr>
        <w:t>如果最終處理得不好。《國語·周語中》的“善禮”，應指能按照禮的精神原則把關於禮的事處理得很好，如果要</w:t>
      </w:r>
      <w:r w:rsidRPr="0055724E">
        <w:rPr>
          <w:rFonts w:cs="宋体"/>
          <w:color w:val="000000"/>
          <w:kern w:val="0"/>
          <w:sz w:val="28"/>
          <w:szCs w:val="23"/>
        </w:rPr>
        <w:t>説</w:t>
      </w:r>
      <w:r w:rsidRPr="0055724E">
        <w:rPr>
          <w:rFonts w:cs="宋体"/>
          <w:color w:val="000000"/>
          <w:kern w:val="0"/>
          <w:sz w:val="28"/>
          <w:szCs w:val="24"/>
        </w:rPr>
        <w:t>得簡單一點，也可以</w:t>
      </w:r>
      <w:r w:rsidRPr="0055724E">
        <w:rPr>
          <w:rFonts w:cs="宋体"/>
          <w:color w:val="000000"/>
          <w:kern w:val="0"/>
          <w:sz w:val="28"/>
          <w:szCs w:val="23"/>
        </w:rPr>
        <w:t>説</w:t>
      </w:r>
      <w:r w:rsidRPr="0055724E">
        <w:rPr>
          <w:rFonts w:cs="宋体"/>
          <w:color w:val="000000"/>
          <w:kern w:val="0"/>
          <w:sz w:val="28"/>
          <w:szCs w:val="24"/>
        </w:rPr>
        <w:t>是善爲禮</w:t>
      </w:r>
      <w:r w:rsidRPr="0055724E">
        <w:rPr>
          <w:rFonts w:cs="宋体"/>
          <w:b/>
          <w:bCs/>
          <w:color w:val="A0A0A0"/>
          <w:kern w:val="0"/>
          <w:sz w:val="21"/>
          <w:szCs w:val="21"/>
        </w:rPr>
        <w:t>（“爲禮”之語先秦古書屢見。下面所説的“爲道”先秦古書亦屢見）</w:t>
      </w:r>
      <w:r w:rsidRPr="0055724E">
        <w:rPr>
          <w:rFonts w:cs="宋体"/>
          <w:color w:val="000000"/>
          <w:kern w:val="0"/>
          <w:sz w:val="28"/>
          <w:szCs w:val="24"/>
        </w:rPr>
        <w:t>。《論語·泰伯》的“善道”，應指能按照道的精</w:t>
      </w:r>
      <w:r w:rsidRPr="0055724E">
        <w:rPr>
          <w:rFonts w:cs="宋体"/>
          <w:color w:val="000000"/>
          <w:kern w:val="0"/>
          <w:sz w:val="28"/>
          <w:szCs w:val="24"/>
        </w:rPr>
        <w:lastRenderedPageBreak/>
        <w:t>神原則把關於道的事處理得很好，也可以</w:t>
      </w:r>
      <w:r w:rsidRPr="0055724E">
        <w:rPr>
          <w:rFonts w:cs="宋体"/>
          <w:color w:val="000000"/>
          <w:kern w:val="0"/>
          <w:sz w:val="28"/>
          <w:szCs w:val="23"/>
        </w:rPr>
        <w:t>説</w:t>
      </w:r>
      <w:r w:rsidRPr="0055724E">
        <w:rPr>
          <w:rFonts w:cs="宋体"/>
          <w:color w:val="000000"/>
          <w:kern w:val="0"/>
          <w:sz w:val="28"/>
          <w:szCs w:val="24"/>
        </w:rPr>
        <w:t>是善爲道；“守死善道”就是</w:t>
      </w:r>
      <w:r w:rsidRPr="0055724E">
        <w:rPr>
          <w:rFonts w:cs="宋体"/>
          <w:color w:val="000000"/>
          <w:kern w:val="0"/>
          <w:sz w:val="28"/>
          <w:szCs w:val="23"/>
        </w:rPr>
        <w:t>説</w:t>
      </w:r>
      <w:r w:rsidRPr="0055724E">
        <w:rPr>
          <w:rFonts w:cs="宋体"/>
          <w:color w:val="000000"/>
          <w:kern w:val="0"/>
          <w:sz w:val="28"/>
          <w:szCs w:val="24"/>
        </w:rPr>
        <w:t>要很好地體道、行道，直至犧牲生命來守住道的原則，孔子</w:t>
      </w:r>
      <w:r w:rsidRPr="0055724E">
        <w:rPr>
          <w:rFonts w:cs="宋体"/>
          <w:color w:val="000000"/>
          <w:kern w:val="0"/>
          <w:sz w:val="28"/>
          <w:szCs w:val="23"/>
        </w:rPr>
        <w:t>説</w:t>
      </w:r>
      <w:r w:rsidRPr="0055724E">
        <w:rPr>
          <w:rFonts w:cs="宋体"/>
          <w:color w:val="000000"/>
          <w:kern w:val="0"/>
          <w:sz w:val="28"/>
          <w:szCs w:val="24"/>
        </w:rPr>
        <w:t>“志士仁人，無求生以害仁，有殺身以成仁”</w:t>
      </w:r>
      <w:r w:rsidRPr="0055724E">
        <w:rPr>
          <w:rFonts w:cs="宋体"/>
          <w:b/>
          <w:bCs/>
          <w:color w:val="A0A0A0"/>
          <w:kern w:val="0"/>
          <w:sz w:val="21"/>
          <w:szCs w:val="21"/>
        </w:rPr>
        <w:t>（《論語·衛靈公》）</w:t>
      </w:r>
      <w:r w:rsidRPr="0055724E">
        <w:rPr>
          <w:rFonts w:cs="宋体"/>
          <w:color w:val="000000"/>
          <w:kern w:val="0"/>
          <w:sz w:val="28"/>
          <w:szCs w:val="24"/>
        </w:rPr>
        <w:t>，就體現了以死守道的精神。《莊子·大宗師》中作爲“善”字賓語的“生”“死”“夭”“老”“始”“終”都應該看作是一種現象、狀態的名稱；“善吾生者，乃所以善吾死也”意思就是能很好地</w:t>
      </w:r>
      <w:r w:rsidRPr="0055724E">
        <w:rPr>
          <w:rFonts w:cs="宋体"/>
          <w:b/>
          <w:bCs/>
          <w:color w:val="A0A0A0"/>
          <w:kern w:val="0"/>
          <w:sz w:val="21"/>
          <w:szCs w:val="21"/>
        </w:rPr>
        <w:t>（也可以説正確地）</w:t>
      </w:r>
      <w:r w:rsidRPr="0055724E">
        <w:rPr>
          <w:rFonts w:cs="宋体"/>
          <w:color w:val="000000"/>
          <w:kern w:val="0"/>
          <w:sz w:val="28"/>
          <w:szCs w:val="24"/>
        </w:rPr>
        <w:t>對待我的生，就能很好地</w:t>
      </w:r>
      <w:r w:rsidRPr="0055724E">
        <w:rPr>
          <w:rFonts w:cs="宋体"/>
          <w:b/>
          <w:bCs/>
          <w:color w:val="A0A0A0"/>
          <w:kern w:val="0"/>
          <w:sz w:val="21"/>
          <w:szCs w:val="21"/>
        </w:rPr>
        <w:t>（或正確地）</w:t>
      </w:r>
      <w:r w:rsidRPr="0055724E">
        <w:rPr>
          <w:rFonts w:cs="宋体"/>
          <w:color w:val="000000"/>
          <w:kern w:val="0"/>
          <w:sz w:val="28"/>
          <w:szCs w:val="24"/>
        </w:rPr>
        <w:t>對待我的死；“善夭善老”就是能很好地</w:t>
      </w:r>
      <w:r w:rsidRPr="0055724E">
        <w:rPr>
          <w:rFonts w:cs="宋体"/>
          <w:b/>
          <w:bCs/>
          <w:color w:val="A0A0A0"/>
          <w:kern w:val="0"/>
          <w:sz w:val="21"/>
          <w:szCs w:val="21"/>
        </w:rPr>
        <w:t>（或正確地）</w:t>
      </w:r>
      <w:r w:rsidRPr="0055724E">
        <w:rPr>
          <w:rFonts w:cs="宋体"/>
          <w:color w:val="000000"/>
          <w:kern w:val="0"/>
          <w:sz w:val="28"/>
          <w:szCs w:val="24"/>
        </w:rPr>
        <w:t>對待夭、對待老的意思；“善始善終”的“始”和“終”其實也就指生和死，“善夭善老，善始善終，人猶效之，又況萬物之所係，而一化之所待乎”，意思就是“（聖人）能很好地</w:t>
      </w:r>
      <w:r w:rsidRPr="0055724E">
        <w:rPr>
          <w:rFonts w:cs="宋体"/>
          <w:b/>
          <w:bCs/>
          <w:color w:val="A0A0A0"/>
          <w:kern w:val="0"/>
          <w:sz w:val="21"/>
          <w:szCs w:val="21"/>
        </w:rPr>
        <w:t>（或正確地）</w:t>
      </w:r>
      <w:r w:rsidRPr="0055724E">
        <w:rPr>
          <w:rFonts w:cs="宋体"/>
          <w:color w:val="000000"/>
          <w:kern w:val="0"/>
          <w:sz w:val="28"/>
          <w:szCs w:val="24"/>
        </w:rPr>
        <w:t>對待夭和老、生和死，一般人都還要效法他，何況是對‘萬物之所係，而一化之所待’的道呢”。我們</w:t>
      </w:r>
      <w:r w:rsidRPr="0055724E">
        <w:rPr>
          <w:rFonts w:cs="宋体"/>
          <w:color w:val="000000"/>
          <w:kern w:val="0"/>
          <w:sz w:val="28"/>
          <w:szCs w:val="23"/>
        </w:rPr>
        <w:t>説</w:t>
      </w:r>
      <w:r w:rsidRPr="0055724E">
        <w:rPr>
          <w:rFonts w:cs="宋体"/>
          <w:color w:val="000000"/>
          <w:kern w:val="0"/>
          <w:sz w:val="28"/>
          <w:szCs w:val="24"/>
        </w:rPr>
        <w:t>，“善”有把事做得很好的意思，“做得很好”的一個重要方面就是做得正確</w:t>
      </w:r>
      <w:r w:rsidRPr="0055724E">
        <w:rPr>
          <w:rFonts w:cs="宋体"/>
          <w:b/>
          <w:bCs/>
          <w:color w:val="A0A0A0"/>
          <w:kern w:val="0"/>
          <w:sz w:val="21"/>
          <w:szCs w:val="21"/>
        </w:rPr>
        <w:t>[參看下文四（一）]</w:t>
      </w:r>
      <w:r w:rsidRPr="0055724E">
        <w:rPr>
          <w:rFonts w:cs="宋体"/>
          <w:color w:val="000000"/>
          <w:kern w:val="0"/>
          <w:sz w:val="28"/>
          <w:szCs w:val="24"/>
        </w:rPr>
        <w:t>，從上引《大宗師》文的語境來看，“善”似以理解爲“能正確地對待”爲較貼切。還應指出，“善始善終”的“始”和“終”就像現在所</w:t>
      </w:r>
      <w:r w:rsidRPr="0055724E">
        <w:rPr>
          <w:rFonts w:cs="宋体"/>
          <w:color w:val="000000"/>
          <w:kern w:val="0"/>
          <w:sz w:val="28"/>
          <w:szCs w:val="23"/>
        </w:rPr>
        <w:t>説</w:t>
      </w:r>
      <w:r w:rsidRPr="0055724E">
        <w:rPr>
          <w:rFonts w:cs="宋体"/>
          <w:color w:val="000000"/>
          <w:kern w:val="0"/>
          <w:sz w:val="28"/>
          <w:szCs w:val="24"/>
        </w:rPr>
        <w:t>的“開始”和“終結”一樣，既可以理解爲名詞性的，也可以理解爲動詞性的，例如《史記·陳丞相世家》文末用“豈不善始善終哉”來評價陳平的一生，“善始善終”的意思就是“既善於開</w:t>
      </w:r>
      <w:r w:rsidRPr="0055724E">
        <w:rPr>
          <w:rFonts w:cs="宋体"/>
          <w:color w:val="000000"/>
          <w:kern w:val="0"/>
          <w:sz w:val="28"/>
          <w:szCs w:val="24"/>
        </w:rPr>
        <w:lastRenderedPageBreak/>
        <w:t>始，也善於終結”，或者</w:t>
      </w:r>
      <w:r w:rsidRPr="0055724E">
        <w:rPr>
          <w:rFonts w:cs="宋体"/>
          <w:color w:val="000000"/>
          <w:kern w:val="0"/>
          <w:sz w:val="28"/>
          <w:szCs w:val="23"/>
        </w:rPr>
        <w:t>説</w:t>
      </w:r>
      <w:r w:rsidRPr="0055724E">
        <w:rPr>
          <w:rFonts w:cs="宋体"/>
          <w:color w:val="000000"/>
          <w:kern w:val="0"/>
          <w:sz w:val="28"/>
          <w:szCs w:val="24"/>
        </w:rPr>
        <w:t>“既能開始得很好，也能終結得很好”。但在上引《莊子》文中，顯然應該把“始”“終”理解爲名詞性的。《莊子·養生主》“善刀”之“善”，《經典釋文》以“猶拭”釋之，但“善”字本身並無“擦拭”之義，“善刀”也應該是“善”字直接以事物名稱爲賓語的一個例子。解牛後的刀當然需要好好擦拭，但也可能需要做塗油等其他保養工作，“善刀而藏之”似可理解爲認真把刀的清潔保養工作做好，把它藏起來。“善史書”是指善於寫隸書。“善水事”是指善於處理與治水有關的各種事。“善劍”是指善於用劍，也就是善於劍術。“善《詩》”、“善《論》”是</w:t>
      </w:r>
      <w:r w:rsidRPr="0055724E">
        <w:rPr>
          <w:rFonts w:cs="宋体"/>
          <w:color w:val="000000"/>
          <w:kern w:val="0"/>
          <w:sz w:val="28"/>
          <w:szCs w:val="23"/>
        </w:rPr>
        <w:t>説</w:t>
      </w:r>
      <w:r w:rsidRPr="0055724E">
        <w:rPr>
          <w:rFonts w:cs="宋体"/>
          <w:color w:val="000000"/>
          <w:kern w:val="0"/>
          <w:sz w:val="28"/>
          <w:szCs w:val="24"/>
        </w:rPr>
        <w:t>善於治《詩經》、治《論語》。“善草書”是指善於寫草書，“善音樂”是指精通音樂，“善圍棋”是指善於下圍棋。“善文章”、“善天文”是指精通文章、精通天文。我們今天還可以</w:t>
      </w:r>
      <w:r w:rsidRPr="0055724E">
        <w:rPr>
          <w:rFonts w:cs="宋体"/>
          <w:color w:val="000000"/>
          <w:kern w:val="0"/>
          <w:sz w:val="28"/>
          <w:szCs w:val="23"/>
        </w:rPr>
        <w:t>説</w:t>
      </w:r>
      <w:r w:rsidRPr="0055724E">
        <w:rPr>
          <w:rFonts w:cs="宋体"/>
          <w:color w:val="000000"/>
          <w:kern w:val="0"/>
          <w:sz w:val="28"/>
          <w:szCs w:val="24"/>
        </w:rPr>
        <w:t>“擅長英語”</w:t>
      </w:r>
      <w:r w:rsidRPr="0055724E">
        <w:rPr>
          <w:rFonts w:cs="宋体"/>
          <w:b/>
          <w:bCs/>
          <w:color w:val="A0A0A0"/>
          <w:kern w:val="0"/>
          <w:sz w:val="21"/>
          <w:szCs w:val="21"/>
        </w:rPr>
        <w:t>（擅長講英語、精通英語）</w:t>
      </w:r>
      <w:r w:rsidRPr="0055724E">
        <w:rPr>
          <w:rFonts w:cs="宋体"/>
          <w:color w:val="000000"/>
          <w:kern w:val="0"/>
          <w:sz w:val="28"/>
          <w:szCs w:val="24"/>
        </w:rPr>
        <w:t>、“擅長雜文”</w:t>
      </w:r>
      <w:r w:rsidRPr="0055724E">
        <w:rPr>
          <w:rFonts w:cs="宋体"/>
          <w:b/>
          <w:bCs/>
          <w:color w:val="A0A0A0"/>
          <w:kern w:val="0"/>
          <w:sz w:val="21"/>
          <w:szCs w:val="21"/>
        </w:rPr>
        <w:t>（擅長寫雜文）</w:t>
      </w:r>
      <w:r w:rsidRPr="0055724E">
        <w:rPr>
          <w:rFonts w:cs="宋体"/>
          <w:color w:val="000000"/>
          <w:kern w:val="0"/>
          <w:sz w:val="28"/>
          <w:szCs w:val="24"/>
        </w:rPr>
        <w:t>、“擅長圍棋”這一類話。當然，我們補出來的對有關對象所做的“事”大概也往往是不够全面的。</w:t>
      </w:r>
    </w:p>
    <w:p w14:paraId="6897376C" w14:textId="3FD1F57A" w:rsidR="009F4F5A" w:rsidRPr="0055724E" w:rsidRDefault="009F4F5A" w:rsidP="00445DA3">
      <w:pPr>
        <w:widowControl/>
        <w:spacing w:beforeLines="50" w:before="180" w:line="480" w:lineRule="auto"/>
        <w:jc w:val="left"/>
        <w:rPr>
          <w:rFonts w:cs="宋体"/>
          <w:kern w:val="0"/>
          <w:sz w:val="28"/>
          <w:szCs w:val="24"/>
        </w:rPr>
      </w:pPr>
      <w:r w:rsidRPr="0055724E">
        <w:rPr>
          <w:rFonts w:cs="宋体"/>
          <w:b/>
          <w:bCs/>
          <w:kern w:val="0"/>
          <w:sz w:val="28"/>
          <w:szCs w:val="24"/>
        </w:rPr>
        <w:t>2.</w:t>
      </w:r>
    </w:p>
    <w:p w14:paraId="13169E48"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4"/>
        </w:rPr>
        <w:t>下面討論一些“善”後直接以事物名稱爲賓語，但對“善”字的性質存在不同理解的例子。</w:t>
      </w:r>
    </w:p>
    <w:p w14:paraId="03163356"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4"/>
        </w:rPr>
        <w:lastRenderedPageBreak/>
        <w:t>《論語·衛靈公》：“工欲善其事，必先利其器。”“其事”，與“其器”爲對文，指工所從事的工作。皇侃在串講時把《論語》此句</w:t>
      </w:r>
      <w:r w:rsidRPr="0055724E">
        <w:rPr>
          <w:rFonts w:cs="宋体"/>
          <w:color w:val="000000"/>
          <w:kern w:val="0"/>
          <w:sz w:val="28"/>
          <w:szCs w:val="23"/>
        </w:rPr>
        <w:t>説</w:t>
      </w:r>
      <w:r w:rsidRPr="0055724E">
        <w:rPr>
          <w:rFonts w:cs="宋体"/>
          <w:color w:val="000000"/>
          <w:kern w:val="0"/>
          <w:sz w:val="28"/>
          <w:szCs w:val="24"/>
        </w:rPr>
        <w:t>成“如欲其所作事善，必先磨利其器也”，</w:t>
      </w:r>
      <w:r w:rsidRPr="00965627">
        <w:rPr>
          <w:rStyle w:val="ae"/>
          <w:rFonts w:cs="宋体"/>
          <w:color w:val="000000"/>
          <w:kern w:val="0"/>
          <w:sz w:val="28"/>
          <w:szCs w:val="24"/>
        </w:rPr>
        <w:endnoteReference w:id="13"/>
      </w:r>
      <w:r w:rsidRPr="0055724E">
        <w:rPr>
          <w:rFonts w:cs="宋体"/>
          <w:color w:val="000000"/>
          <w:kern w:val="0"/>
          <w:sz w:val="28"/>
          <w:szCs w:val="24"/>
        </w:rPr>
        <w:t>用我們現在的語法分析方法來</w:t>
      </w:r>
      <w:r w:rsidRPr="0055724E">
        <w:rPr>
          <w:rFonts w:cs="宋体"/>
          <w:color w:val="000000"/>
          <w:kern w:val="0"/>
          <w:sz w:val="28"/>
          <w:szCs w:val="23"/>
        </w:rPr>
        <w:t>説</w:t>
      </w:r>
      <w:r w:rsidRPr="0055724E">
        <w:rPr>
          <w:rFonts w:cs="宋体"/>
          <w:color w:val="000000"/>
          <w:kern w:val="0"/>
          <w:sz w:val="28"/>
          <w:szCs w:val="24"/>
        </w:rPr>
        <w:t>，他應該是把此句的“善”字看成是由形容詞充當的使動詞的。今人翻譯《論語》此句者如孫欽善譯爲“工匠想把他的活計做好，必須先使他的工具用起來便利”，</w:t>
      </w:r>
      <w:r w:rsidRPr="00965627">
        <w:rPr>
          <w:rStyle w:val="ae"/>
          <w:rFonts w:cs="宋体"/>
          <w:color w:val="000000"/>
          <w:kern w:val="0"/>
          <w:sz w:val="28"/>
          <w:szCs w:val="24"/>
        </w:rPr>
        <w:endnoteReference w:id="14"/>
      </w:r>
      <w:r w:rsidRPr="0055724E">
        <w:rPr>
          <w:rFonts w:cs="宋体"/>
          <w:color w:val="000000"/>
          <w:kern w:val="0"/>
          <w:sz w:val="28"/>
          <w:szCs w:val="24"/>
        </w:rPr>
        <w:t>楊朝明譯爲“做工的人要把他的工作做好，必須先使他的工具得心應手”，</w:t>
      </w:r>
      <w:r w:rsidRPr="00965627">
        <w:rPr>
          <w:rStyle w:val="ae"/>
          <w:rFonts w:cs="宋体"/>
          <w:color w:val="000000"/>
          <w:kern w:val="0"/>
          <w:sz w:val="28"/>
          <w:szCs w:val="24"/>
        </w:rPr>
        <w:endnoteReference w:id="15"/>
      </w:r>
      <w:r w:rsidRPr="0055724E">
        <w:rPr>
          <w:rFonts w:cs="宋体"/>
          <w:color w:val="000000"/>
          <w:kern w:val="0"/>
          <w:sz w:val="28"/>
          <w:szCs w:val="24"/>
        </w:rPr>
        <w:t>似乎都只將“利”看作由形容詞充當的使動詞，而把“善”的意思理解爲“做好”，屬於《現代漢語詞典》“善”字的“辦好；弄好”這一義項。</w:t>
      </w:r>
      <w:r w:rsidRPr="00965627">
        <w:rPr>
          <w:rStyle w:val="ae"/>
          <w:rFonts w:cs="宋体"/>
          <w:color w:val="000000"/>
          <w:kern w:val="0"/>
          <w:sz w:val="28"/>
          <w:szCs w:val="24"/>
        </w:rPr>
        <w:endnoteReference w:id="16"/>
      </w:r>
      <w:r w:rsidRPr="0055724E">
        <w:rPr>
          <w:rFonts w:cs="宋体"/>
          <w:color w:val="000000"/>
          <w:kern w:val="0"/>
          <w:sz w:val="28"/>
          <w:szCs w:val="24"/>
        </w:rPr>
        <w:t>所以“善其事”也應該屬於“善”直接以事物名稱爲賓語的例子。“工欲善其事”，就是“工人要把他從事的工作做得很好”的意思。我們現在常用的“善後”一語，一般認爲出自《孫子•作戰》篇“雖有智者，不能善其後矣”，“謂妥善處理事情發生後的遺留問題”，</w:t>
      </w:r>
      <w:r w:rsidRPr="00965627">
        <w:rPr>
          <w:rStyle w:val="ae"/>
          <w:rFonts w:cs="宋体"/>
          <w:color w:val="000000"/>
          <w:kern w:val="0"/>
          <w:sz w:val="28"/>
          <w:szCs w:val="24"/>
        </w:rPr>
        <w:endnoteReference w:id="17"/>
      </w:r>
      <w:r w:rsidRPr="0055724E">
        <w:rPr>
          <w:rFonts w:cs="宋体"/>
          <w:color w:val="000000"/>
          <w:kern w:val="0"/>
          <w:sz w:val="28"/>
          <w:szCs w:val="24"/>
        </w:rPr>
        <w:t>其實“善其後”的“後”可以理解爲後面的事情，“雖有智者，不能善其後矣”意思就是</w:t>
      </w:r>
      <w:r w:rsidRPr="0055724E">
        <w:rPr>
          <w:rFonts w:cs="宋体"/>
          <w:color w:val="000000"/>
          <w:kern w:val="0"/>
          <w:sz w:val="28"/>
          <w:szCs w:val="23"/>
        </w:rPr>
        <w:t>説</w:t>
      </w:r>
      <w:r w:rsidRPr="0055724E">
        <w:rPr>
          <w:rFonts w:cs="宋体"/>
          <w:color w:val="000000"/>
          <w:kern w:val="0"/>
          <w:sz w:val="28"/>
          <w:szCs w:val="24"/>
        </w:rPr>
        <w:t>即使是智者也處理不好這後面的事情了，“善其後”的結構與“善其事”相近。</w:t>
      </w:r>
    </w:p>
    <w:p w14:paraId="1A5489F9"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4"/>
        </w:rPr>
        <w:t>《孟子·盡心上》：“故士窮不失義，達不離道。……古之人，得志，澤加於民；不得志，脩身見於世。窮則獨善其身，達則兼善天</w:t>
      </w:r>
      <w:r w:rsidRPr="0055724E">
        <w:rPr>
          <w:rFonts w:cs="宋体"/>
          <w:color w:val="000000"/>
          <w:kern w:val="0"/>
          <w:sz w:val="28"/>
          <w:szCs w:val="24"/>
        </w:rPr>
        <w:lastRenderedPageBreak/>
        <w:t>下。”近時出版的一些比較通俗的《孟子》讀本或成語詞典中，有的將“窮則獨善其身，達則兼善天下”譯爲“困窘時使自己完善，顯達時同時使天下人都完善”，</w:t>
      </w:r>
      <w:r w:rsidRPr="00965627">
        <w:rPr>
          <w:rStyle w:val="ae"/>
          <w:rFonts w:cs="宋体"/>
          <w:color w:val="000000"/>
          <w:kern w:val="0"/>
          <w:sz w:val="28"/>
          <w:szCs w:val="24"/>
        </w:rPr>
        <w:endnoteReference w:id="18"/>
      </w:r>
      <w:r w:rsidRPr="0055724E">
        <w:rPr>
          <w:rFonts w:cs="宋体"/>
          <w:color w:val="000000"/>
          <w:kern w:val="0"/>
          <w:sz w:val="28"/>
          <w:szCs w:val="24"/>
        </w:rPr>
        <w:t>明顯把“善”看作使動詞。有的譯爲“不做官就修養好自身，做官就治理好天下”，</w:t>
      </w:r>
      <w:r w:rsidRPr="00965627">
        <w:rPr>
          <w:rStyle w:val="ae"/>
          <w:rFonts w:cs="宋体"/>
          <w:color w:val="000000"/>
          <w:kern w:val="0"/>
          <w:sz w:val="28"/>
          <w:szCs w:val="24"/>
        </w:rPr>
        <w:endnoteReference w:id="19"/>
      </w:r>
      <w:r w:rsidRPr="0055724E">
        <w:rPr>
          <w:rFonts w:cs="宋体"/>
          <w:color w:val="000000"/>
          <w:kern w:val="0"/>
          <w:sz w:val="28"/>
          <w:szCs w:val="24"/>
        </w:rPr>
        <w:t>似乎是取詞典中釋“善”爲“辦好；弄好”一類含義的。不過，有一種名爲《</w:t>
      </w:r>
      <w:r w:rsidRPr="0055724E">
        <w:rPr>
          <w:rFonts w:cs="宋体"/>
          <w:color w:val="000000"/>
          <w:kern w:val="0"/>
          <w:sz w:val="28"/>
          <w:szCs w:val="23"/>
        </w:rPr>
        <w:t>説</w:t>
      </w:r>
      <w:r w:rsidRPr="0055724E">
        <w:rPr>
          <w:rFonts w:cs="宋体"/>
          <w:color w:val="000000"/>
          <w:kern w:val="0"/>
          <w:sz w:val="28"/>
          <w:szCs w:val="24"/>
        </w:rPr>
        <w:t>成語話管理》的書在對上引《孟子》兩句的“釋義”中</w:t>
      </w:r>
      <w:r w:rsidRPr="0055724E">
        <w:rPr>
          <w:rFonts w:cs="宋体"/>
          <w:color w:val="000000"/>
          <w:kern w:val="0"/>
          <w:sz w:val="28"/>
          <w:szCs w:val="23"/>
        </w:rPr>
        <w:t>説</w:t>
      </w:r>
      <w:r w:rsidRPr="0055724E">
        <w:rPr>
          <w:rFonts w:cs="宋体"/>
          <w:color w:val="000000"/>
          <w:kern w:val="0"/>
          <w:sz w:val="28"/>
          <w:szCs w:val="24"/>
        </w:rPr>
        <w:t>：“善，使之善，指修養或治理。……窮困不得志時，就獨自把個人的才德修養好；得志做了大官，就同時也把天下治理好，讓老百姓都能得到好處。”</w:t>
      </w:r>
      <w:r w:rsidRPr="00965627">
        <w:rPr>
          <w:rStyle w:val="ae"/>
          <w:rFonts w:cs="宋体"/>
          <w:color w:val="000000"/>
          <w:kern w:val="0"/>
          <w:sz w:val="28"/>
          <w:szCs w:val="24"/>
        </w:rPr>
        <w:endnoteReference w:id="20"/>
      </w:r>
      <w:r w:rsidRPr="0055724E">
        <w:rPr>
          <w:rFonts w:cs="宋体"/>
          <w:color w:val="000000"/>
          <w:kern w:val="0"/>
          <w:sz w:val="28"/>
          <w:szCs w:val="24"/>
        </w:rPr>
        <w:t>可見作上引後一種翻譯的人在語法分析上也不是</w:t>
      </w:r>
      <w:r w:rsidRPr="0055724E">
        <w:rPr>
          <w:rFonts w:cs="宋体"/>
          <w:color w:val="000000"/>
          <w:kern w:val="0"/>
          <w:sz w:val="28"/>
          <w:szCs w:val="23"/>
        </w:rPr>
        <w:t>没</w:t>
      </w:r>
      <w:r w:rsidRPr="0055724E">
        <w:rPr>
          <w:rFonts w:cs="宋体"/>
          <w:color w:val="000000"/>
          <w:kern w:val="0"/>
          <w:sz w:val="28"/>
          <w:szCs w:val="24"/>
        </w:rPr>
        <w:t>有可能仍把這裏的“善”看作使動詞的。我們認爲，《孟子》這兩句也是“善”直接以事物名稱爲賓語的例子。前面已經指出，這種用例的意思，一般是</w:t>
      </w:r>
      <w:r w:rsidRPr="0055724E">
        <w:rPr>
          <w:rFonts w:cs="宋体"/>
          <w:color w:val="000000"/>
          <w:kern w:val="0"/>
          <w:sz w:val="28"/>
          <w:szCs w:val="23"/>
        </w:rPr>
        <w:t>説</w:t>
      </w:r>
      <w:r w:rsidRPr="0055724E">
        <w:rPr>
          <w:rFonts w:cs="宋体"/>
          <w:color w:val="000000"/>
          <w:kern w:val="0"/>
          <w:sz w:val="28"/>
          <w:szCs w:val="24"/>
        </w:rPr>
        <w:t>能把以所舉事物爲對象的某種或某些事做得很好，而這種或這些事是什麼在有關語境中通常是容易看出來的。各家的解釋和翻譯中所</w:t>
      </w:r>
      <w:r w:rsidRPr="0055724E">
        <w:rPr>
          <w:rFonts w:cs="宋体"/>
          <w:color w:val="000000"/>
          <w:kern w:val="0"/>
          <w:sz w:val="28"/>
          <w:szCs w:val="23"/>
        </w:rPr>
        <w:t>説</w:t>
      </w:r>
      <w:r w:rsidRPr="0055724E">
        <w:rPr>
          <w:rFonts w:cs="宋体"/>
          <w:color w:val="000000"/>
          <w:kern w:val="0"/>
          <w:sz w:val="28"/>
          <w:szCs w:val="24"/>
        </w:rPr>
        <w:t>的“修養”“治理”，就是我們所</w:t>
      </w:r>
      <w:r w:rsidRPr="0055724E">
        <w:rPr>
          <w:rFonts w:cs="宋体"/>
          <w:color w:val="000000"/>
          <w:kern w:val="0"/>
          <w:sz w:val="28"/>
          <w:szCs w:val="23"/>
        </w:rPr>
        <w:t>説</w:t>
      </w:r>
      <w:r w:rsidRPr="0055724E">
        <w:rPr>
          <w:rFonts w:cs="宋体"/>
          <w:color w:val="000000"/>
          <w:kern w:val="0"/>
          <w:sz w:val="28"/>
          <w:szCs w:val="24"/>
        </w:rPr>
        <w:t>的在這種“善”字結構中</w:t>
      </w:r>
      <w:r w:rsidRPr="0055724E">
        <w:rPr>
          <w:rFonts w:cs="宋体"/>
          <w:color w:val="000000"/>
          <w:kern w:val="0"/>
          <w:sz w:val="28"/>
          <w:szCs w:val="23"/>
        </w:rPr>
        <w:t>没</w:t>
      </w:r>
      <w:r w:rsidRPr="0055724E">
        <w:rPr>
          <w:rFonts w:cs="宋体"/>
          <w:color w:val="000000"/>
          <w:kern w:val="0"/>
          <w:sz w:val="28"/>
          <w:szCs w:val="24"/>
        </w:rPr>
        <w:t>有明白</w:t>
      </w:r>
      <w:r w:rsidRPr="0055724E">
        <w:rPr>
          <w:rFonts w:cs="宋体"/>
          <w:color w:val="000000"/>
          <w:kern w:val="0"/>
          <w:sz w:val="28"/>
          <w:szCs w:val="23"/>
        </w:rPr>
        <w:t>説</w:t>
      </w:r>
      <w:r w:rsidRPr="0055724E">
        <w:rPr>
          <w:rFonts w:cs="宋体"/>
          <w:color w:val="000000"/>
          <w:kern w:val="0"/>
          <w:sz w:val="28"/>
          <w:szCs w:val="24"/>
        </w:rPr>
        <w:t>出來的“事”。但應指出，“治”除“治理，修治”之義外，也含有“修養”之義，《漢語大字典》“治”字條有“修養”這一義項，所引用例第一條是《荀子·解蔽》篇的“仁者之思也恭，聖者之思也樂，此治心之道也”，《漢語大詞典》有“治心”條，釋義爲“修養自身的</w:t>
      </w:r>
      <w:r w:rsidRPr="0055724E">
        <w:rPr>
          <w:rFonts w:cs="宋体"/>
          <w:color w:val="000000"/>
          <w:kern w:val="0"/>
          <w:sz w:val="28"/>
          <w:szCs w:val="24"/>
        </w:rPr>
        <w:lastRenderedPageBreak/>
        <w:t>思想品德”。古有“治身”“治躬”之語，如《韓非子·解老》“今治身而外物不能亂其精神，故曰‘脩之身其德乃真’”，《禮記·樂記》“致樂以治心則易直子諒之心油然生矣……致禮以治躬則莊敬……”，所以如果用古漢語來</w:t>
      </w:r>
      <w:r w:rsidRPr="0055724E">
        <w:rPr>
          <w:rFonts w:cs="宋体"/>
          <w:color w:val="000000"/>
          <w:kern w:val="0"/>
          <w:sz w:val="28"/>
          <w:szCs w:val="23"/>
        </w:rPr>
        <w:t>説</w:t>
      </w:r>
      <w:r w:rsidRPr="0055724E">
        <w:rPr>
          <w:rFonts w:cs="宋体"/>
          <w:color w:val="000000"/>
          <w:kern w:val="0"/>
          <w:sz w:val="28"/>
          <w:szCs w:val="24"/>
        </w:rPr>
        <w:t>，“獨善其身”“兼善天下”兩個“善”字後面</w:t>
      </w:r>
      <w:r w:rsidRPr="0055724E">
        <w:rPr>
          <w:rFonts w:cs="宋体"/>
          <w:color w:val="000000"/>
          <w:kern w:val="0"/>
          <w:sz w:val="28"/>
          <w:szCs w:val="23"/>
        </w:rPr>
        <w:t>没</w:t>
      </w:r>
      <w:r w:rsidRPr="0055724E">
        <w:rPr>
          <w:rFonts w:cs="宋体"/>
          <w:color w:val="000000"/>
          <w:kern w:val="0"/>
          <w:sz w:val="28"/>
          <w:szCs w:val="24"/>
        </w:rPr>
        <w:t>有</w:t>
      </w:r>
      <w:r w:rsidRPr="0055724E">
        <w:rPr>
          <w:rFonts w:cs="宋体"/>
          <w:color w:val="000000"/>
          <w:kern w:val="0"/>
          <w:sz w:val="28"/>
          <w:szCs w:val="23"/>
        </w:rPr>
        <w:t>説</w:t>
      </w:r>
      <w:r w:rsidRPr="0055724E">
        <w:rPr>
          <w:rFonts w:cs="宋体"/>
          <w:color w:val="000000"/>
          <w:kern w:val="0"/>
          <w:sz w:val="28"/>
          <w:szCs w:val="24"/>
        </w:rPr>
        <w:t>出來的“事”可以統一</w:t>
      </w:r>
      <w:r w:rsidRPr="0055724E">
        <w:rPr>
          <w:rFonts w:cs="宋体"/>
          <w:color w:val="000000"/>
          <w:kern w:val="0"/>
          <w:sz w:val="28"/>
          <w:szCs w:val="23"/>
        </w:rPr>
        <w:t>説</w:t>
      </w:r>
      <w:r w:rsidRPr="0055724E">
        <w:rPr>
          <w:rFonts w:cs="宋体"/>
          <w:color w:val="000000"/>
          <w:kern w:val="0"/>
          <w:sz w:val="28"/>
          <w:szCs w:val="24"/>
        </w:rPr>
        <w:t>成“治”。我們把《論語》的“善其事”解釋成“把他從事的工作做得很好”，“做得很好”的“做”其實也是這種結構中</w:t>
      </w:r>
      <w:r w:rsidRPr="0055724E">
        <w:rPr>
          <w:rFonts w:cs="宋体"/>
          <w:color w:val="000000"/>
          <w:kern w:val="0"/>
          <w:sz w:val="28"/>
          <w:szCs w:val="23"/>
        </w:rPr>
        <w:t>没</w:t>
      </w:r>
      <w:r w:rsidRPr="0055724E">
        <w:rPr>
          <w:rFonts w:cs="宋体"/>
          <w:color w:val="000000"/>
          <w:kern w:val="0"/>
          <w:sz w:val="28"/>
          <w:szCs w:val="24"/>
        </w:rPr>
        <w:t>有明白</w:t>
      </w:r>
      <w:r w:rsidRPr="0055724E">
        <w:rPr>
          <w:rFonts w:cs="宋体"/>
          <w:color w:val="000000"/>
          <w:kern w:val="0"/>
          <w:sz w:val="28"/>
          <w:szCs w:val="23"/>
        </w:rPr>
        <w:t>説</w:t>
      </w:r>
      <w:r w:rsidRPr="0055724E">
        <w:rPr>
          <w:rFonts w:cs="宋体"/>
          <w:color w:val="000000"/>
          <w:kern w:val="0"/>
          <w:sz w:val="28"/>
          <w:szCs w:val="24"/>
        </w:rPr>
        <w:t>出來的“事”，但由於這一句的賓語就是“事”，這種省而未</w:t>
      </w:r>
      <w:r w:rsidRPr="0055724E">
        <w:rPr>
          <w:rFonts w:cs="宋体"/>
          <w:color w:val="000000"/>
          <w:kern w:val="0"/>
          <w:sz w:val="28"/>
          <w:szCs w:val="23"/>
        </w:rPr>
        <w:t>説</w:t>
      </w:r>
      <w:r w:rsidRPr="0055724E">
        <w:rPr>
          <w:rFonts w:cs="宋体"/>
          <w:color w:val="000000"/>
          <w:kern w:val="0"/>
          <w:sz w:val="28"/>
          <w:szCs w:val="24"/>
        </w:rPr>
        <w:t>就不明顯了。</w:t>
      </w:r>
    </w:p>
    <w:p w14:paraId="1926FC56"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4"/>
        </w:rPr>
        <w:t>《吕氏春秋·先己》：“故善響者不於響於聲，善影者不於影於形，爲天下者不於天下於身。”從我們看到的幾種《</w:t>
      </w:r>
      <w:r w:rsidRPr="0055724E">
        <w:rPr>
          <w:rFonts w:cs="宋体"/>
          <w:color w:val="000000"/>
          <w:kern w:val="0"/>
          <w:sz w:val="28"/>
          <w:szCs w:val="23"/>
        </w:rPr>
        <w:t>吕</w:t>
      </w:r>
      <w:r w:rsidRPr="0055724E">
        <w:rPr>
          <w:rFonts w:cs="宋体"/>
          <w:color w:val="000000"/>
          <w:kern w:val="0"/>
          <w:sz w:val="28"/>
          <w:szCs w:val="24"/>
        </w:rPr>
        <w:t>氏春秋》的今譯看，</w:t>
      </w:r>
      <w:r w:rsidRPr="00965627">
        <w:rPr>
          <w:rStyle w:val="ae"/>
          <w:rFonts w:cs="宋体"/>
          <w:color w:val="000000"/>
          <w:kern w:val="0"/>
          <w:sz w:val="28"/>
          <w:szCs w:val="24"/>
        </w:rPr>
        <w:endnoteReference w:id="21"/>
      </w:r>
      <w:r w:rsidRPr="0055724E">
        <w:rPr>
          <w:rFonts w:cs="宋体"/>
          <w:color w:val="000000"/>
          <w:kern w:val="0"/>
          <w:sz w:val="28"/>
          <w:szCs w:val="24"/>
        </w:rPr>
        <w:t>一般是將“善”看作由形容詞充當的使動詞的，</w:t>
      </w:r>
      <w:r w:rsidRPr="00965627">
        <w:rPr>
          <w:rStyle w:val="ae"/>
          <w:rFonts w:cs="宋体"/>
          <w:color w:val="000000"/>
          <w:kern w:val="0"/>
          <w:sz w:val="28"/>
          <w:szCs w:val="24"/>
        </w:rPr>
        <w:endnoteReference w:id="22"/>
      </w:r>
      <w:r w:rsidRPr="0055724E">
        <w:rPr>
          <w:rFonts w:cs="宋体"/>
          <w:color w:val="000000"/>
          <w:kern w:val="0"/>
          <w:sz w:val="28"/>
          <w:szCs w:val="24"/>
        </w:rPr>
        <w:t>我們認爲，此條也屬於“善”與作爲賓語的事物名稱之間</w:t>
      </w:r>
      <w:r w:rsidRPr="0055724E">
        <w:rPr>
          <w:rFonts w:cs="宋体"/>
          <w:color w:val="000000"/>
          <w:kern w:val="0"/>
          <w:sz w:val="28"/>
          <w:szCs w:val="23"/>
        </w:rPr>
        <w:t>没</w:t>
      </w:r>
      <w:r w:rsidRPr="0055724E">
        <w:rPr>
          <w:rFonts w:cs="宋体"/>
          <w:color w:val="000000"/>
          <w:kern w:val="0"/>
          <w:sz w:val="28"/>
          <w:szCs w:val="24"/>
        </w:rPr>
        <w:t>有</w:t>
      </w:r>
      <w:r w:rsidRPr="0055724E">
        <w:rPr>
          <w:rFonts w:cs="宋体"/>
          <w:color w:val="000000"/>
          <w:kern w:val="0"/>
          <w:sz w:val="28"/>
          <w:szCs w:val="23"/>
        </w:rPr>
        <w:t>説</w:t>
      </w:r>
      <w:r w:rsidRPr="0055724E">
        <w:rPr>
          <w:rFonts w:cs="宋体"/>
          <w:color w:val="000000"/>
          <w:kern w:val="0"/>
          <w:sz w:val="28"/>
          <w:szCs w:val="24"/>
        </w:rPr>
        <w:t>出有關的“事”的例子。《</w:t>
      </w:r>
      <w:r w:rsidRPr="0055724E">
        <w:rPr>
          <w:rFonts w:cs="宋体"/>
          <w:color w:val="000000"/>
          <w:kern w:val="0"/>
          <w:sz w:val="28"/>
          <w:szCs w:val="23"/>
        </w:rPr>
        <w:t>吕</w:t>
      </w:r>
      <w:r w:rsidRPr="0055724E">
        <w:rPr>
          <w:rFonts w:cs="宋体"/>
          <w:color w:val="000000"/>
          <w:kern w:val="0"/>
          <w:sz w:val="28"/>
          <w:szCs w:val="24"/>
        </w:rPr>
        <w:t>氏春秋》這段話以“善響者不於響於聲，善影者不於影於形”來</w:t>
      </w:r>
      <w:r w:rsidRPr="0055724E">
        <w:rPr>
          <w:rFonts w:cs="宋体"/>
          <w:color w:val="000000"/>
          <w:kern w:val="0"/>
          <w:sz w:val="28"/>
          <w:szCs w:val="23"/>
        </w:rPr>
        <w:t>説</w:t>
      </w:r>
      <w:r w:rsidRPr="0055724E">
        <w:rPr>
          <w:rFonts w:cs="宋体"/>
          <w:color w:val="000000"/>
          <w:kern w:val="0"/>
          <w:sz w:val="28"/>
          <w:szCs w:val="24"/>
        </w:rPr>
        <w:t>明“爲天下者”必須先把自身修養好，“善響者不於響於聲，善影者不於影於形”的意思是</w:t>
      </w:r>
      <w:r w:rsidRPr="0055724E">
        <w:rPr>
          <w:rFonts w:cs="宋体"/>
          <w:color w:val="000000"/>
          <w:kern w:val="0"/>
          <w:sz w:val="28"/>
          <w:szCs w:val="23"/>
        </w:rPr>
        <w:t>説</w:t>
      </w:r>
      <w:r w:rsidRPr="0055724E">
        <w:rPr>
          <w:rFonts w:cs="宋体"/>
          <w:color w:val="000000"/>
          <w:kern w:val="0"/>
          <w:sz w:val="28"/>
          <w:szCs w:val="24"/>
        </w:rPr>
        <w:t>要把迴響弄得好</w:t>
      </w:r>
      <w:r w:rsidRPr="0055724E">
        <w:rPr>
          <w:rFonts w:cs="宋体"/>
          <w:b/>
          <w:bCs/>
          <w:color w:val="A0A0A0"/>
          <w:kern w:val="0"/>
          <w:sz w:val="21"/>
          <w:szCs w:val="21"/>
        </w:rPr>
        <w:t>（如要其音洪大清晰等）</w:t>
      </w:r>
      <w:r w:rsidRPr="0055724E">
        <w:rPr>
          <w:rFonts w:cs="宋体"/>
          <w:color w:val="000000"/>
          <w:kern w:val="0"/>
          <w:sz w:val="28"/>
          <w:szCs w:val="24"/>
        </w:rPr>
        <w:t>，必須把產生迴響的聲音搞好，要把影子弄得好</w:t>
      </w:r>
      <w:r w:rsidRPr="0055724E">
        <w:rPr>
          <w:rFonts w:cs="宋体"/>
          <w:b/>
          <w:bCs/>
          <w:color w:val="A0A0A0"/>
          <w:kern w:val="0"/>
          <w:sz w:val="21"/>
          <w:szCs w:val="21"/>
        </w:rPr>
        <w:t>（如要影子顯得端正美好等）</w:t>
      </w:r>
      <w:r w:rsidRPr="0055724E">
        <w:rPr>
          <w:rFonts w:cs="宋体"/>
          <w:color w:val="000000"/>
          <w:kern w:val="0"/>
          <w:sz w:val="28"/>
          <w:szCs w:val="24"/>
        </w:rPr>
        <w:t>，必須把產生影子的原形搞好。</w:t>
      </w:r>
    </w:p>
    <w:p w14:paraId="79B80ECB" w14:textId="7A293018" w:rsidR="009F4F5A" w:rsidRPr="0055724E" w:rsidRDefault="009F4F5A" w:rsidP="00445DA3">
      <w:pPr>
        <w:widowControl/>
        <w:spacing w:beforeLines="50" w:before="180" w:line="480" w:lineRule="auto"/>
        <w:jc w:val="left"/>
        <w:rPr>
          <w:rFonts w:cs="宋体"/>
          <w:kern w:val="0"/>
          <w:sz w:val="28"/>
          <w:szCs w:val="24"/>
        </w:rPr>
      </w:pPr>
      <w:r w:rsidRPr="0055724E">
        <w:rPr>
          <w:rFonts w:cs="宋体"/>
          <w:b/>
          <w:bCs/>
          <w:kern w:val="0"/>
          <w:sz w:val="28"/>
          <w:szCs w:val="24"/>
        </w:rPr>
        <w:t>3.</w:t>
      </w:r>
    </w:p>
    <w:p w14:paraId="4CF22C69"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4"/>
        </w:rPr>
        <w:lastRenderedPageBreak/>
        <w:t>但是先秦漢語中也有帶賓語的“善”可能是使動詞的用例，如《禮記·樂記》：“樂也者，聖人之所樂也，而可以善民心。其感人深，其移風易俗，故先王著其教焉。”“善民心”的“善”，其用法可以看作與上引《孟子·盡心上》“善其身”之“善”相類，可以理解爲能把民心“治”得很好或修養得很好。但是，後面會</w:t>
      </w:r>
      <w:r w:rsidRPr="0055724E">
        <w:rPr>
          <w:rFonts w:cs="宋体"/>
          <w:color w:val="000000"/>
          <w:kern w:val="0"/>
          <w:sz w:val="28"/>
          <w:szCs w:val="23"/>
        </w:rPr>
        <w:t>説</w:t>
      </w:r>
      <w:r w:rsidRPr="0055724E">
        <w:rPr>
          <w:rFonts w:cs="宋体"/>
          <w:color w:val="000000"/>
          <w:kern w:val="0"/>
          <w:sz w:val="28"/>
          <w:szCs w:val="24"/>
        </w:rPr>
        <w:t>到，在先秦時代“善”字除了有“把事做得很好”的意思之外，也已經有了“把人做得很好”的意思，先秦時已有“善心”一語，但其含義與今天當“好心腸”講的“善心”不同，指的是想把事、把人做好的存心，《禮記·樂記》講先王“立樂之方”時就强調要使樂“足以感動人之善心”</w:t>
      </w:r>
      <w:r w:rsidRPr="0055724E">
        <w:rPr>
          <w:rFonts w:cs="宋体"/>
          <w:b/>
          <w:bCs/>
          <w:color w:val="A0A0A0"/>
          <w:kern w:val="0"/>
          <w:sz w:val="21"/>
          <w:szCs w:val="21"/>
        </w:rPr>
        <w:t>[四（二）]</w:t>
      </w:r>
      <w:r w:rsidRPr="0055724E">
        <w:rPr>
          <w:rFonts w:cs="宋体"/>
          <w:color w:val="000000"/>
          <w:kern w:val="0"/>
          <w:sz w:val="28"/>
          <w:szCs w:val="24"/>
        </w:rPr>
        <w:t>，“善民心”也可以理解爲使民心變善，那麼“善”就是一個使動詞了。</w:t>
      </w:r>
    </w:p>
    <w:p w14:paraId="05222758" w14:textId="07AB2D36" w:rsidR="009F4F5A" w:rsidRPr="0055724E" w:rsidRDefault="009F4F5A" w:rsidP="00445DA3">
      <w:pPr>
        <w:widowControl/>
        <w:spacing w:beforeLines="50" w:before="180" w:line="480" w:lineRule="auto"/>
        <w:jc w:val="left"/>
        <w:rPr>
          <w:rFonts w:cs="宋体"/>
          <w:kern w:val="0"/>
          <w:sz w:val="28"/>
          <w:szCs w:val="24"/>
        </w:rPr>
      </w:pPr>
      <w:r w:rsidRPr="0055724E">
        <w:rPr>
          <w:rFonts w:cs="宋体"/>
          <w:b/>
          <w:bCs/>
          <w:kern w:val="0"/>
          <w:sz w:val="28"/>
          <w:szCs w:val="24"/>
        </w:rPr>
        <w:t>4.</w:t>
      </w:r>
    </w:p>
    <w:p w14:paraId="7AD53126"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4"/>
        </w:rPr>
        <w:t>郭店《語叢三》簡47：“莫得膳（善）其所。”此句顯然上有所承，</w:t>
      </w:r>
      <w:r w:rsidRPr="00965627">
        <w:rPr>
          <w:rStyle w:val="ae"/>
          <w:rFonts w:cs="宋体"/>
          <w:color w:val="000000"/>
          <w:kern w:val="0"/>
          <w:sz w:val="28"/>
          <w:szCs w:val="24"/>
        </w:rPr>
        <w:endnoteReference w:id="23"/>
      </w:r>
      <w:r w:rsidRPr="0055724E">
        <w:rPr>
          <w:rFonts w:cs="宋体"/>
          <w:color w:val="000000"/>
          <w:kern w:val="0"/>
          <w:sz w:val="28"/>
          <w:szCs w:val="24"/>
        </w:rPr>
        <w:t>由於語境不明，難以確解，推測“善其所”也是“善”字直接帶事物名稱爲賓語的用例。“善”後</w:t>
      </w:r>
      <w:r w:rsidRPr="0055724E">
        <w:rPr>
          <w:rFonts w:cs="宋体"/>
          <w:color w:val="000000"/>
          <w:kern w:val="0"/>
          <w:sz w:val="28"/>
          <w:szCs w:val="23"/>
        </w:rPr>
        <w:t>没</w:t>
      </w:r>
      <w:r w:rsidRPr="0055724E">
        <w:rPr>
          <w:rFonts w:cs="宋体"/>
          <w:color w:val="000000"/>
          <w:kern w:val="0"/>
          <w:sz w:val="28"/>
          <w:szCs w:val="24"/>
        </w:rPr>
        <w:t>有</w:t>
      </w:r>
      <w:r w:rsidRPr="0055724E">
        <w:rPr>
          <w:rFonts w:cs="宋体"/>
          <w:color w:val="000000"/>
          <w:kern w:val="0"/>
          <w:sz w:val="28"/>
          <w:szCs w:val="23"/>
        </w:rPr>
        <w:t>説</w:t>
      </w:r>
      <w:r w:rsidRPr="0055724E">
        <w:rPr>
          <w:rFonts w:cs="宋体"/>
          <w:color w:val="000000"/>
          <w:kern w:val="0"/>
          <w:sz w:val="28"/>
          <w:szCs w:val="24"/>
        </w:rPr>
        <w:t>出來的行爲比較可能的是“處”或“擇”，句意似可理解爲“不能/</w:t>
      </w:r>
      <w:r w:rsidRPr="0055724E">
        <w:rPr>
          <w:rFonts w:cs="宋体"/>
          <w:color w:val="000000"/>
          <w:kern w:val="0"/>
          <w:sz w:val="28"/>
          <w:szCs w:val="23"/>
        </w:rPr>
        <w:t>没</w:t>
      </w:r>
      <w:r w:rsidRPr="0055724E">
        <w:rPr>
          <w:rFonts w:cs="宋体"/>
          <w:color w:val="000000"/>
          <w:kern w:val="0"/>
          <w:sz w:val="28"/>
          <w:szCs w:val="24"/>
        </w:rPr>
        <w:t>有人能很好地處在他的位置上”，或“不能/</w:t>
      </w:r>
      <w:r w:rsidRPr="0055724E">
        <w:rPr>
          <w:rFonts w:cs="宋体"/>
          <w:color w:val="000000"/>
          <w:kern w:val="0"/>
          <w:sz w:val="28"/>
          <w:szCs w:val="23"/>
        </w:rPr>
        <w:t>没</w:t>
      </w:r>
      <w:r w:rsidRPr="0055724E">
        <w:rPr>
          <w:rFonts w:cs="宋体"/>
          <w:color w:val="000000"/>
          <w:kern w:val="0"/>
          <w:sz w:val="28"/>
          <w:szCs w:val="24"/>
        </w:rPr>
        <w:t>有人能很好地選擇他的位置（或選擇到他合適的位置）”。</w:t>
      </w:r>
    </w:p>
    <w:p w14:paraId="4E6FE887" w14:textId="77777777" w:rsidR="00445DA3" w:rsidRDefault="00445DA3" w:rsidP="00445DA3">
      <w:pPr>
        <w:widowControl/>
        <w:spacing w:beforeLines="50" w:before="180" w:line="480" w:lineRule="auto"/>
        <w:ind w:firstLine="480"/>
        <w:jc w:val="left"/>
        <w:rPr>
          <w:rFonts w:cs="宋体"/>
          <w:b/>
          <w:bCs/>
          <w:color w:val="000000"/>
          <w:kern w:val="0"/>
          <w:sz w:val="28"/>
          <w:szCs w:val="24"/>
        </w:rPr>
      </w:pPr>
    </w:p>
    <w:p w14:paraId="1A3C3F46" w14:textId="67FF7672" w:rsidR="009F4F5A" w:rsidRDefault="009F4F5A" w:rsidP="00445DA3">
      <w:pPr>
        <w:widowControl/>
        <w:spacing w:beforeLines="50" w:before="180" w:line="480" w:lineRule="auto"/>
        <w:ind w:firstLine="480"/>
        <w:jc w:val="left"/>
        <w:rPr>
          <w:rFonts w:cs="宋体"/>
          <w:kern w:val="0"/>
          <w:sz w:val="28"/>
          <w:szCs w:val="24"/>
        </w:rPr>
      </w:pPr>
      <w:r w:rsidRPr="0055724E">
        <w:rPr>
          <w:rFonts w:cs="宋体"/>
          <w:b/>
          <w:bCs/>
          <w:color w:val="000000"/>
          <w:kern w:val="0"/>
          <w:sz w:val="28"/>
          <w:szCs w:val="24"/>
        </w:rPr>
        <w:t>（三）賓語指人或國家之類的對象</w:t>
      </w:r>
    </w:p>
    <w:p w14:paraId="3B088595"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4"/>
        </w:rPr>
        <w:t>在“善”字帶事物名稱的格式裏，有一種相當常見的用法，其有關情況比較複雜，需要專門討論一下。在這種用法裏，“善”的賓語指的是人或國家之類的對象。這種“善”字的基本意義是能把跟所</w:t>
      </w:r>
      <w:r w:rsidRPr="0055724E">
        <w:rPr>
          <w:rFonts w:cs="宋体"/>
          <w:color w:val="000000"/>
          <w:kern w:val="0"/>
          <w:sz w:val="28"/>
          <w:szCs w:val="23"/>
        </w:rPr>
        <w:t>説</w:t>
      </w:r>
      <w:r w:rsidRPr="0055724E">
        <w:rPr>
          <w:rFonts w:cs="宋体"/>
          <w:color w:val="000000"/>
          <w:kern w:val="0"/>
          <w:sz w:val="28"/>
          <w:szCs w:val="24"/>
        </w:rPr>
        <w:t>對象的關係搞得很好或跟所</w:t>
      </w:r>
      <w:r w:rsidRPr="0055724E">
        <w:rPr>
          <w:rFonts w:cs="宋体"/>
          <w:color w:val="000000"/>
          <w:kern w:val="0"/>
          <w:sz w:val="28"/>
          <w:szCs w:val="23"/>
        </w:rPr>
        <w:t>説</w:t>
      </w:r>
      <w:r w:rsidRPr="0055724E">
        <w:rPr>
          <w:rFonts w:cs="宋体"/>
          <w:color w:val="000000"/>
          <w:kern w:val="0"/>
          <w:sz w:val="28"/>
          <w:szCs w:val="24"/>
        </w:rPr>
        <w:t>對象關係很好，具體理解起來，可有“友好”“交好”等意義。在施事者的地位低於受事者的情況下，或有“討好”的意思</w:t>
      </w:r>
      <w:r w:rsidRPr="0055724E">
        <w:rPr>
          <w:rFonts w:cs="宋体"/>
          <w:b/>
          <w:bCs/>
          <w:color w:val="A0A0A0"/>
          <w:kern w:val="0"/>
          <w:sz w:val="21"/>
          <w:szCs w:val="21"/>
        </w:rPr>
        <w:t>（參看下舉《左傳·襄公七年》叔仲昭伯“欲善季氏”一例）</w:t>
      </w:r>
      <w:r w:rsidRPr="0055724E">
        <w:rPr>
          <w:rFonts w:cs="宋体"/>
          <w:color w:val="000000"/>
          <w:kern w:val="0"/>
          <w:sz w:val="28"/>
          <w:szCs w:val="24"/>
        </w:rPr>
        <w:t>，在施事者的地位高於受事者的情況下，則往往可以把“善”理解爲“善待”“善視”。</w:t>
      </w:r>
      <w:r w:rsidRPr="00965627">
        <w:rPr>
          <w:rStyle w:val="ae"/>
          <w:rFonts w:cs="宋体"/>
          <w:color w:val="000000"/>
          <w:kern w:val="0"/>
          <w:sz w:val="28"/>
          <w:szCs w:val="24"/>
        </w:rPr>
        <w:endnoteReference w:id="24"/>
      </w:r>
      <w:r w:rsidRPr="0055724E">
        <w:rPr>
          <w:rFonts w:cs="宋体"/>
          <w:color w:val="000000"/>
          <w:kern w:val="0"/>
          <w:sz w:val="28"/>
          <w:szCs w:val="24"/>
        </w:rPr>
        <w:t>下面舉出漢以前古書中“善”字直接帶指人或國家之類對象的賓語的例子，並加以</w:t>
      </w:r>
      <w:r w:rsidRPr="0055724E">
        <w:rPr>
          <w:rFonts w:cs="宋体"/>
          <w:color w:val="000000"/>
          <w:kern w:val="0"/>
          <w:sz w:val="28"/>
          <w:szCs w:val="23"/>
        </w:rPr>
        <w:t>説</w:t>
      </w:r>
      <w:r w:rsidRPr="0055724E">
        <w:rPr>
          <w:rFonts w:cs="宋体"/>
          <w:color w:val="000000"/>
          <w:kern w:val="0"/>
          <w:sz w:val="28"/>
          <w:szCs w:val="24"/>
        </w:rPr>
        <w:t>明。</w:t>
      </w:r>
    </w:p>
    <w:p w14:paraId="042775E1" w14:textId="019E900A" w:rsidR="009F4F5A" w:rsidRPr="0055724E" w:rsidRDefault="009F4F5A" w:rsidP="00445DA3">
      <w:pPr>
        <w:widowControl/>
        <w:spacing w:beforeLines="50" w:before="180" w:line="480" w:lineRule="auto"/>
        <w:jc w:val="left"/>
        <w:rPr>
          <w:rFonts w:cs="宋体"/>
          <w:kern w:val="0"/>
          <w:sz w:val="28"/>
          <w:szCs w:val="24"/>
        </w:rPr>
      </w:pPr>
      <w:r w:rsidRPr="0055724E">
        <w:rPr>
          <w:rFonts w:cs="宋体"/>
          <w:b/>
          <w:bCs/>
          <w:kern w:val="0"/>
          <w:sz w:val="28"/>
          <w:szCs w:val="24"/>
        </w:rPr>
        <w:t>1.</w:t>
      </w:r>
    </w:p>
    <w:p w14:paraId="0D46DBB8"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4"/>
        </w:rPr>
        <w:t>《國語·晋語二》記</w:t>
      </w:r>
      <w:r w:rsidRPr="0055724E">
        <w:rPr>
          <w:rFonts w:cs="宋体"/>
          <w:color w:val="000000"/>
          <w:kern w:val="0"/>
          <w:sz w:val="28"/>
          <w:szCs w:val="23"/>
        </w:rPr>
        <w:t>晋</w:t>
      </w:r>
      <w:r w:rsidRPr="0055724E">
        <w:rPr>
          <w:rFonts w:cs="宋体"/>
          <w:color w:val="000000"/>
          <w:kern w:val="0"/>
          <w:sz w:val="28"/>
          <w:szCs w:val="24"/>
        </w:rPr>
        <w:t>公子重耳出奔在狄，其父</w:t>
      </w:r>
      <w:r w:rsidRPr="0055724E">
        <w:rPr>
          <w:rFonts w:cs="宋体"/>
          <w:color w:val="000000"/>
          <w:kern w:val="0"/>
          <w:sz w:val="28"/>
          <w:szCs w:val="23"/>
        </w:rPr>
        <w:t>晋</w:t>
      </w:r>
      <w:r w:rsidRPr="0055724E">
        <w:rPr>
          <w:rFonts w:cs="宋体"/>
          <w:color w:val="000000"/>
          <w:kern w:val="0"/>
          <w:sz w:val="28"/>
          <w:szCs w:val="24"/>
        </w:rPr>
        <w:t>獻公薨，大臣里克及丕鄭欲納重耳，派使者至狄迎重耳歸，重耳從舅犯之謀加以拒絶，他對使者</w:t>
      </w:r>
      <w:r w:rsidRPr="0055724E">
        <w:rPr>
          <w:rFonts w:cs="宋体"/>
          <w:color w:val="000000"/>
          <w:kern w:val="0"/>
          <w:sz w:val="28"/>
          <w:szCs w:val="23"/>
        </w:rPr>
        <w:t>説</w:t>
      </w:r>
      <w:r w:rsidRPr="0055724E">
        <w:rPr>
          <w:rFonts w:cs="宋体"/>
          <w:color w:val="000000"/>
          <w:kern w:val="0"/>
          <w:sz w:val="28"/>
          <w:szCs w:val="24"/>
        </w:rPr>
        <w:t>：“夫固國者，在親眾而善鄰，在因民而順之。苟眾所利，鄰國所立，大夫其從之。重耳不敢違。”重耳所言“善鄰”之“鄰”，即指其後面所</w:t>
      </w:r>
      <w:r w:rsidRPr="0055724E">
        <w:rPr>
          <w:rFonts w:cs="宋体"/>
          <w:color w:val="000000"/>
          <w:kern w:val="0"/>
          <w:sz w:val="28"/>
          <w:szCs w:val="23"/>
        </w:rPr>
        <w:t>説</w:t>
      </w:r>
      <w:r w:rsidRPr="0055724E">
        <w:rPr>
          <w:rFonts w:cs="宋体"/>
          <w:color w:val="000000"/>
          <w:kern w:val="0"/>
          <w:sz w:val="28"/>
          <w:szCs w:val="24"/>
        </w:rPr>
        <w:t>的“鄰國”。《左傳·隱公六年》“鄭伯請</w:t>
      </w:r>
      <w:r w:rsidRPr="0055724E">
        <w:rPr>
          <w:rFonts w:cs="宋体"/>
          <w:color w:val="000000"/>
          <w:kern w:val="0"/>
          <w:sz w:val="28"/>
          <w:szCs w:val="24"/>
        </w:rPr>
        <w:lastRenderedPageBreak/>
        <w:t>成于陳，陳侯不許。五父諫曰：‘親仁善鄰，國之寶也，君其許鄭。’”五父所</w:t>
      </w:r>
      <w:r w:rsidRPr="0055724E">
        <w:rPr>
          <w:rFonts w:cs="宋体"/>
          <w:color w:val="000000"/>
          <w:kern w:val="0"/>
          <w:sz w:val="28"/>
          <w:szCs w:val="23"/>
        </w:rPr>
        <w:t>説</w:t>
      </w:r>
      <w:r w:rsidRPr="0055724E">
        <w:rPr>
          <w:rFonts w:cs="宋体"/>
          <w:color w:val="000000"/>
          <w:kern w:val="0"/>
          <w:sz w:val="28"/>
          <w:szCs w:val="24"/>
        </w:rPr>
        <w:t>的“善鄰”明顯與上例中重耳所</w:t>
      </w:r>
      <w:r w:rsidRPr="0055724E">
        <w:rPr>
          <w:rFonts w:cs="宋体"/>
          <w:color w:val="000000"/>
          <w:kern w:val="0"/>
          <w:sz w:val="28"/>
          <w:szCs w:val="23"/>
        </w:rPr>
        <w:t>説</w:t>
      </w:r>
      <w:r w:rsidRPr="0055724E">
        <w:rPr>
          <w:rFonts w:cs="宋体"/>
          <w:color w:val="000000"/>
          <w:kern w:val="0"/>
          <w:sz w:val="28"/>
          <w:szCs w:val="24"/>
        </w:rPr>
        <w:t>的“善鄰”同義，“善鄰”就是能與鄰國搞好關係。《左傳·哀公十五年》記齊國權臣陳瓘與魯國敵對，他受命使楚，經過衛國，仲由</w:t>
      </w:r>
      <w:r w:rsidRPr="0055724E">
        <w:rPr>
          <w:rFonts w:cs="宋体"/>
          <w:b/>
          <w:bCs/>
          <w:color w:val="A0A0A0"/>
          <w:kern w:val="0"/>
          <w:sz w:val="21"/>
          <w:szCs w:val="21"/>
        </w:rPr>
        <w:t>（即孔子弟子子路，當時應在衛國）</w:t>
      </w:r>
      <w:r w:rsidRPr="0055724E">
        <w:rPr>
          <w:rFonts w:cs="宋体"/>
          <w:color w:val="000000"/>
          <w:kern w:val="0"/>
          <w:sz w:val="28"/>
          <w:szCs w:val="24"/>
        </w:rPr>
        <w:t>勸</w:t>
      </w:r>
      <w:r w:rsidRPr="0055724E">
        <w:rPr>
          <w:rFonts w:cs="宋体"/>
          <w:color w:val="000000"/>
          <w:kern w:val="0"/>
          <w:sz w:val="28"/>
          <w:szCs w:val="23"/>
        </w:rPr>
        <w:t>説</w:t>
      </w:r>
      <w:r w:rsidRPr="0055724E">
        <w:rPr>
          <w:rFonts w:cs="宋体"/>
          <w:color w:val="000000"/>
          <w:kern w:val="0"/>
          <w:sz w:val="28"/>
          <w:szCs w:val="24"/>
        </w:rPr>
        <w:t>他對魯國改變態度，最後</w:t>
      </w:r>
      <w:r w:rsidRPr="0055724E">
        <w:rPr>
          <w:rFonts w:cs="宋体"/>
          <w:color w:val="000000"/>
          <w:kern w:val="0"/>
          <w:sz w:val="28"/>
          <w:szCs w:val="23"/>
        </w:rPr>
        <w:t>説</w:t>
      </w:r>
      <w:r w:rsidRPr="0055724E">
        <w:rPr>
          <w:rFonts w:cs="宋体"/>
          <w:color w:val="000000"/>
          <w:kern w:val="0"/>
          <w:sz w:val="28"/>
          <w:szCs w:val="24"/>
        </w:rPr>
        <w:t>：“若善魯以待時，不亦可乎？何必惡焉？”“善魯”就是與魯國搞好關係，也就是交好。《戰國策·秦策四》記楚人黃歇</w:t>
      </w:r>
      <w:r w:rsidRPr="0055724E">
        <w:rPr>
          <w:rFonts w:cs="宋体"/>
          <w:b/>
          <w:bCs/>
          <w:color w:val="A0A0A0"/>
          <w:kern w:val="0"/>
          <w:sz w:val="21"/>
          <w:szCs w:val="21"/>
        </w:rPr>
        <w:t>（即春申君）</w:t>
      </w:r>
      <w:r w:rsidRPr="0055724E">
        <w:rPr>
          <w:rFonts w:cs="宋体"/>
          <w:color w:val="000000"/>
          <w:kern w:val="0"/>
          <w:sz w:val="28"/>
          <w:szCs w:val="23"/>
        </w:rPr>
        <w:t>説</w:t>
      </w:r>
      <w:r w:rsidRPr="0055724E">
        <w:rPr>
          <w:rFonts w:cs="宋体"/>
          <w:color w:val="000000"/>
          <w:kern w:val="0"/>
          <w:sz w:val="28"/>
          <w:szCs w:val="24"/>
        </w:rPr>
        <w:t>秦昭王曰“天下莫强於秦、楚，今聞大王欲伐楚，此猶兩虎相鬥而駑犬受其弊，不如善楚”，“善楚”與上例“善魯”意義相類。《左傳·成公十四年》記衛國的孫文子因懼怕衛國會發生</w:t>
      </w:r>
      <w:r w:rsidRPr="0055724E">
        <w:rPr>
          <w:rFonts w:cs="宋体"/>
          <w:color w:val="000000"/>
          <w:kern w:val="0"/>
          <w:sz w:val="28"/>
          <w:szCs w:val="23"/>
        </w:rPr>
        <w:t>内</w:t>
      </w:r>
      <w:r w:rsidRPr="0055724E">
        <w:rPr>
          <w:rFonts w:cs="宋体"/>
          <w:color w:val="000000"/>
          <w:kern w:val="0"/>
          <w:sz w:val="28"/>
          <w:szCs w:val="24"/>
        </w:rPr>
        <w:t>亂，“不敢舍其重器於衛，盡寘諸戚</w:t>
      </w:r>
      <w:r w:rsidRPr="0055724E">
        <w:rPr>
          <w:rFonts w:cs="宋体"/>
          <w:b/>
          <w:bCs/>
          <w:color w:val="A0A0A0"/>
          <w:kern w:val="0"/>
          <w:sz w:val="21"/>
          <w:szCs w:val="21"/>
        </w:rPr>
        <w:t>（戚爲孫文子的封邑）</w:t>
      </w:r>
      <w:r w:rsidRPr="0055724E">
        <w:rPr>
          <w:rFonts w:cs="宋体"/>
          <w:color w:val="000000"/>
          <w:kern w:val="0"/>
          <w:sz w:val="28"/>
          <w:szCs w:val="24"/>
        </w:rPr>
        <w:t>，而甚善</w:t>
      </w:r>
      <w:r w:rsidRPr="0055724E">
        <w:rPr>
          <w:rFonts w:cs="宋体"/>
          <w:color w:val="000000"/>
          <w:kern w:val="0"/>
          <w:sz w:val="28"/>
          <w:szCs w:val="23"/>
        </w:rPr>
        <w:t>晋</w:t>
      </w:r>
      <w:r w:rsidRPr="0055724E">
        <w:rPr>
          <w:rFonts w:cs="宋体"/>
          <w:color w:val="000000"/>
          <w:kern w:val="0"/>
          <w:sz w:val="28"/>
          <w:szCs w:val="24"/>
        </w:rPr>
        <w:t>大夫”，“甚善</w:t>
      </w:r>
      <w:r w:rsidRPr="0055724E">
        <w:rPr>
          <w:rFonts w:cs="宋体"/>
          <w:color w:val="000000"/>
          <w:kern w:val="0"/>
          <w:sz w:val="28"/>
          <w:szCs w:val="23"/>
        </w:rPr>
        <w:t>晋</w:t>
      </w:r>
      <w:r w:rsidRPr="0055724E">
        <w:rPr>
          <w:rFonts w:cs="宋体"/>
          <w:color w:val="000000"/>
          <w:kern w:val="0"/>
          <w:sz w:val="28"/>
          <w:szCs w:val="24"/>
        </w:rPr>
        <w:t>大夫”就是努力與</w:t>
      </w:r>
      <w:r w:rsidRPr="0055724E">
        <w:rPr>
          <w:rFonts w:cs="宋体"/>
          <w:color w:val="000000"/>
          <w:kern w:val="0"/>
          <w:sz w:val="28"/>
          <w:szCs w:val="23"/>
        </w:rPr>
        <w:t>晋</w:t>
      </w:r>
      <w:r w:rsidRPr="0055724E">
        <w:rPr>
          <w:rFonts w:cs="宋体"/>
          <w:color w:val="000000"/>
          <w:kern w:val="0"/>
          <w:sz w:val="28"/>
          <w:szCs w:val="24"/>
        </w:rPr>
        <w:t>國的大夫搞好關係的意思。《戰國策·魏策四》</w:t>
      </w:r>
      <w:r w:rsidRPr="0055724E">
        <w:rPr>
          <w:rFonts w:cs="宋体"/>
          <w:color w:val="000000"/>
          <w:kern w:val="0"/>
          <w:sz w:val="28"/>
          <w:szCs w:val="23"/>
        </w:rPr>
        <w:t>説</w:t>
      </w:r>
      <w:r w:rsidRPr="0055724E">
        <w:rPr>
          <w:rFonts w:cs="宋体"/>
          <w:color w:val="000000"/>
          <w:kern w:val="0"/>
          <w:sz w:val="28"/>
          <w:szCs w:val="24"/>
        </w:rPr>
        <w:t>魏臣“周最善齊，翟强善楚”，“善齊”“善楚”就是</w:t>
      </w:r>
      <w:r w:rsidRPr="0055724E">
        <w:rPr>
          <w:rFonts w:cs="宋体"/>
          <w:color w:val="000000"/>
          <w:kern w:val="0"/>
          <w:sz w:val="28"/>
          <w:szCs w:val="23"/>
        </w:rPr>
        <w:t>説</w:t>
      </w:r>
      <w:r w:rsidRPr="0055724E">
        <w:rPr>
          <w:rFonts w:cs="宋体"/>
          <w:color w:val="000000"/>
          <w:kern w:val="0"/>
          <w:sz w:val="28"/>
          <w:szCs w:val="24"/>
        </w:rPr>
        <w:t>與齊國或楚國的關係好。《左傳·成公二年》</w:t>
      </w:r>
      <w:r w:rsidRPr="0055724E">
        <w:rPr>
          <w:rFonts w:cs="宋体"/>
          <w:color w:val="000000"/>
          <w:kern w:val="0"/>
          <w:sz w:val="28"/>
          <w:szCs w:val="23"/>
        </w:rPr>
        <w:t>説</w:t>
      </w:r>
      <w:r w:rsidRPr="0055724E">
        <w:rPr>
          <w:rFonts w:cs="宋体"/>
          <w:color w:val="000000"/>
          <w:kern w:val="0"/>
          <w:sz w:val="28"/>
          <w:szCs w:val="24"/>
        </w:rPr>
        <w:t>“知罃之父”即知莊子“新佐中軍，而善鄭皇戌”，“善鄭皇戌”就是</w:t>
      </w:r>
      <w:r w:rsidRPr="0055724E">
        <w:rPr>
          <w:rFonts w:cs="宋体"/>
          <w:color w:val="000000"/>
          <w:kern w:val="0"/>
          <w:sz w:val="28"/>
          <w:szCs w:val="23"/>
        </w:rPr>
        <w:t>説</w:t>
      </w:r>
      <w:r w:rsidRPr="0055724E">
        <w:rPr>
          <w:rFonts w:cs="宋体"/>
          <w:color w:val="000000"/>
          <w:kern w:val="0"/>
          <w:sz w:val="28"/>
          <w:szCs w:val="24"/>
        </w:rPr>
        <w:t>知莊子與皇戌的關係很好，也就是很友好的意思</w:t>
      </w:r>
      <w:r w:rsidRPr="0055724E">
        <w:rPr>
          <w:rFonts w:cs="宋体"/>
          <w:b/>
          <w:bCs/>
          <w:color w:val="A0A0A0"/>
          <w:kern w:val="0"/>
          <w:sz w:val="21"/>
          <w:szCs w:val="21"/>
        </w:rPr>
        <w:t>（這種某人善某人之例在《吕氏春秋》《史記》《漢書》等書中屢見，不贅引）</w:t>
      </w:r>
      <w:r w:rsidRPr="0055724E">
        <w:rPr>
          <w:rFonts w:cs="宋体"/>
          <w:color w:val="000000"/>
          <w:kern w:val="0"/>
          <w:sz w:val="28"/>
          <w:szCs w:val="24"/>
        </w:rPr>
        <w:t>。《左傳·襄公七年》：“南遺爲費宰</w:t>
      </w:r>
      <w:r w:rsidRPr="0055724E">
        <w:rPr>
          <w:rFonts w:cs="宋体"/>
          <w:b/>
          <w:bCs/>
          <w:color w:val="A0A0A0"/>
          <w:kern w:val="0"/>
          <w:sz w:val="21"/>
          <w:szCs w:val="21"/>
        </w:rPr>
        <w:t>（費爲魯季孫氏的主要封邑）</w:t>
      </w:r>
      <w:r w:rsidRPr="0055724E">
        <w:rPr>
          <w:rFonts w:cs="宋体"/>
          <w:color w:val="000000"/>
          <w:kern w:val="0"/>
          <w:sz w:val="28"/>
          <w:szCs w:val="24"/>
        </w:rPr>
        <w:t>，叔仲昭伯爲隧正，欲善季氏而求媚於南遺，謂遺：‘請城費，吾多與而役。’”“欲善季氏”就是</w:t>
      </w:r>
      <w:r w:rsidRPr="0055724E">
        <w:rPr>
          <w:rFonts w:cs="宋体"/>
          <w:color w:val="000000"/>
          <w:kern w:val="0"/>
          <w:sz w:val="28"/>
          <w:szCs w:val="24"/>
        </w:rPr>
        <w:lastRenderedPageBreak/>
        <w:t>要與季氏搞好關係，當時季氏執魯國之政，叔仲昭伯其實就是要討好季氏，所以此文接著就</w:t>
      </w:r>
      <w:r w:rsidRPr="0055724E">
        <w:rPr>
          <w:rFonts w:cs="宋体"/>
          <w:color w:val="000000"/>
          <w:kern w:val="0"/>
          <w:sz w:val="28"/>
          <w:szCs w:val="23"/>
        </w:rPr>
        <w:t>説</w:t>
      </w:r>
      <w:r w:rsidRPr="0055724E">
        <w:rPr>
          <w:rFonts w:cs="宋体"/>
          <w:color w:val="000000"/>
          <w:kern w:val="0"/>
          <w:sz w:val="28"/>
          <w:szCs w:val="24"/>
        </w:rPr>
        <w:t>叔仲昭伯用多提供城費的徒役來取悦南遺。《左傳·隱公六年》記鄭伯朝見周桓王，桓王不以禮相待，周桓公批評桓王</w:t>
      </w:r>
      <w:r w:rsidRPr="0055724E">
        <w:rPr>
          <w:rFonts w:cs="宋体"/>
          <w:color w:val="000000"/>
          <w:kern w:val="0"/>
          <w:sz w:val="28"/>
          <w:szCs w:val="23"/>
        </w:rPr>
        <w:t>説</w:t>
      </w:r>
      <w:r w:rsidRPr="0055724E">
        <w:rPr>
          <w:rFonts w:cs="宋体"/>
          <w:color w:val="000000"/>
          <w:kern w:val="0"/>
          <w:sz w:val="28"/>
          <w:szCs w:val="24"/>
        </w:rPr>
        <w:t>：“我周之東遷，</w:t>
      </w:r>
      <w:r w:rsidRPr="0055724E">
        <w:rPr>
          <w:rFonts w:cs="宋体"/>
          <w:color w:val="000000"/>
          <w:kern w:val="0"/>
          <w:sz w:val="28"/>
          <w:szCs w:val="23"/>
        </w:rPr>
        <w:t>晋</w:t>
      </w:r>
      <w:r w:rsidRPr="0055724E">
        <w:rPr>
          <w:rFonts w:cs="宋体"/>
          <w:color w:val="000000"/>
          <w:kern w:val="0"/>
          <w:sz w:val="28"/>
          <w:szCs w:val="24"/>
        </w:rPr>
        <w:t>鄭焉依。善鄭以勸來者，猶懼不蔇，況不禮焉？鄭不來矣。”“善鄭”之“善”應該就是“善待”的意思，“善鄭”也就是禮遇鄭國以搞好關係的意思。《左傳·哀公十六年》：“楚大子建之遇讒也，自城父奔宋，又辟華氏之亂於鄭，鄭人甚善之。”這裏的“鄭人”實際上指鄭的統治者，“善”應是“善待”的意思。清華簡《繫年》第六章敘重耳出奔在外之事</w:t>
      </w:r>
      <w:r w:rsidRPr="0055724E">
        <w:rPr>
          <w:rFonts w:cs="宋体"/>
          <w:color w:val="000000"/>
          <w:kern w:val="0"/>
          <w:sz w:val="28"/>
          <w:szCs w:val="23"/>
        </w:rPr>
        <w:t>説</w:t>
      </w:r>
      <w:r w:rsidRPr="0055724E">
        <w:rPr>
          <w:rFonts w:cs="宋体"/>
          <w:color w:val="000000"/>
          <w:kern w:val="0"/>
          <w:sz w:val="28"/>
          <w:szCs w:val="24"/>
        </w:rPr>
        <w:t>：“文公十又二年居翟，翟甚善之，而弗能入；乃適齊，齊人善之；適宋，宋人善之，亦莫之能入。乃適衛，衛人弗善。適鄭，鄭人弗善……”</w:t>
      </w:r>
      <w:r w:rsidRPr="0055724E">
        <w:rPr>
          <w:rFonts w:cs="宋体"/>
          <w:b/>
          <w:bCs/>
          <w:color w:val="A0A0A0"/>
          <w:kern w:val="0"/>
          <w:sz w:val="21"/>
          <w:szCs w:val="21"/>
        </w:rPr>
        <w:t>（簡36—37）</w:t>
      </w:r>
      <w:r w:rsidRPr="0055724E">
        <w:rPr>
          <w:rFonts w:cs="宋体"/>
          <w:color w:val="000000"/>
          <w:kern w:val="0"/>
          <w:sz w:val="28"/>
          <w:szCs w:val="24"/>
        </w:rPr>
        <w:t>“弗善”也就是“不善之”，此文中的幾個“善之”也都是“善待之”的意思。《國語·</w:t>
      </w:r>
      <w:r w:rsidRPr="0055724E">
        <w:rPr>
          <w:rFonts w:cs="宋体"/>
          <w:color w:val="000000"/>
          <w:kern w:val="0"/>
          <w:sz w:val="28"/>
          <w:szCs w:val="23"/>
        </w:rPr>
        <w:t>晋</w:t>
      </w:r>
      <w:r w:rsidRPr="0055724E">
        <w:rPr>
          <w:rFonts w:cs="宋体"/>
          <w:color w:val="000000"/>
          <w:kern w:val="0"/>
          <w:sz w:val="28"/>
          <w:szCs w:val="24"/>
        </w:rPr>
        <w:t>語四》記重耳出亡在齊，“齊侯妻之，甚善焉”，“甚善焉”就是</w:t>
      </w:r>
      <w:r w:rsidRPr="0055724E">
        <w:rPr>
          <w:rFonts w:cs="宋体"/>
          <w:color w:val="000000"/>
          <w:kern w:val="0"/>
          <w:sz w:val="28"/>
          <w:szCs w:val="23"/>
        </w:rPr>
        <w:t>説</w:t>
      </w:r>
      <w:r w:rsidRPr="0055724E">
        <w:rPr>
          <w:rFonts w:cs="宋体"/>
          <w:color w:val="000000"/>
          <w:kern w:val="0"/>
          <w:sz w:val="28"/>
          <w:szCs w:val="24"/>
        </w:rPr>
        <w:t>甚善重耳，“甚善焉”應與前引《左傳·哀公十六年》的“甚善之”義近。</w:t>
      </w:r>
      <w:r w:rsidRPr="00965627">
        <w:rPr>
          <w:rStyle w:val="ae"/>
          <w:rFonts w:cs="宋体"/>
          <w:color w:val="000000"/>
          <w:kern w:val="0"/>
          <w:sz w:val="28"/>
          <w:szCs w:val="24"/>
        </w:rPr>
        <w:endnoteReference w:id="25"/>
      </w:r>
      <w:r w:rsidRPr="0055724E">
        <w:rPr>
          <w:rFonts w:cs="宋体"/>
          <w:color w:val="000000"/>
          <w:kern w:val="0"/>
          <w:sz w:val="28"/>
          <w:szCs w:val="24"/>
        </w:rPr>
        <w:t>《</w:t>
      </w:r>
      <w:r w:rsidRPr="0055724E">
        <w:rPr>
          <w:rFonts w:cs="宋体"/>
          <w:color w:val="000000"/>
          <w:kern w:val="0"/>
          <w:sz w:val="28"/>
          <w:szCs w:val="23"/>
        </w:rPr>
        <w:t>吕</w:t>
      </w:r>
      <w:r w:rsidRPr="0055724E">
        <w:rPr>
          <w:rFonts w:cs="宋体"/>
          <w:color w:val="000000"/>
          <w:kern w:val="0"/>
          <w:sz w:val="28"/>
          <w:szCs w:val="24"/>
        </w:rPr>
        <w:t>氏春秋·應言》記“魏令孟卬割絳、汾、安邑之地以與秦王。王喜，令起賈爲孟卬求司徒於魏王。魏王不</w:t>
      </w:r>
      <w:r w:rsidRPr="0055724E">
        <w:rPr>
          <w:rFonts w:cs="宋体"/>
          <w:color w:val="000000"/>
          <w:kern w:val="0"/>
          <w:sz w:val="28"/>
          <w:szCs w:val="23"/>
        </w:rPr>
        <w:t>説</w:t>
      </w:r>
      <w:r w:rsidRPr="0055724E">
        <w:rPr>
          <w:rFonts w:cs="宋体"/>
          <w:color w:val="000000"/>
          <w:kern w:val="0"/>
          <w:sz w:val="28"/>
          <w:szCs w:val="24"/>
        </w:rPr>
        <w:t>”，孟卬知道後，對魏王</w:t>
      </w:r>
      <w:r w:rsidRPr="0055724E">
        <w:rPr>
          <w:rFonts w:cs="宋体"/>
          <w:color w:val="000000"/>
          <w:kern w:val="0"/>
          <w:sz w:val="28"/>
          <w:szCs w:val="23"/>
        </w:rPr>
        <w:t>説</w:t>
      </w:r>
      <w:r w:rsidRPr="0055724E">
        <w:rPr>
          <w:rFonts w:cs="宋体"/>
          <w:color w:val="000000"/>
          <w:kern w:val="0"/>
          <w:sz w:val="28"/>
          <w:szCs w:val="24"/>
        </w:rPr>
        <w:t>：“王何疑秦之善臣也？以絳、汾、安邑令負牛書與秦，猶乃善牛也。”“善臣”“善牛”應該是善視、善待臣或</w:t>
      </w:r>
      <w:r w:rsidRPr="0055724E">
        <w:rPr>
          <w:rFonts w:cs="宋体"/>
          <w:color w:val="000000"/>
          <w:kern w:val="0"/>
          <w:sz w:val="28"/>
          <w:szCs w:val="24"/>
        </w:rPr>
        <w:lastRenderedPageBreak/>
        <w:t>牛的意思。《戰國策·齊策四》記孟嘗君欲合縱攻秦，先派公孫弘去摸清秦王的底細，</w:t>
      </w:r>
      <w:r w:rsidRPr="00965627">
        <w:rPr>
          <w:rStyle w:val="ae"/>
          <w:rFonts w:cs="宋体"/>
          <w:color w:val="000000"/>
          <w:kern w:val="0"/>
          <w:sz w:val="28"/>
          <w:szCs w:val="24"/>
        </w:rPr>
        <w:endnoteReference w:id="26"/>
      </w:r>
      <w:r w:rsidRPr="0055724E">
        <w:rPr>
          <w:rFonts w:cs="宋体"/>
          <w:color w:val="000000"/>
          <w:kern w:val="0"/>
          <w:sz w:val="28"/>
          <w:szCs w:val="24"/>
        </w:rPr>
        <w:t>公孫弘與秦昭王在語言上進行了一番較量，昭王最後表態</w:t>
      </w:r>
      <w:r w:rsidRPr="0055724E">
        <w:rPr>
          <w:rFonts w:cs="宋体"/>
          <w:color w:val="000000"/>
          <w:kern w:val="0"/>
          <w:sz w:val="28"/>
          <w:szCs w:val="23"/>
        </w:rPr>
        <w:t>説</w:t>
      </w:r>
      <w:r w:rsidRPr="0055724E">
        <w:rPr>
          <w:rFonts w:cs="宋体"/>
          <w:color w:val="000000"/>
          <w:kern w:val="0"/>
          <w:sz w:val="28"/>
          <w:szCs w:val="24"/>
        </w:rPr>
        <w:t>：“寡人善孟嘗君，欲客之必諭寡人之志也！”</w:t>
      </w:r>
      <w:r w:rsidRPr="0055724E">
        <w:rPr>
          <w:rFonts w:cs="宋体"/>
          <w:b/>
          <w:bCs/>
          <w:color w:val="A0A0A0"/>
          <w:kern w:val="0"/>
          <w:sz w:val="21"/>
          <w:szCs w:val="21"/>
        </w:rPr>
        <w:t>（上引之事亦見於《吕氏春秋·不侵》，語言大體相同）</w:t>
      </w:r>
      <w:r w:rsidRPr="0055724E">
        <w:rPr>
          <w:rFonts w:cs="宋体"/>
          <w:color w:val="000000"/>
          <w:kern w:val="0"/>
          <w:sz w:val="28"/>
          <w:szCs w:val="24"/>
        </w:rPr>
        <w:t>秦昭王這裏所</w:t>
      </w:r>
      <w:r w:rsidRPr="0055724E">
        <w:rPr>
          <w:rFonts w:cs="宋体"/>
          <w:color w:val="000000"/>
          <w:kern w:val="0"/>
          <w:sz w:val="28"/>
          <w:szCs w:val="23"/>
        </w:rPr>
        <w:t>説</w:t>
      </w:r>
      <w:r w:rsidRPr="0055724E">
        <w:rPr>
          <w:rFonts w:cs="宋体"/>
          <w:color w:val="000000"/>
          <w:kern w:val="0"/>
          <w:sz w:val="28"/>
          <w:szCs w:val="24"/>
        </w:rPr>
        <w:t>的“善”應該也是“善視”的意思，“寡人善孟嘗君”意思就是</w:t>
      </w:r>
      <w:r w:rsidRPr="0055724E">
        <w:rPr>
          <w:rFonts w:cs="宋体"/>
          <w:color w:val="000000"/>
          <w:kern w:val="0"/>
          <w:sz w:val="28"/>
          <w:szCs w:val="23"/>
        </w:rPr>
        <w:t>説</w:t>
      </w:r>
      <w:r w:rsidRPr="0055724E">
        <w:rPr>
          <w:rFonts w:cs="宋体"/>
          <w:color w:val="000000"/>
          <w:kern w:val="0"/>
          <w:sz w:val="28"/>
          <w:szCs w:val="24"/>
        </w:rPr>
        <w:t>寡人很看重孟嘗君。</w:t>
      </w:r>
    </w:p>
    <w:p w14:paraId="39A48408" w14:textId="50F97694" w:rsidR="009F4F5A" w:rsidRPr="0055724E" w:rsidRDefault="009F4F5A" w:rsidP="00445DA3">
      <w:pPr>
        <w:widowControl/>
        <w:spacing w:beforeLines="50" w:before="180" w:line="480" w:lineRule="auto"/>
        <w:jc w:val="left"/>
        <w:rPr>
          <w:rFonts w:cs="宋体"/>
          <w:kern w:val="0"/>
          <w:sz w:val="28"/>
          <w:szCs w:val="24"/>
        </w:rPr>
      </w:pPr>
      <w:r w:rsidRPr="0055724E">
        <w:rPr>
          <w:rFonts w:cs="宋体"/>
          <w:b/>
          <w:bCs/>
          <w:kern w:val="0"/>
          <w:sz w:val="28"/>
          <w:szCs w:val="24"/>
        </w:rPr>
        <w:t>2.</w:t>
      </w:r>
    </w:p>
    <w:p w14:paraId="7769EC10" w14:textId="77777777" w:rsidR="009F4F5A" w:rsidRPr="0055724E"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4"/>
        </w:rPr>
        <w:t>《左傳》中有五處</w:t>
      </w:r>
      <w:r w:rsidRPr="0055724E">
        <w:rPr>
          <w:rFonts w:cs="宋体"/>
          <w:color w:val="000000"/>
          <w:kern w:val="0"/>
          <w:sz w:val="28"/>
          <w:szCs w:val="23"/>
        </w:rPr>
        <w:t>説</w:t>
      </w:r>
      <w:r w:rsidRPr="0055724E">
        <w:rPr>
          <w:rFonts w:cs="宋体"/>
          <w:color w:val="000000"/>
          <w:kern w:val="0"/>
          <w:sz w:val="28"/>
          <w:szCs w:val="24"/>
        </w:rPr>
        <w:t>到某人“善於”某人，其例如下：</w:t>
      </w:r>
    </w:p>
    <w:p w14:paraId="19AE2D7C"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（1）《左傳·僖公二十六年》：“宋以其</w:t>
      </w:r>
      <w:r w:rsidRPr="0055724E">
        <w:rPr>
          <w:rFonts w:cs="宋体"/>
          <w:b/>
          <w:bCs/>
          <w:kern w:val="0"/>
          <w:sz w:val="28"/>
          <w:szCs w:val="24"/>
          <w:u w:val="single"/>
        </w:rPr>
        <w:t>善於</w:t>
      </w:r>
      <w:r w:rsidRPr="0055724E">
        <w:rPr>
          <w:rFonts w:cs="宋体"/>
          <w:kern w:val="0"/>
          <w:sz w:val="28"/>
          <w:szCs w:val="24"/>
        </w:rPr>
        <w:t>晋侯也，叛楚即</w:t>
      </w:r>
      <w:r w:rsidRPr="0055724E">
        <w:rPr>
          <w:rFonts w:cs="宋体"/>
          <w:color w:val="000000"/>
          <w:kern w:val="0"/>
          <w:sz w:val="28"/>
          <w:szCs w:val="23"/>
        </w:rPr>
        <w:t>晋</w:t>
      </w:r>
      <w:r w:rsidRPr="0055724E">
        <w:rPr>
          <w:rFonts w:cs="宋体"/>
          <w:kern w:val="0"/>
          <w:sz w:val="28"/>
          <w:szCs w:val="24"/>
        </w:rPr>
        <w:t>。”</w:t>
      </w:r>
    </w:p>
    <w:p w14:paraId="71B1DA9C"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（2）《左傳·成公十一年》記“宋華元</w:t>
      </w:r>
      <w:r w:rsidRPr="0055724E">
        <w:rPr>
          <w:rFonts w:cs="宋体"/>
          <w:b/>
          <w:bCs/>
          <w:kern w:val="0"/>
          <w:sz w:val="28"/>
          <w:szCs w:val="24"/>
          <w:u w:val="single"/>
        </w:rPr>
        <w:t>善於</w:t>
      </w:r>
      <w:r w:rsidRPr="0055724E">
        <w:rPr>
          <w:rFonts w:cs="宋体"/>
          <w:kern w:val="0"/>
          <w:sz w:val="28"/>
          <w:szCs w:val="24"/>
        </w:rPr>
        <w:t>令尹子重，又</w:t>
      </w:r>
      <w:r w:rsidRPr="0055724E">
        <w:rPr>
          <w:rFonts w:cs="宋体"/>
          <w:b/>
          <w:bCs/>
          <w:kern w:val="0"/>
          <w:sz w:val="28"/>
          <w:szCs w:val="24"/>
          <w:u w:val="single"/>
        </w:rPr>
        <w:t>善於</w:t>
      </w:r>
      <w:r w:rsidRPr="0055724E">
        <w:rPr>
          <w:rFonts w:cs="宋体"/>
          <w:kern w:val="0"/>
          <w:sz w:val="28"/>
          <w:szCs w:val="24"/>
        </w:rPr>
        <w:t>欒武子”，通過他的努力，“合</w:t>
      </w:r>
      <w:r w:rsidRPr="0055724E">
        <w:rPr>
          <w:rFonts w:cs="宋体"/>
          <w:color w:val="000000"/>
          <w:kern w:val="0"/>
          <w:sz w:val="28"/>
          <w:szCs w:val="23"/>
        </w:rPr>
        <w:t>晋</w:t>
      </w:r>
      <w:r w:rsidRPr="0055724E">
        <w:rPr>
          <w:rFonts w:cs="宋体"/>
          <w:kern w:val="0"/>
          <w:sz w:val="28"/>
          <w:szCs w:val="24"/>
        </w:rPr>
        <w:t>楚之成”。</w:t>
      </w:r>
    </w:p>
    <w:p w14:paraId="1718C317"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（3）《左傳·襄公二十七年》記“宋向戌</w:t>
      </w:r>
      <w:r w:rsidRPr="0055724E">
        <w:rPr>
          <w:rFonts w:cs="宋体"/>
          <w:b/>
          <w:bCs/>
          <w:kern w:val="0"/>
          <w:sz w:val="28"/>
          <w:szCs w:val="24"/>
          <w:u w:val="single"/>
        </w:rPr>
        <w:t>善於</w:t>
      </w:r>
      <w:r w:rsidRPr="0055724E">
        <w:rPr>
          <w:rFonts w:cs="宋体"/>
          <w:kern w:val="0"/>
          <w:sz w:val="28"/>
          <w:szCs w:val="24"/>
        </w:rPr>
        <w:t>趙文子，又</w:t>
      </w:r>
      <w:r w:rsidRPr="0055724E">
        <w:rPr>
          <w:rFonts w:cs="宋体"/>
          <w:b/>
          <w:bCs/>
          <w:kern w:val="0"/>
          <w:sz w:val="28"/>
          <w:szCs w:val="24"/>
          <w:u w:val="single"/>
        </w:rPr>
        <w:t>善於</w:t>
      </w:r>
      <w:r w:rsidRPr="0055724E">
        <w:rPr>
          <w:rFonts w:cs="宋体"/>
          <w:kern w:val="0"/>
          <w:sz w:val="28"/>
          <w:szCs w:val="24"/>
        </w:rPr>
        <w:t>令尹子木”，通過他的努力，促成了</w:t>
      </w:r>
      <w:r w:rsidRPr="0055724E">
        <w:rPr>
          <w:rFonts w:cs="宋体"/>
          <w:color w:val="000000"/>
          <w:kern w:val="0"/>
          <w:sz w:val="28"/>
          <w:szCs w:val="23"/>
        </w:rPr>
        <w:t>晋</w:t>
      </w:r>
      <w:r w:rsidRPr="0055724E">
        <w:rPr>
          <w:rFonts w:cs="宋体"/>
          <w:kern w:val="0"/>
          <w:sz w:val="28"/>
          <w:szCs w:val="24"/>
        </w:rPr>
        <w:t>、楚等國的弭兵之會。</w:t>
      </w:r>
    </w:p>
    <w:p w14:paraId="410F3997"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（4）《左傳·昭公八年》記齊國高氏宗子公孫蠆</w:t>
      </w:r>
      <w:r w:rsidRPr="0055724E">
        <w:rPr>
          <w:rFonts w:cs="宋体"/>
          <w:b/>
          <w:bCs/>
          <w:color w:val="A0A0A0"/>
          <w:kern w:val="0"/>
          <w:sz w:val="21"/>
          <w:szCs w:val="21"/>
        </w:rPr>
        <w:t>（字子尾，惠公之子公子高之子）</w:t>
      </w:r>
      <w:r w:rsidRPr="0055724E">
        <w:rPr>
          <w:rFonts w:cs="宋体"/>
          <w:kern w:val="0"/>
          <w:sz w:val="28"/>
          <w:szCs w:val="24"/>
        </w:rPr>
        <w:t>死後，欒氏宗子欒施</w:t>
      </w:r>
      <w:r w:rsidRPr="0055724E">
        <w:rPr>
          <w:rFonts w:cs="宋体"/>
          <w:b/>
          <w:bCs/>
          <w:color w:val="A0A0A0"/>
          <w:kern w:val="0"/>
          <w:sz w:val="21"/>
          <w:szCs w:val="21"/>
        </w:rPr>
        <w:t>（字子旗，惠公之子公子欒之孫）</w:t>
      </w:r>
      <w:r w:rsidRPr="0055724E">
        <w:rPr>
          <w:rFonts w:cs="宋体"/>
          <w:kern w:val="0"/>
          <w:sz w:val="28"/>
          <w:szCs w:val="24"/>
        </w:rPr>
        <w:t>殺了高氏原來的家宰，爲繼承公孫蠆的高</w:t>
      </w:r>
      <w:r w:rsidRPr="0055724E">
        <w:rPr>
          <w:rFonts w:cs="宋体"/>
          <w:color w:val="000000"/>
          <w:kern w:val="0"/>
          <w:sz w:val="28"/>
          <w:szCs w:val="23"/>
        </w:rPr>
        <w:t>强</w:t>
      </w:r>
      <w:r w:rsidRPr="0055724E">
        <w:rPr>
          <w:rFonts w:cs="宋体"/>
          <w:b/>
          <w:bCs/>
          <w:color w:val="A0A0A0"/>
          <w:kern w:val="0"/>
          <w:sz w:val="21"/>
          <w:szCs w:val="21"/>
        </w:rPr>
        <w:t>（子良）</w:t>
      </w:r>
      <w:r w:rsidRPr="0055724E">
        <w:rPr>
          <w:rFonts w:cs="宋体"/>
          <w:kern w:val="0"/>
          <w:sz w:val="28"/>
          <w:szCs w:val="24"/>
        </w:rPr>
        <w:t>另立家宰，高氏懷疑欒施有吞</w:t>
      </w:r>
      <w:r w:rsidRPr="0055724E">
        <w:rPr>
          <w:rFonts w:cs="宋体"/>
          <w:kern w:val="0"/>
          <w:sz w:val="28"/>
          <w:szCs w:val="24"/>
        </w:rPr>
        <w:lastRenderedPageBreak/>
        <w:t>併高氏之心，“授甲將攻之”，齊大夫“陳桓子</w:t>
      </w:r>
      <w:r w:rsidRPr="0055724E">
        <w:rPr>
          <w:rFonts w:cs="宋体"/>
          <w:b/>
          <w:bCs/>
          <w:kern w:val="0"/>
          <w:sz w:val="28"/>
          <w:szCs w:val="24"/>
          <w:u w:val="single"/>
        </w:rPr>
        <w:t>善於</w:t>
      </w:r>
      <w:r w:rsidRPr="0055724E">
        <w:rPr>
          <w:rFonts w:cs="宋体"/>
          <w:kern w:val="0"/>
          <w:sz w:val="28"/>
          <w:szCs w:val="24"/>
        </w:rPr>
        <w:t>子尾，亦授甲，將助之”。</w:t>
      </w:r>
    </w:p>
    <w:p w14:paraId="11AE8E2E"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（5）《左傳·昭公十四年》：“秋八月，莒著丘公卒，郊公不戚，國人弗順，欲立著丘公之弟庚輿。蒲餘侯惡公子意恢而善於庚輿，郊公惡公子鐸而</w:t>
      </w:r>
      <w:r w:rsidRPr="0055724E">
        <w:rPr>
          <w:rFonts w:cs="宋体"/>
          <w:b/>
          <w:bCs/>
          <w:kern w:val="0"/>
          <w:sz w:val="28"/>
          <w:szCs w:val="24"/>
          <w:u w:val="single"/>
        </w:rPr>
        <w:t>善於</w:t>
      </w:r>
      <w:r w:rsidRPr="0055724E">
        <w:rPr>
          <w:rFonts w:cs="宋体"/>
          <w:kern w:val="0"/>
          <w:sz w:val="28"/>
          <w:szCs w:val="24"/>
        </w:rPr>
        <w:t>意恢。公子鐸因蒲餘侯而與之謀，曰：‘爾殺意恢，我出君而納庚輿。’許之。”</w:t>
      </w:r>
    </w:p>
    <w:p w14:paraId="1358A902"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（6）上博簡《曹沫之陣》篇中有兩處</w:t>
      </w:r>
      <w:r w:rsidRPr="0055724E">
        <w:rPr>
          <w:rFonts w:cs="宋体"/>
          <w:color w:val="000000"/>
          <w:kern w:val="0"/>
          <w:sz w:val="28"/>
          <w:szCs w:val="23"/>
        </w:rPr>
        <w:t>説</w:t>
      </w:r>
      <w:r w:rsidRPr="0055724E">
        <w:rPr>
          <w:rFonts w:cs="宋体"/>
          <w:kern w:val="0"/>
          <w:sz w:val="28"/>
          <w:szCs w:val="24"/>
        </w:rPr>
        <w:t>到“善於民”：“臣</w:t>
      </w:r>
      <w:r w:rsidRPr="0055724E">
        <w:rPr>
          <w:rFonts w:cs="宋体"/>
          <w:b/>
          <w:bCs/>
          <w:color w:val="A0A0A0"/>
          <w:kern w:val="0"/>
          <w:sz w:val="21"/>
          <w:szCs w:val="21"/>
        </w:rPr>
        <w:t>（曹沫自謂）</w:t>
      </w:r>
      <w:r w:rsidRPr="0055724E">
        <w:rPr>
          <w:rFonts w:cs="宋体"/>
          <w:kern w:val="0"/>
          <w:sz w:val="28"/>
          <w:szCs w:val="24"/>
        </w:rPr>
        <w:t>聞之曰：鄰邦之君明，則不可以不修政而</w:t>
      </w:r>
      <w:r w:rsidRPr="0055724E">
        <w:rPr>
          <w:rFonts w:cs="宋体"/>
          <w:b/>
          <w:bCs/>
          <w:kern w:val="0"/>
          <w:sz w:val="28"/>
          <w:szCs w:val="24"/>
          <w:u w:val="single"/>
        </w:rPr>
        <w:t>善於</w:t>
      </w:r>
      <w:r w:rsidRPr="0055724E">
        <w:rPr>
          <w:rFonts w:cs="宋体"/>
          <w:kern w:val="0"/>
          <w:sz w:val="28"/>
          <w:szCs w:val="24"/>
        </w:rPr>
        <w:t>民。不然，恐亡焉。鄰邦之君無道，則亦不可以不修政而</w:t>
      </w:r>
      <w:r w:rsidRPr="0055724E">
        <w:rPr>
          <w:rFonts w:cs="宋体"/>
          <w:b/>
          <w:bCs/>
          <w:kern w:val="0"/>
          <w:sz w:val="28"/>
          <w:szCs w:val="24"/>
          <w:u w:val="single"/>
        </w:rPr>
        <w:t>善於</w:t>
      </w:r>
      <w:r w:rsidRPr="0055724E">
        <w:rPr>
          <w:rFonts w:cs="宋体"/>
          <w:kern w:val="0"/>
          <w:sz w:val="28"/>
          <w:szCs w:val="24"/>
        </w:rPr>
        <w:t>民。不然，無以取之。”</w:t>
      </w:r>
      <w:r w:rsidRPr="0055724E">
        <w:rPr>
          <w:rFonts w:cs="宋体"/>
          <w:b/>
          <w:bCs/>
          <w:color w:val="A0A0A0"/>
          <w:kern w:val="0"/>
          <w:sz w:val="21"/>
          <w:szCs w:val="21"/>
        </w:rPr>
        <w:t>（簡5—6）</w:t>
      </w:r>
    </w:p>
    <w:p w14:paraId="0042152A" w14:textId="7267CE0C"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4"/>
        </w:rPr>
        <w:t>這是在“善”和指某種人的賓語之間加“於”的例子。其他古書如《戰國策》《韓非子》《史記》等書也頗有在這類“善”字與指某國或某人的賓語之間加“於”的例子。</w:t>
      </w:r>
    </w:p>
    <w:p w14:paraId="6A85C836"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4"/>
        </w:rPr>
        <w:t>《戰國策》中此類例子較多，我們舉比較重要的幾例：</w:t>
      </w:r>
    </w:p>
    <w:p w14:paraId="2F5F2313"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（7）《韓策三》“建信君輕韓熙”章</w:t>
      </w:r>
      <w:r w:rsidRPr="0055724E">
        <w:rPr>
          <w:rFonts w:cs="宋体"/>
          <w:color w:val="000000"/>
          <w:kern w:val="0"/>
          <w:sz w:val="28"/>
          <w:szCs w:val="23"/>
        </w:rPr>
        <w:t>説</w:t>
      </w:r>
      <w:r w:rsidRPr="0055724E">
        <w:rPr>
          <w:rFonts w:cs="宋体"/>
          <w:kern w:val="0"/>
          <w:sz w:val="28"/>
          <w:szCs w:val="24"/>
        </w:rPr>
        <w:t>趙國的執政者建信君輕視韓國的執政者韓熙，趙敖勸諫建信君，指出：在合縱對付秦國時，</w:t>
      </w:r>
      <w:r w:rsidRPr="0055724E">
        <w:rPr>
          <w:rFonts w:cs="宋体"/>
          <w:kern w:val="0"/>
          <w:sz w:val="28"/>
          <w:szCs w:val="24"/>
        </w:rPr>
        <w:lastRenderedPageBreak/>
        <w:t>韓的地位其實最爲重要，“今君之輕韓熙者，交善楚、魏也。秦見君之交反</w:t>
      </w:r>
      <w:r w:rsidRPr="0055724E">
        <w:rPr>
          <w:rFonts w:cs="宋体"/>
          <w:b/>
          <w:bCs/>
          <w:kern w:val="0"/>
          <w:sz w:val="28"/>
          <w:szCs w:val="24"/>
          <w:u w:val="single"/>
        </w:rPr>
        <w:t>善於</w:t>
      </w:r>
      <w:r w:rsidRPr="0055724E">
        <w:rPr>
          <w:rFonts w:cs="宋体"/>
          <w:kern w:val="0"/>
          <w:sz w:val="28"/>
          <w:szCs w:val="24"/>
        </w:rPr>
        <w:t>楚、魏也，其收韓必重矣”。</w:t>
      </w:r>
    </w:p>
    <w:p w14:paraId="4BF87C0E"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（8）《西周策》“犀武敗”章記西周君想派其相周足至秦請求秦軍不要繼續進攻西周，有人爲周足謀劃</w:t>
      </w:r>
      <w:r w:rsidRPr="0055724E">
        <w:rPr>
          <w:rFonts w:cs="宋体"/>
          <w:color w:val="000000"/>
          <w:kern w:val="0"/>
          <w:sz w:val="28"/>
          <w:szCs w:val="23"/>
        </w:rPr>
        <w:t>説</w:t>
      </w:r>
      <w:r w:rsidRPr="0055724E">
        <w:rPr>
          <w:rFonts w:cs="宋体"/>
          <w:kern w:val="0"/>
          <w:sz w:val="28"/>
          <w:szCs w:val="24"/>
        </w:rPr>
        <w:t>：您應該先在君前</w:t>
      </w:r>
      <w:r w:rsidRPr="0055724E">
        <w:rPr>
          <w:rFonts w:cs="宋体"/>
          <w:color w:val="000000"/>
          <w:kern w:val="0"/>
          <w:sz w:val="28"/>
          <w:szCs w:val="23"/>
        </w:rPr>
        <w:t>説</w:t>
      </w:r>
      <w:r w:rsidRPr="0055724E">
        <w:rPr>
          <w:rFonts w:cs="宋体"/>
          <w:kern w:val="0"/>
          <w:sz w:val="28"/>
          <w:szCs w:val="24"/>
        </w:rPr>
        <w:t>明：“主君之臣，又（有）</w:t>
      </w:r>
      <w:r w:rsidRPr="00965627">
        <w:rPr>
          <w:rStyle w:val="ae"/>
          <w:rFonts w:cs="宋体"/>
          <w:kern w:val="0"/>
          <w:sz w:val="28"/>
          <w:szCs w:val="24"/>
        </w:rPr>
        <w:endnoteReference w:id="27"/>
      </w:r>
      <w:r w:rsidRPr="0055724E">
        <w:rPr>
          <w:rFonts w:cs="宋体"/>
          <w:kern w:val="0"/>
          <w:sz w:val="28"/>
          <w:szCs w:val="24"/>
        </w:rPr>
        <w:t>秦重而欲相者，且惡臣於秦，而臣爲不能使矣。臣願免而行，君因相之，彼得相，不惡周於秦矣。”“君重秦，故使相往，行而免，是輕秦也，公必不免。公言是而行，交</w:t>
      </w:r>
      <w:r w:rsidRPr="0055724E">
        <w:rPr>
          <w:rFonts w:cs="宋体"/>
          <w:b/>
          <w:bCs/>
          <w:kern w:val="0"/>
          <w:sz w:val="28"/>
          <w:szCs w:val="24"/>
          <w:u w:val="single"/>
        </w:rPr>
        <w:t>善於</w:t>
      </w:r>
      <w:r w:rsidRPr="0055724E">
        <w:rPr>
          <w:rFonts w:cs="宋体"/>
          <w:kern w:val="0"/>
          <w:sz w:val="28"/>
          <w:szCs w:val="24"/>
        </w:rPr>
        <w:t>秦，是公之成事也；交惡於秦，不</w:t>
      </w:r>
      <w:r w:rsidRPr="0055724E">
        <w:rPr>
          <w:rFonts w:cs="宋体"/>
          <w:b/>
          <w:bCs/>
          <w:kern w:val="0"/>
          <w:sz w:val="28"/>
          <w:szCs w:val="24"/>
          <w:u w:val="single"/>
        </w:rPr>
        <w:t>善於</w:t>
      </w:r>
      <w:r w:rsidRPr="0055724E">
        <w:rPr>
          <w:rFonts w:cs="宋体"/>
          <w:kern w:val="0"/>
          <w:sz w:val="28"/>
          <w:szCs w:val="24"/>
        </w:rPr>
        <w:t>公者且誅矣。”</w:t>
      </w:r>
    </w:p>
    <w:p w14:paraId="443E26A2"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（9）《齊策一》“靖郭君善齊昆辨”章</w:t>
      </w:r>
      <w:r w:rsidRPr="0055724E">
        <w:rPr>
          <w:rFonts w:cs="宋体"/>
          <w:color w:val="000000"/>
          <w:kern w:val="0"/>
          <w:sz w:val="28"/>
          <w:szCs w:val="23"/>
        </w:rPr>
        <w:t>説</w:t>
      </w:r>
      <w:r w:rsidRPr="0055724E">
        <w:rPr>
          <w:rFonts w:cs="宋体"/>
          <w:kern w:val="0"/>
          <w:sz w:val="28"/>
          <w:szCs w:val="24"/>
        </w:rPr>
        <w:t>：“威王薨，宣王立，靖郭君之交大不</w:t>
      </w:r>
      <w:r w:rsidRPr="0055724E">
        <w:rPr>
          <w:rFonts w:cs="宋体"/>
          <w:b/>
          <w:bCs/>
          <w:kern w:val="0"/>
          <w:sz w:val="28"/>
          <w:szCs w:val="24"/>
          <w:u w:val="single"/>
        </w:rPr>
        <w:t>善於</w:t>
      </w:r>
      <w:r w:rsidRPr="0055724E">
        <w:rPr>
          <w:rFonts w:cs="宋体"/>
          <w:kern w:val="0"/>
          <w:sz w:val="28"/>
          <w:szCs w:val="24"/>
        </w:rPr>
        <w:t>宣王，辭而之薛。”</w:t>
      </w:r>
    </w:p>
    <w:p w14:paraId="4B4F0D32"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（10）《楚策四》“或謂黃齊”章記楚威王即位之初，黃齊和富摯二位大臣關係不好。“或謂黃齊曰：‘人皆以謂公不</w:t>
      </w:r>
      <w:r w:rsidRPr="0055724E">
        <w:rPr>
          <w:rFonts w:cs="宋体"/>
          <w:b/>
          <w:bCs/>
          <w:kern w:val="0"/>
          <w:sz w:val="28"/>
          <w:szCs w:val="24"/>
          <w:u w:val="single"/>
        </w:rPr>
        <w:t>善於</w:t>
      </w:r>
      <w:r w:rsidRPr="0055724E">
        <w:rPr>
          <w:rFonts w:cs="宋体"/>
          <w:kern w:val="0"/>
          <w:sz w:val="28"/>
          <w:szCs w:val="24"/>
        </w:rPr>
        <w:t>富摯……今富摯能</w:t>
      </w:r>
      <w:r w:rsidRPr="0055724E">
        <w:rPr>
          <w:rFonts w:cs="宋体"/>
          <w:b/>
          <w:bCs/>
          <w:color w:val="A0A0A0"/>
          <w:kern w:val="0"/>
          <w:sz w:val="21"/>
          <w:szCs w:val="21"/>
        </w:rPr>
        <w:t>（金正煒以“能”爲“寵”字形誤</w:t>
      </w:r>
      <w:r w:rsidRPr="00965627">
        <w:rPr>
          <w:rStyle w:val="ae"/>
          <w:rFonts w:cs="宋体"/>
          <w:b/>
          <w:bCs/>
          <w:color w:val="5F9CEF"/>
          <w:kern w:val="0"/>
          <w:sz w:val="28"/>
          <w:szCs w:val="23"/>
        </w:rPr>
        <w:endnoteReference w:id="28"/>
      </w:r>
      <w:r w:rsidRPr="0055724E">
        <w:rPr>
          <w:rFonts w:cs="宋体"/>
          <w:b/>
          <w:bCs/>
          <w:color w:val="A0A0A0"/>
          <w:kern w:val="0"/>
          <w:sz w:val="21"/>
          <w:szCs w:val="21"/>
        </w:rPr>
        <w:t>）</w:t>
      </w:r>
      <w:r w:rsidRPr="0055724E">
        <w:rPr>
          <w:rFonts w:cs="宋体"/>
          <w:kern w:val="0"/>
          <w:sz w:val="28"/>
          <w:szCs w:val="24"/>
        </w:rPr>
        <w:t>而公重不相善也，是兩盡也。……今也王愛富摯而公不善也，是不臣也。’”</w:t>
      </w:r>
    </w:p>
    <w:p w14:paraId="1B8AF268"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（11）《魏策一》“張儀惡陳軫於魏王”章：“儀</w:t>
      </w:r>
      <w:r w:rsidRPr="0055724E">
        <w:rPr>
          <w:rFonts w:cs="宋体"/>
          <w:b/>
          <w:bCs/>
          <w:color w:val="A0A0A0"/>
          <w:kern w:val="0"/>
          <w:sz w:val="21"/>
          <w:szCs w:val="21"/>
        </w:rPr>
        <w:t>（按：指張儀）</w:t>
      </w:r>
      <w:r w:rsidRPr="0055724E">
        <w:rPr>
          <w:rFonts w:cs="宋体"/>
          <w:b/>
          <w:bCs/>
          <w:kern w:val="0"/>
          <w:sz w:val="28"/>
          <w:szCs w:val="24"/>
          <w:u w:val="single"/>
        </w:rPr>
        <w:t>善於</w:t>
      </w:r>
      <w:r w:rsidRPr="0055724E">
        <w:rPr>
          <w:rFonts w:cs="宋体"/>
          <w:kern w:val="0"/>
          <w:sz w:val="28"/>
          <w:szCs w:val="24"/>
        </w:rPr>
        <w:t>魏王，魏王甚愛之。”</w:t>
      </w:r>
      <w:r w:rsidRPr="0055724E">
        <w:rPr>
          <w:rFonts w:cs="宋体"/>
          <w:b/>
          <w:bCs/>
          <w:color w:val="A0A0A0"/>
          <w:kern w:val="0"/>
          <w:sz w:val="21"/>
          <w:szCs w:val="21"/>
        </w:rPr>
        <w:t>（同書《楚策三》“陳軫告楚之魏”章記同一事，此句作“儀善於魏王，魏王甚信之”。）</w:t>
      </w:r>
    </w:p>
    <w:p w14:paraId="05627C4F" w14:textId="4B5874F0"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4"/>
        </w:rPr>
        <w:lastRenderedPageBreak/>
        <w:t>《韓非子·</w:t>
      </w:r>
      <w:r w:rsidRPr="0055724E">
        <w:rPr>
          <w:rFonts w:cs="宋体"/>
          <w:color w:val="000000"/>
          <w:kern w:val="0"/>
          <w:sz w:val="28"/>
          <w:szCs w:val="23"/>
        </w:rPr>
        <w:t>内</w:t>
      </w:r>
      <w:r w:rsidRPr="0055724E">
        <w:rPr>
          <w:rFonts w:cs="宋体"/>
          <w:color w:val="000000"/>
          <w:kern w:val="0"/>
          <w:sz w:val="28"/>
          <w:szCs w:val="24"/>
        </w:rPr>
        <w:t>儲</w:t>
      </w:r>
      <w:r w:rsidRPr="0055724E">
        <w:rPr>
          <w:rFonts w:cs="宋体"/>
          <w:color w:val="000000"/>
          <w:kern w:val="0"/>
          <w:sz w:val="28"/>
          <w:szCs w:val="23"/>
        </w:rPr>
        <w:t>説</w:t>
      </w:r>
      <w:r w:rsidRPr="0055724E">
        <w:rPr>
          <w:rFonts w:cs="宋体"/>
          <w:color w:val="000000"/>
          <w:kern w:val="0"/>
          <w:sz w:val="28"/>
          <w:szCs w:val="24"/>
        </w:rPr>
        <w:t>下》舉了戰國時身爲一國大臣而與他國勾結的四個事例，在講到其人與他國的關係時都用“善於”：</w:t>
      </w:r>
    </w:p>
    <w:p w14:paraId="0E166E78"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（12）翟璜，魏王之臣也，而</w:t>
      </w:r>
      <w:r w:rsidRPr="0055724E">
        <w:rPr>
          <w:rFonts w:cs="宋体"/>
          <w:b/>
          <w:bCs/>
          <w:kern w:val="0"/>
          <w:sz w:val="28"/>
          <w:szCs w:val="24"/>
          <w:u w:val="single"/>
        </w:rPr>
        <w:t>善於</w:t>
      </w:r>
      <w:r w:rsidRPr="0055724E">
        <w:rPr>
          <w:rFonts w:cs="宋体"/>
          <w:kern w:val="0"/>
          <w:sz w:val="28"/>
          <w:szCs w:val="24"/>
        </w:rPr>
        <w:t>韓……</w:t>
      </w:r>
    </w:p>
    <w:p w14:paraId="32B9C3F5"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（13）司馬喜，中山君之臣也，而</w:t>
      </w:r>
      <w:r w:rsidRPr="0055724E">
        <w:rPr>
          <w:rFonts w:cs="宋体"/>
          <w:b/>
          <w:bCs/>
          <w:kern w:val="0"/>
          <w:sz w:val="28"/>
          <w:szCs w:val="24"/>
          <w:u w:val="single"/>
        </w:rPr>
        <w:t>善於</w:t>
      </w:r>
      <w:r w:rsidRPr="0055724E">
        <w:rPr>
          <w:rFonts w:cs="宋体"/>
          <w:kern w:val="0"/>
          <w:sz w:val="28"/>
          <w:szCs w:val="24"/>
        </w:rPr>
        <w:t>趙……</w:t>
      </w:r>
    </w:p>
    <w:p w14:paraId="48F8CDD6"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（14）</w:t>
      </w:r>
      <w:r w:rsidRPr="0055724E">
        <w:rPr>
          <w:rFonts w:cs="宋体"/>
          <w:color w:val="000000"/>
          <w:kern w:val="0"/>
          <w:sz w:val="28"/>
          <w:szCs w:val="23"/>
        </w:rPr>
        <w:t>吕</w:t>
      </w:r>
      <w:r w:rsidRPr="0055724E">
        <w:rPr>
          <w:rFonts w:cs="宋体"/>
          <w:kern w:val="0"/>
          <w:sz w:val="28"/>
          <w:szCs w:val="24"/>
        </w:rPr>
        <w:t>倉，魏王之臣也，而</w:t>
      </w:r>
      <w:r w:rsidRPr="0055724E">
        <w:rPr>
          <w:rFonts w:cs="宋体"/>
          <w:b/>
          <w:bCs/>
          <w:kern w:val="0"/>
          <w:sz w:val="28"/>
          <w:szCs w:val="24"/>
          <w:u w:val="single"/>
        </w:rPr>
        <w:t>善於</w:t>
      </w:r>
      <w:r w:rsidRPr="0055724E">
        <w:rPr>
          <w:rFonts w:cs="宋体"/>
          <w:kern w:val="0"/>
          <w:sz w:val="28"/>
          <w:szCs w:val="24"/>
        </w:rPr>
        <w:t>秦、荊……</w:t>
      </w:r>
    </w:p>
    <w:p w14:paraId="6C6DA032"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（15）陳需，魏王之臣也，</w:t>
      </w:r>
      <w:r w:rsidRPr="0055724E">
        <w:rPr>
          <w:rFonts w:cs="宋体"/>
          <w:b/>
          <w:bCs/>
          <w:kern w:val="0"/>
          <w:sz w:val="28"/>
          <w:szCs w:val="24"/>
          <w:u w:val="single"/>
        </w:rPr>
        <w:t>善於</w:t>
      </w:r>
      <w:r w:rsidRPr="0055724E">
        <w:rPr>
          <w:rFonts w:cs="宋体"/>
          <w:kern w:val="0"/>
          <w:sz w:val="28"/>
          <w:szCs w:val="24"/>
        </w:rPr>
        <w:t>荊王……</w:t>
      </w:r>
    </w:p>
    <w:p w14:paraId="106B44A7" w14:textId="3C8243BE" w:rsidR="009F4F5A" w:rsidRDefault="009F4F5A" w:rsidP="00445DA3">
      <w:pPr>
        <w:widowControl/>
        <w:spacing w:beforeLines="50" w:before="180" w:line="480" w:lineRule="auto"/>
        <w:jc w:val="left"/>
        <w:rPr>
          <w:rFonts w:cs="宋体"/>
          <w:kern w:val="0"/>
          <w:sz w:val="28"/>
          <w:szCs w:val="24"/>
        </w:rPr>
      </w:pPr>
      <w:r w:rsidRPr="0055724E">
        <w:rPr>
          <w:rFonts w:cs="宋体"/>
          <w:color w:val="000000"/>
          <w:kern w:val="0"/>
          <w:sz w:val="28"/>
          <w:szCs w:val="23"/>
        </w:rPr>
        <w:t>同篇又講到：</w:t>
      </w:r>
    </w:p>
    <w:p w14:paraId="69BEB892"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（16）秦侏儒</w:t>
      </w:r>
      <w:r w:rsidRPr="0055724E">
        <w:rPr>
          <w:rFonts w:cs="宋体"/>
          <w:b/>
          <w:bCs/>
          <w:kern w:val="0"/>
          <w:sz w:val="28"/>
          <w:szCs w:val="24"/>
          <w:u w:val="single"/>
        </w:rPr>
        <w:t>善於</w:t>
      </w:r>
      <w:r w:rsidRPr="0055724E">
        <w:rPr>
          <w:rFonts w:cs="宋体"/>
          <w:kern w:val="0"/>
          <w:sz w:val="28"/>
          <w:szCs w:val="24"/>
        </w:rPr>
        <w:t>荊王而陰有善荊王左右，而</w:t>
      </w:r>
      <w:r w:rsidRPr="0055724E">
        <w:rPr>
          <w:rFonts w:cs="宋体"/>
          <w:color w:val="000000"/>
          <w:kern w:val="0"/>
          <w:sz w:val="28"/>
          <w:szCs w:val="23"/>
        </w:rPr>
        <w:t>内</w:t>
      </w:r>
      <w:r w:rsidRPr="0055724E">
        <w:rPr>
          <w:rFonts w:cs="宋体"/>
          <w:kern w:val="0"/>
          <w:sz w:val="28"/>
          <w:szCs w:val="24"/>
        </w:rPr>
        <w:t>重於惠文君</w:t>
      </w:r>
      <w:r w:rsidRPr="0055724E">
        <w:rPr>
          <w:rFonts w:cs="宋体"/>
          <w:b/>
          <w:bCs/>
          <w:color w:val="A0A0A0"/>
          <w:kern w:val="0"/>
          <w:sz w:val="21"/>
          <w:szCs w:val="21"/>
        </w:rPr>
        <w:t>（按：即後來稱王的秦惠王）</w:t>
      </w:r>
      <w:r w:rsidRPr="0055724E">
        <w:rPr>
          <w:rFonts w:cs="宋体"/>
          <w:kern w:val="0"/>
          <w:sz w:val="28"/>
          <w:szCs w:val="24"/>
        </w:rPr>
        <w:t>。荊適有謀，侏儒常先聞之以告惠文君。</w:t>
      </w:r>
    </w:p>
    <w:p w14:paraId="58532EC8" w14:textId="44A785A4"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《史記》的例子將在後面提到。</w:t>
      </w:r>
    </w:p>
    <w:p w14:paraId="6CA5D933"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這種加在“善”與指某國或某人的賓語之間的“於”，其作用似可分爲兩種。第一種是引出處在賓語地位的施事者，在上古漢語中“於”字的這種用法是常見的。第二種起加强語氣的作用。何樂士在討論《左傳》中介詞“于”和“於”的時候在“引進動詞的賓語”這一小節中指出：在《左傳》中有些動詞“大多數情況下都是用作及物動詞，直接帶受事賓語；可是在一定的語言環境中，爲了表示强調或</w:t>
      </w:r>
      <w:r w:rsidRPr="0055724E">
        <w:rPr>
          <w:rFonts w:cs="宋体"/>
          <w:color w:val="000000"/>
          <w:kern w:val="0"/>
          <w:sz w:val="28"/>
          <w:szCs w:val="23"/>
        </w:rPr>
        <w:lastRenderedPageBreak/>
        <w:t>其他原因，卻用‘于’或‘於’（主要是‘於’）把受事賓語引進來，形式上是動補式，實際是動賓結構的一種變式。此式中的‘于’和‘於’主要起加强語氣的作用”。</w:t>
      </w:r>
      <w:r w:rsidRPr="00965627">
        <w:rPr>
          <w:rStyle w:val="ae"/>
          <w:rFonts w:cs="宋体"/>
          <w:color w:val="000000"/>
          <w:kern w:val="0"/>
          <w:sz w:val="28"/>
          <w:szCs w:val="23"/>
        </w:rPr>
        <w:endnoteReference w:id="29"/>
      </w:r>
      <w:r w:rsidRPr="0055724E">
        <w:rPr>
          <w:rFonts w:cs="宋体"/>
          <w:color w:val="000000"/>
          <w:kern w:val="0"/>
          <w:sz w:val="28"/>
          <w:szCs w:val="23"/>
        </w:rPr>
        <w:t>她所舉的例子及其具體分析大部分可信。</w:t>
      </w:r>
      <w:r w:rsidRPr="00965627">
        <w:rPr>
          <w:rStyle w:val="ae"/>
          <w:rFonts w:cs="宋体"/>
          <w:color w:val="000000"/>
          <w:kern w:val="0"/>
          <w:sz w:val="28"/>
          <w:szCs w:val="23"/>
        </w:rPr>
        <w:endnoteReference w:id="30"/>
      </w:r>
      <w:r w:rsidRPr="0055724E">
        <w:rPr>
          <w:rFonts w:cs="宋体"/>
          <w:color w:val="000000"/>
          <w:kern w:val="0"/>
          <w:sz w:val="28"/>
          <w:szCs w:val="23"/>
        </w:rPr>
        <w:t>我們認爲，如果在“善”與其賓語之間加上“於”字，而其後的賓語仍指受事者而不是施事者，這種“於”字就應該屬於上引何樂士文所指出的那種“於”字的範圍，其作用是强調賓語、“加强語氣”。下面我們就來具體分析一下前面舉出的那些例子。</w:t>
      </w:r>
    </w:p>
    <w:p w14:paraId="24287DD4"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從所舉《戰國策》的例子可以比較明顯地看出，“善”和賓語之間的“於”有的屬於第一種，有的屬於第二種。第（7）例中的“交”指人或國之間的交接</w:t>
      </w:r>
      <w:r w:rsidRPr="0055724E">
        <w:rPr>
          <w:rFonts w:cs="宋体"/>
          <w:b/>
          <w:bCs/>
          <w:color w:val="A0A0A0"/>
          <w:kern w:val="0"/>
          <w:sz w:val="21"/>
          <w:szCs w:val="21"/>
        </w:rPr>
        <w:t>（“接”指接觸）</w:t>
      </w:r>
      <w:r w:rsidRPr="0055724E">
        <w:rPr>
          <w:rFonts w:cs="宋体"/>
          <w:color w:val="000000"/>
          <w:kern w:val="0"/>
          <w:sz w:val="28"/>
          <w:szCs w:val="23"/>
        </w:rPr>
        <w:t>、交往，第（8）（9）例“交”字同。《戰國策·趙策三》“秦攻趙於長平”章“昔者三晋之交於秦，相善也”，第（7）例的“交善楚、魏”就是與楚、魏交而相善的意思，其下一句中楚、魏仍是“善”的受事賓語，但其前加上了“於”字，這個“於”字應該是加强語氣的。第（8）例的“交善於秦”、“交惡於秦”就是與秦交而善於秦、與秦交而惡於秦的意思，高誘《戰國策》注在“交善於秦”下釋曰：“爲秦所善也。”</w:t>
      </w:r>
      <w:r w:rsidRPr="00965627">
        <w:rPr>
          <w:rStyle w:val="ae"/>
          <w:rFonts w:cs="宋体"/>
          <w:color w:val="000000"/>
          <w:kern w:val="0"/>
          <w:sz w:val="28"/>
          <w:szCs w:val="23"/>
        </w:rPr>
        <w:endnoteReference w:id="31"/>
      </w:r>
      <w:r w:rsidRPr="0055724E">
        <w:rPr>
          <w:rFonts w:cs="宋体"/>
          <w:color w:val="000000"/>
          <w:kern w:val="0"/>
          <w:sz w:val="28"/>
          <w:szCs w:val="23"/>
        </w:rPr>
        <w:t>高氏没有注“交惡於秦”句，但他應該是將此句理解爲爲秦所惡的。高氏把“於”字後的“秦”看成施事者，這是很正確的，“交善於秦”應該是與秦交</w:t>
      </w:r>
      <w:r w:rsidRPr="0055724E">
        <w:rPr>
          <w:rFonts w:cs="宋体"/>
          <w:color w:val="000000"/>
          <w:kern w:val="0"/>
          <w:sz w:val="28"/>
          <w:szCs w:val="23"/>
        </w:rPr>
        <w:lastRenderedPageBreak/>
        <w:t>而爲秦所友好對待的意思。“惡於秦”與上文所説西周君朝廷上覬覦相位者將“惡臣於秦”“惡周於秦”相應。在當時形勢下，西周交秦，結果是好是壞，其主動權完全操在秦國手裏，把“善於秦”、“惡於秦”理解爲“爲秦所善”、“爲秦所惡”是完全合理的，所以“善於秦”的“於”是引出施事者的。末句的“不善於公者”就指西周君朝廷上與周足關係不好的覬覦相位者，“公”應是“不善”的受事者，所以“公”上的“於”字是起加强語氣的作用的。在此例中，我們所説的兩種“於”並見。第（9）例“靖郭君之交大不善於宣王”句的意思應該是説靖郭君在與齊宣王的交接、交往中，大爲宣王所不善，也就是靖郭君與齊宣王的關係搞得很不好的意思。《吕氏春秋·知士》篇有與《戰國策》此章相同的内容</w:t>
      </w:r>
      <w:r w:rsidRPr="0055724E">
        <w:rPr>
          <w:rFonts w:cs="宋体"/>
          <w:b/>
          <w:bCs/>
          <w:color w:val="A0A0A0"/>
          <w:kern w:val="0"/>
          <w:sz w:val="21"/>
          <w:szCs w:val="21"/>
        </w:rPr>
        <w:t>（但“齊昆辨”作“劇貌辯”）</w:t>
      </w:r>
      <w:r w:rsidRPr="0055724E">
        <w:rPr>
          <w:rFonts w:cs="宋体"/>
          <w:color w:val="000000"/>
          <w:kern w:val="0"/>
          <w:sz w:val="28"/>
          <w:szCs w:val="23"/>
        </w:rPr>
        <w:t>，此句文字相同，高誘《戰國策》注在此句下釋曰：“宣王不善之也。”同人《吕氏春秋》注在此句下釋曰：“交，接也。大不爲王所善也。”</w:t>
      </w:r>
      <w:r w:rsidRPr="00965627">
        <w:rPr>
          <w:rStyle w:val="ae"/>
          <w:rFonts w:cs="宋体"/>
          <w:color w:val="000000"/>
          <w:kern w:val="0"/>
          <w:sz w:val="28"/>
          <w:szCs w:val="23"/>
        </w:rPr>
        <w:endnoteReference w:id="32"/>
      </w:r>
      <w:r w:rsidRPr="0055724E">
        <w:rPr>
          <w:rFonts w:cs="宋体"/>
          <w:color w:val="000000"/>
          <w:kern w:val="0"/>
          <w:sz w:val="28"/>
          <w:szCs w:val="23"/>
        </w:rPr>
        <w:t>高氏將“於”字後的齊宣王看作施事者，也是正確的。第（10）例“公不善於富摯”中的“富摯”應該是受事者，這個“於”是起加强語氣的作用的。第（11）例從文意看，“儀善於魏王”似應理解爲張儀爲魏王所善，“於”也是引出施事者的。</w:t>
      </w:r>
    </w:p>
    <w:p w14:paraId="1F1C1118"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lastRenderedPageBreak/>
        <w:t>《韓非子》最後一例</w:t>
      </w:r>
      <w:r w:rsidRPr="0055724E">
        <w:rPr>
          <w:rFonts w:cs="宋体"/>
          <w:b/>
          <w:bCs/>
          <w:color w:val="A0A0A0"/>
          <w:kern w:val="0"/>
          <w:sz w:val="21"/>
          <w:szCs w:val="21"/>
        </w:rPr>
        <w:t>（即例16）</w:t>
      </w:r>
      <w:r w:rsidRPr="0055724E">
        <w:rPr>
          <w:rFonts w:cs="宋体"/>
          <w:color w:val="000000"/>
          <w:kern w:val="0"/>
          <w:sz w:val="28"/>
          <w:szCs w:val="23"/>
        </w:rPr>
        <w:t>提到的“侏儒”地位很低，“善於荊王”應該是爲荊王所善視、善待的意思，“陰有善荊王左右”是説他憑藉荊王之寵主動去與荊王左右搞好關係，這一句的“善”後面就没有加“於”。我們引出的前四例</w:t>
      </w:r>
      <w:r w:rsidRPr="0055724E">
        <w:rPr>
          <w:rFonts w:cs="宋体"/>
          <w:b/>
          <w:bCs/>
          <w:color w:val="A0A0A0"/>
          <w:kern w:val="0"/>
          <w:sz w:val="21"/>
          <w:szCs w:val="21"/>
        </w:rPr>
        <w:t>（即例12—15）</w:t>
      </w:r>
      <w:r w:rsidRPr="0055724E">
        <w:rPr>
          <w:rFonts w:cs="宋体"/>
          <w:color w:val="000000"/>
          <w:kern w:val="0"/>
          <w:sz w:val="28"/>
          <w:szCs w:val="23"/>
        </w:rPr>
        <w:t>句子的意義，可以理解爲某人身爲某國大臣，又爲自己去搞好與他國的關係，這樣“於”字就應該屬於我們所説的第二種；也可以理解爲某人身爲某國大臣，又爲他國所“善”，這樣“於”字就應該屬於我們所説的第一種。到底應該怎樣看，很難斷定。第（15）例不説善於荊而説“善於荊王”，“於”字屬於第一種的可能性似較大，但也不能完全排斥屬於第二種的可能性。</w:t>
      </w:r>
    </w:p>
    <w:p w14:paraId="32E3820C"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上舉《曹沫之陣》一例</w:t>
      </w:r>
      <w:r w:rsidRPr="0055724E">
        <w:rPr>
          <w:rFonts w:cs="宋体"/>
          <w:b/>
          <w:bCs/>
          <w:color w:val="A0A0A0"/>
          <w:kern w:val="0"/>
          <w:sz w:val="21"/>
          <w:szCs w:val="21"/>
        </w:rPr>
        <w:t>（例6）</w:t>
      </w:r>
      <w:r w:rsidRPr="0055724E">
        <w:rPr>
          <w:rFonts w:cs="宋体"/>
          <w:color w:val="000000"/>
          <w:kern w:val="0"/>
          <w:sz w:val="28"/>
          <w:szCs w:val="23"/>
        </w:rPr>
        <w:t>是在“善”與指某種人的賓語之間加“於”的例子。從文意看，“於”應該是起强調語氣的作用的。《曹沫之陣》記魯莊公與曹沫之間的問答，我們引出的曹沫之語指出，無論“鄰邦之君”是賢明的還是無道的，君都必須“修政而善於民”，“善於民”的意思就是要很好地對待人民，也就是要把與人民的關係搞得很好。在“善”後加“於”是爲了强調善民的重要性。</w:t>
      </w:r>
    </w:p>
    <w:p w14:paraId="062CF020"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《左傳》的例子中，第（1）例需要作較多的討論。僖公二十六年《春秋經》記：“冬，楚人伐宋，圍緡。”《左傳》解釋説：“宋</w:t>
      </w:r>
      <w:r w:rsidRPr="0055724E">
        <w:rPr>
          <w:rFonts w:cs="宋体"/>
          <w:color w:val="000000"/>
          <w:kern w:val="0"/>
          <w:sz w:val="28"/>
          <w:szCs w:val="23"/>
        </w:rPr>
        <w:lastRenderedPageBreak/>
        <w:t>以其善於晋侯也，叛楚即晋。冬，楚令尹子玉、司馬子西帥師伐宋，圍緡。”杜預對“宋以其善於晋侯也”句注曰：“重耳之出也，宋襄公贈馬二十乘也。”</w:t>
      </w:r>
      <w:r w:rsidRPr="00965627">
        <w:rPr>
          <w:rStyle w:val="ae"/>
          <w:rFonts w:cs="宋体"/>
          <w:color w:val="000000"/>
          <w:kern w:val="0"/>
          <w:sz w:val="28"/>
          <w:szCs w:val="23"/>
        </w:rPr>
        <w:endnoteReference w:id="33"/>
      </w:r>
      <w:r w:rsidRPr="0055724E">
        <w:rPr>
          <w:rFonts w:cs="宋体"/>
          <w:color w:val="000000"/>
          <w:kern w:val="0"/>
          <w:sz w:val="28"/>
          <w:szCs w:val="23"/>
        </w:rPr>
        <w:t>後人多從之。按照這種解釋，“晋侯”是受事者，“於”應該是起强調語氣的作用的。《史記·宋世家》在宋成公三年</w:t>
      </w:r>
      <w:r w:rsidRPr="0055724E">
        <w:rPr>
          <w:rFonts w:cs="宋体"/>
          <w:b/>
          <w:bCs/>
          <w:color w:val="A0A0A0"/>
          <w:kern w:val="0"/>
          <w:sz w:val="21"/>
          <w:szCs w:val="21"/>
        </w:rPr>
        <w:t>（即魯僖公二十六年，前634年）</w:t>
      </w:r>
      <w:r w:rsidRPr="0055724E">
        <w:rPr>
          <w:rFonts w:cs="宋体"/>
          <w:color w:val="000000"/>
          <w:kern w:val="0"/>
          <w:sz w:val="28"/>
          <w:szCs w:val="23"/>
        </w:rPr>
        <w:t>記宋“倍楚盟親晋，以有德於文公也”，所謂“有德於文公”顯然就指重耳出奔時宋曾厚待重耳之事。但是，重耳過宋在魯僖公二十三年</w:t>
      </w:r>
      <w:r w:rsidRPr="0055724E">
        <w:rPr>
          <w:rFonts w:cs="宋体"/>
          <w:b/>
          <w:bCs/>
          <w:color w:val="A0A0A0"/>
          <w:kern w:val="0"/>
          <w:sz w:val="21"/>
          <w:szCs w:val="21"/>
        </w:rPr>
        <w:t>（前637年）</w:t>
      </w:r>
      <w:r w:rsidRPr="0055724E">
        <w:rPr>
          <w:rFonts w:cs="宋体"/>
          <w:color w:val="000000"/>
          <w:kern w:val="0"/>
          <w:sz w:val="28"/>
          <w:szCs w:val="23"/>
        </w:rPr>
        <w:t>，至魯僖公二十六年時晋文公在位已有三年，對此時宋“叛楚即晋”的原因，似不應只提往事而不涉及宋與晋在當時的關係。晋文公即位後，由於在出奔時曾受到宋的厚待，一定會善視、善待宋國，宋人當是因此而“叛楚即晋”的。所以，“善於晋侯”應該是爲“晋侯”所善視、善待的意思，“於”字起引出施事者“晋侯”的作用。從文意上看，其他四例</w:t>
      </w:r>
      <w:r w:rsidRPr="0055724E">
        <w:rPr>
          <w:rFonts w:cs="宋体"/>
          <w:b/>
          <w:bCs/>
          <w:color w:val="A0A0A0"/>
          <w:kern w:val="0"/>
          <w:sz w:val="21"/>
          <w:szCs w:val="21"/>
        </w:rPr>
        <w:t>（即例2—5）</w:t>
      </w:r>
      <w:r w:rsidRPr="0055724E">
        <w:rPr>
          <w:rFonts w:cs="宋体"/>
          <w:color w:val="000000"/>
          <w:kern w:val="0"/>
          <w:sz w:val="28"/>
          <w:szCs w:val="23"/>
        </w:rPr>
        <w:t>中，出現在“善於”之後的都應該是受事者，“於”當起强調語氣的作用。《史記·宋世家》在宋共公十年</w:t>
      </w:r>
      <w:r w:rsidRPr="0055724E">
        <w:rPr>
          <w:rFonts w:cs="宋体"/>
          <w:b/>
          <w:bCs/>
          <w:color w:val="A0A0A0"/>
          <w:kern w:val="0"/>
          <w:sz w:val="21"/>
          <w:szCs w:val="21"/>
        </w:rPr>
        <w:t>（前579年）</w:t>
      </w:r>
      <w:r w:rsidRPr="0055724E">
        <w:rPr>
          <w:rFonts w:cs="宋体"/>
          <w:color w:val="000000"/>
          <w:kern w:val="0"/>
          <w:sz w:val="28"/>
          <w:szCs w:val="23"/>
        </w:rPr>
        <w:t>記“華元善楚將子重，又善晋將欒書，兩盟晋楚”，在講華元與令尹子重和欒武子的關係時，在“善”後未用“於”字，似可作爲《左傳》第（2）例中“善於”之“於”起的是加强語氣的作用的旁證。華元與欒武子和令尹子重二人都有良好的關係，是他能促成弭兵的重要條件，《左傳》大概是因</w:t>
      </w:r>
      <w:r w:rsidRPr="0055724E">
        <w:rPr>
          <w:rFonts w:cs="宋体"/>
          <w:color w:val="000000"/>
          <w:kern w:val="0"/>
          <w:sz w:val="28"/>
          <w:szCs w:val="23"/>
        </w:rPr>
        <w:lastRenderedPageBreak/>
        <w:t>此在兩個“善”字後面加上“於”字的。由於行文時應否加强語氣不同的作者可以有不同的想法，所以在記述同一件事的時候，在“善”字後有人加“於”，有人不加“於”，是不足爲怪的。</w:t>
      </w:r>
    </w:p>
    <w:p w14:paraId="1F652E21"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我們也可以找到《史記》與其他先秦古書記述同一件事時其他古書只説“善”而《史記》説“善於”的例子。《戰國策·秦策一》和《史記·張儀列傳》都記有“張儀惡陳軫於秦王”之事，所用言語也相當接近，當出自或輾轉出自同一原始文獻。《秦策一》“張儀又惡陳軫於秦王”章開頭説：</w:t>
      </w:r>
    </w:p>
    <w:p w14:paraId="3C4140D3"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張儀又惡陳軫於秦王，曰：“軫馳楚、秦之間，今楚不加善秦而善軫，然則是軫自爲而不爲國也。”</w:t>
      </w:r>
    </w:p>
    <w:p w14:paraId="1857BA54" w14:textId="77777777" w:rsidR="009F4F5A" w:rsidRPr="0055724E" w:rsidRDefault="009F4F5A" w:rsidP="00445DA3">
      <w:pPr>
        <w:widowControl/>
        <w:spacing w:beforeLines="50" w:before="180" w:line="480" w:lineRule="auto"/>
        <w:jc w:val="left"/>
        <w:rPr>
          <w:rFonts w:cs="宋体"/>
          <w:kern w:val="0"/>
          <w:sz w:val="28"/>
          <w:szCs w:val="24"/>
        </w:rPr>
      </w:pPr>
      <w:r w:rsidRPr="0055724E">
        <w:rPr>
          <w:rFonts w:cs="宋体"/>
          <w:color w:val="000000"/>
          <w:kern w:val="0"/>
          <w:sz w:val="28"/>
          <w:szCs w:val="24"/>
        </w:rPr>
        <w:t>《張儀列傳》相應之文作：</w:t>
      </w:r>
    </w:p>
    <w:p w14:paraId="3E8DCA6A"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張儀惡陳軫於秦王曰：“軫重幣輕使秦、楚之間，將爲國交也。今楚不加善於秦而善軫者</w:t>
      </w:r>
      <w:r w:rsidRPr="0055724E">
        <w:rPr>
          <w:rFonts w:cs="宋体"/>
          <w:b/>
          <w:bCs/>
          <w:color w:val="A0A0A0"/>
          <w:kern w:val="0"/>
          <w:sz w:val="21"/>
          <w:szCs w:val="21"/>
        </w:rPr>
        <w:t>（王叔岷《史記斠證》案：《御覽》引作‘今楚不善於秦而善於軫’。《長短經》同）</w:t>
      </w:r>
      <w:r>
        <w:rPr>
          <w:rStyle w:val="ae"/>
          <w:rFonts w:cs="宋体"/>
          <w:b/>
          <w:bCs/>
          <w:color w:val="A0A0A0"/>
          <w:kern w:val="0"/>
          <w:sz w:val="21"/>
          <w:szCs w:val="21"/>
        </w:rPr>
        <w:endnoteReference w:id="34"/>
      </w:r>
      <w:r w:rsidRPr="0055724E">
        <w:rPr>
          <w:rFonts w:cs="宋体"/>
          <w:kern w:val="0"/>
          <w:sz w:val="28"/>
          <w:szCs w:val="24"/>
        </w:rPr>
        <w:t>，軫自爲厚而爲王薄也。”</w:t>
      </w:r>
    </w:p>
    <w:p w14:paraId="55759FEC" w14:textId="54BBAAA1" w:rsidR="009F4F5A" w:rsidRDefault="009F4F5A" w:rsidP="00445DA3">
      <w:pPr>
        <w:widowControl/>
        <w:spacing w:beforeLines="50" w:before="180" w:line="480" w:lineRule="auto"/>
        <w:jc w:val="left"/>
        <w:rPr>
          <w:rFonts w:cs="宋体"/>
          <w:kern w:val="0"/>
          <w:sz w:val="28"/>
          <w:szCs w:val="24"/>
        </w:rPr>
      </w:pPr>
      <w:r w:rsidRPr="0055724E">
        <w:rPr>
          <w:rFonts w:cs="宋体"/>
          <w:color w:val="000000"/>
          <w:kern w:val="0"/>
          <w:sz w:val="28"/>
          <w:szCs w:val="23"/>
        </w:rPr>
        <w:t>《戰國策》作“加善秦”，《史記》則作“加善於秦”。據《太平御覽》等所引，“善軫”《史記》亦作“善於軫”。</w:t>
      </w:r>
    </w:p>
    <w:p w14:paraId="355F81A2"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lastRenderedPageBreak/>
        <w:t>馬王堆帛書中，有性質與《戰國策》相類的、爲整理者定名爲《戰國縱橫家書》的一種，此帛書含二十七章，各章所記之事頗有已見於《戰國策》或《史記》者，所用言語也相當接近。其中有七章既見於《戰國策》也見於《史記》，有三章只見於《戰國策》，有一章只見於《史記》。只見於《史記》的是《蘇秦謂陳軫章》，此章末句作：</w:t>
      </w:r>
    </w:p>
    <w:p w14:paraId="39893246"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……□□善公而[惡張]【247】</w:t>
      </w:r>
      <w:r w:rsidRPr="0055724E">
        <w:rPr>
          <w:rFonts w:cs="宋体"/>
          <w:b/>
          <w:bCs/>
          <w:kern w:val="0"/>
          <w:sz w:val="28"/>
          <w:szCs w:val="24"/>
        </w:rPr>
        <w:t>儀</w:t>
      </w:r>
      <w:r w:rsidRPr="0055724E">
        <w:rPr>
          <w:rFonts w:cs="宋体"/>
          <w:kern w:val="0"/>
          <w:sz w:val="28"/>
          <w:szCs w:val="24"/>
        </w:rPr>
        <w:t>多資矣。【248】</w:t>
      </w:r>
      <w:r w:rsidRPr="00965627">
        <w:rPr>
          <w:rStyle w:val="ae"/>
          <w:rFonts w:cs="宋体"/>
          <w:kern w:val="0"/>
          <w:sz w:val="28"/>
          <w:szCs w:val="24"/>
        </w:rPr>
        <w:endnoteReference w:id="35"/>
      </w:r>
    </w:p>
    <w:p w14:paraId="348EF744" w14:textId="609B1BDF" w:rsidR="009F4F5A" w:rsidRDefault="009F4F5A" w:rsidP="00445DA3">
      <w:pPr>
        <w:widowControl/>
        <w:spacing w:beforeLines="50" w:before="180" w:line="480" w:lineRule="auto"/>
        <w:jc w:val="left"/>
        <w:rPr>
          <w:rFonts w:cs="宋体"/>
          <w:kern w:val="0"/>
          <w:sz w:val="28"/>
          <w:szCs w:val="24"/>
        </w:rPr>
      </w:pPr>
      <w:r w:rsidRPr="0055724E">
        <w:rPr>
          <w:rFonts w:cs="宋体"/>
          <w:color w:val="000000"/>
          <w:kern w:val="0"/>
          <w:sz w:val="28"/>
          <w:szCs w:val="23"/>
        </w:rPr>
        <w:t>《史記·田齊世家》相應之文的末句作：</w:t>
      </w:r>
    </w:p>
    <w:p w14:paraId="2B6F04A6"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……此其善於公而惡張子多資矣。</w:t>
      </w:r>
    </w:p>
    <w:p w14:paraId="3715251B" w14:textId="5F5A6F5C" w:rsidR="009F4F5A" w:rsidRDefault="009F4F5A" w:rsidP="00445DA3">
      <w:pPr>
        <w:widowControl/>
        <w:spacing w:beforeLines="50" w:before="180" w:line="480" w:lineRule="auto"/>
        <w:jc w:val="left"/>
        <w:rPr>
          <w:rFonts w:cs="宋体"/>
          <w:kern w:val="0"/>
          <w:sz w:val="28"/>
          <w:szCs w:val="24"/>
        </w:rPr>
      </w:pPr>
      <w:r w:rsidRPr="0055724E">
        <w:rPr>
          <w:rFonts w:cs="宋体"/>
          <w:color w:val="000000"/>
          <w:kern w:val="0"/>
          <w:sz w:val="28"/>
          <w:szCs w:val="23"/>
        </w:rPr>
        <w:t>“善”後加“於”字。</w:t>
      </w:r>
    </w:p>
    <w:p w14:paraId="669CCDB8"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這兩例應該是《史記》爲了加强語氣而在“善”後加“於”的，估計在《史記》《戰國策》《戰國縱橫家書》所自出的原始文獻中，“善”後是不加“於”字的。</w:t>
      </w:r>
    </w:p>
    <w:p w14:paraId="44538E35"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此外，《史記》中還有兩處出現這種“善於”：</w:t>
      </w:r>
    </w:p>
    <w:p w14:paraId="4DBAF834"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《管蔡世家》：“初，</w:t>
      </w:r>
      <w:r w:rsidRPr="0055724E">
        <w:rPr>
          <w:rFonts w:cs="宋体"/>
          <w:color w:val="000000"/>
          <w:kern w:val="0"/>
          <w:sz w:val="28"/>
          <w:szCs w:val="23"/>
        </w:rPr>
        <w:t>晋</w:t>
      </w:r>
      <w:r w:rsidRPr="0055724E">
        <w:rPr>
          <w:rFonts w:cs="宋体"/>
          <w:kern w:val="0"/>
          <w:sz w:val="28"/>
          <w:szCs w:val="24"/>
        </w:rPr>
        <w:t>公子重耳其亡過曹，曹君無禮，欲觀其駢脅。釐負羈諫，不聽，私</w:t>
      </w:r>
      <w:r w:rsidRPr="0055724E">
        <w:rPr>
          <w:rFonts w:cs="宋体"/>
          <w:b/>
          <w:bCs/>
          <w:kern w:val="0"/>
          <w:sz w:val="28"/>
          <w:szCs w:val="24"/>
          <w:u w:val="single"/>
        </w:rPr>
        <w:t>善於</w:t>
      </w:r>
      <w:r w:rsidRPr="0055724E">
        <w:rPr>
          <w:rFonts w:cs="宋体"/>
          <w:kern w:val="0"/>
          <w:sz w:val="28"/>
          <w:szCs w:val="24"/>
        </w:rPr>
        <w:t>重耳。”</w:t>
      </w:r>
    </w:p>
    <w:p w14:paraId="1B8FC97D"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lastRenderedPageBreak/>
        <w:t>《</w:t>
      </w:r>
      <w:r w:rsidRPr="0055724E">
        <w:rPr>
          <w:rFonts w:cs="宋体"/>
          <w:color w:val="000000"/>
          <w:kern w:val="0"/>
          <w:sz w:val="28"/>
          <w:szCs w:val="23"/>
        </w:rPr>
        <w:t>晋</w:t>
      </w:r>
      <w:r w:rsidRPr="0055724E">
        <w:rPr>
          <w:rFonts w:cs="宋体"/>
          <w:kern w:val="0"/>
          <w:sz w:val="28"/>
          <w:szCs w:val="24"/>
        </w:rPr>
        <w:t>世家》記重耳出奔過宋，“宋司馬公孫固</w:t>
      </w:r>
      <w:r w:rsidRPr="0055724E">
        <w:rPr>
          <w:rFonts w:cs="宋体"/>
          <w:b/>
          <w:bCs/>
          <w:kern w:val="0"/>
          <w:sz w:val="28"/>
          <w:szCs w:val="24"/>
          <w:u w:val="single"/>
        </w:rPr>
        <w:t>善於</w:t>
      </w:r>
      <w:r w:rsidRPr="0055724E">
        <w:rPr>
          <w:rFonts w:cs="宋体"/>
          <w:kern w:val="0"/>
          <w:sz w:val="28"/>
          <w:szCs w:val="24"/>
        </w:rPr>
        <w:t>咎犯，曰：‘宋小國新困，不足以求入，更之大國。’”</w:t>
      </w:r>
    </w:p>
    <w:p w14:paraId="6581D73E" w14:textId="77777777" w:rsidR="009F4F5A" w:rsidRDefault="009F4F5A" w:rsidP="00445DA3">
      <w:pPr>
        <w:widowControl/>
        <w:spacing w:beforeLines="50" w:before="180" w:line="480" w:lineRule="auto"/>
        <w:jc w:val="left"/>
        <w:rPr>
          <w:rFonts w:cs="宋体"/>
          <w:kern w:val="0"/>
          <w:sz w:val="28"/>
          <w:szCs w:val="24"/>
        </w:rPr>
      </w:pPr>
      <w:r w:rsidRPr="0055724E">
        <w:rPr>
          <w:rFonts w:cs="宋体"/>
          <w:color w:val="000000"/>
          <w:kern w:val="0"/>
          <w:sz w:val="28"/>
          <w:szCs w:val="23"/>
        </w:rPr>
        <w:t>這兩例中的“於”所起的作用，應與上二例同。“善”後加“於”引出施事者的例子未見於《史記》。</w:t>
      </w:r>
    </w:p>
    <w:p w14:paraId="19B7BC60" w14:textId="763189D6" w:rsidR="009F4F5A" w:rsidRDefault="009F4F5A" w:rsidP="00445DA3">
      <w:pPr>
        <w:widowControl/>
        <w:spacing w:beforeLines="50" w:before="180" w:line="480" w:lineRule="auto"/>
        <w:jc w:val="left"/>
        <w:rPr>
          <w:rFonts w:cs="宋体"/>
          <w:kern w:val="0"/>
          <w:sz w:val="28"/>
          <w:szCs w:val="24"/>
        </w:rPr>
      </w:pPr>
      <w:r w:rsidRPr="0055724E">
        <w:rPr>
          <w:rFonts w:cs="宋体"/>
          <w:b/>
          <w:bCs/>
          <w:kern w:val="0"/>
          <w:sz w:val="28"/>
          <w:szCs w:val="24"/>
        </w:rPr>
        <w:t>3.</w:t>
      </w:r>
    </w:p>
    <w:p w14:paraId="14552798"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如果在表示彼此能搞好關係的“善”字前加上“相”字，涉及的雙方或多方就都要出現在“相善”之前。如前面已經提到過的“昔者三晋之交於秦，相善也”</w:t>
      </w:r>
      <w:r w:rsidRPr="0055724E">
        <w:rPr>
          <w:rFonts w:cs="宋体"/>
          <w:b/>
          <w:bCs/>
          <w:color w:val="A0A0A0"/>
          <w:kern w:val="0"/>
          <w:sz w:val="21"/>
          <w:szCs w:val="21"/>
        </w:rPr>
        <w:t>（《戰國策·趙策三》“秦攻趙於長平”章。此語亦見《史記·平原君虞卿列傳》，“昔者”作“他日”）</w:t>
      </w:r>
      <w:r w:rsidRPr="0055724E">
        <w:rPr>
          <w:rFonts w:cs="宋体"/>
          <w:color w:val="000000"/>
          <w:kern w:val="0"/>
          <w:sz w:val="28"/>
          <w:szCs w:val="23"/>
        </w:rPr>
        <w:t>，“今富摯能</w:t>
      </w:r>
      <w:r w:rsidRPr="0055724E">
        <w:rPr>
          <w:rFonts w:cs="宋体"/>
          <w:b/>
          <w:bCs/>
          <w:color w:val="A0A0A0"/>
          <w:kern w:val="0"/>
          <w:sz w:val="21"/>
          <w:szCs w:val="21"/>
        </w:rPr>
        <w:t>（金正煒以‘能’爲‘寵’字形誤）</w:t>
      </w:r>
      <w:r w:rsidRPr="0055724E">
        <w:rPr>
          <w:rFonts w:cs="宋体"/>
          <w:color w:val="000000"/>
          <w:kern w:val="0"/>
          <w:sz w:val="28"/>
          <w:szCs w:val="23"/>
        </w:rPr>
        <w:t>而公重不相善也”</w:t>
      </w:r>
      <w:r w:rsidRPr="0055724E">
        <w:rPr>
          <w:rFonts w:cs="宋体"/>
          <w:b/>
          <w:bCs/>
          <w:color w:val="A0A0A0"/>
          <w:kern w:val="0"/>
          <w:sz w:val="21"/>
          <w:szCs w:val="21"/>
        </w:rPr>
        <w:t>（《戰國策·楚策四》“或謂黃齊”章）</w:t>
      </w:r>
      <w:r w:rsidRPr="0055724E">
        <w:rPr>
          <w:rFonts w:cs="宋体"/>
          <w:color w:val="000000"/>
          <w:kern w:val="0"/>
          <w:sz w:val="28"/>
          <w:szCs w:val="23"/>
        </w:rPr>
        <w:t>。下面再舉幾個例子：</w:t>
      </w:r>
    </w:p>
    <w:p w14:paraId="2AC75893"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（1）《國語·</w:t>
      </w:r>
      <w:r w:rsidRPr="0055724E">
        <w:rPr>
          <w:rFonts w:cs="宋体"/>
          <w:color w:val="000000"/>
          <w:kern w:val="0"/>
          <w:sz w:val="28"/>
          <w:szCs w:val="23"/>
        </w:rPr>
        <w:t>晋</w:t>
      </w:r>
      <w:r w:rsidRPr="0055724E">
        <w:rPr>
          <w:rFonts w:cs="宋体"/>
          <w:kern w:val="0"/>
          <w:sz w:val="28"/>
          <w:szCs w:val="24"/>
        </w:rPr>
        <w:t>語四》：“公子過宋，與司馬公孫固相善。”</w:t>
      </w:r>
    </w:p>
    <w:p w14:paraId="0F1CABC4"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（2）《</w:t>
      </w:r>
      <w:r w:rsidRPr="0055724E">
        <w:rPr>
          <w:rFonts w:cs="宋体"/>
          <w:color w:val="000000"/>
          <w:kern w:val="0"/>
          <w:sz w:val="28"/>
          <w:szCs w:val="23"/>
        </w:rPr>
        <w:t>吕</w:t>
      </w:r>
      <w:r w:rsidRPr="0055724E">
        <w:rPr>
          <w:rFonts w:cs="宋体"/>
          <w:kern w:val="0"/>
          <w:sz w:val="28"/>
          <w:szCs w:val="24"/>
        </w:rPr>
        <w:t>氏春秋·不廣》：“鮑叔、管仲、召忽，三人相善，欲相與定齊國。”</w:t>
      </w:r>
    </w:p>
    <w:p w14:paraId="579A1253"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（3）《史記·刺客列傳》：“[田光]僂行見荊卿曰：‘光與子相善，燕國莫不知。’”</w:t>
      </w:r>
    </w:p>
    <w:p w14:paraId="36218251" w14:textId="1B3E82DF"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lastRenderedPageBreak/>
        <w:t>（4）《漢書·張敞傳》：“[張]敞与萧望之、于定国相善。”</w:t>
      </w:r>
    </w:p>
    <w:p w14:paraId="482F6A78" w14:textId="77777777" w:rsidR="00445DA3" w:rsidRDefault="00445DA3" w:rsidP="00445DA3">
      <w:pPr>
        <w:widowControl/>
        <w:spacing w:beforeLines="50" w:before="180" w:line="480" w:lineRule="auto"/>
        <w:ind w:firstLine="480"/>
        <w:jc w:val="left"/>
        <w:rPr>
          <w:rFonts w:cs="宋体"/>
          <w:kern w:val="0"/>
          <w:sz w:val="28"/>
          <w:szCs w:val="24"/>
        </w:rPr>
      </w:pPr>
    </w:p>
    <w:p w14:paraId="61DFD5F2"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b/>
          <w:bCs/>
          <w:kern w:val="0"/>
          <w:sz w:val="28"/>
          <w:szCs w:val="24"/>
        </w:rPr>
        <w:t>（四）“善”與“能”的比較</w:t>
      </w:r>
    </w:p>
    <w:p w14:paraId="7467C3EA" w14:textId="3E912907" w:rsidR="009F4F5A" w:rsidRDefault="009F4F5A" w:rsidP="00445DA3">
      <w:pPr>
        <w:widowControl/>
        <w:spacing w:beforeLines="50" w:before="180" w:line="480" w:lineRule="auto"/>
        <w:jc w:val="left"/>
        <w:rPr>
          <w:rFonts w:cs="宋体"/>
          <w:kern w:val="0"/>
          <w:sz w:val="28"/>
          <w:szCs w:val="24"/>
        </w:rPr>
      </w:pPr>
      <w:r w:rsidRPr="0055724E">
        <w:rPr>
          <w:rFonts w:cs="宋体"/>
          <w:b/>
          <w:bCs/>
          <w:kern w:val="0"/>
          <w:sz w:val="28"/>
          <w:szCs w:val="24"/>
        </w:rPr>
        <w:t>1.</w:t>
      </w:r>
    </w:p>
    <w:p w14:paraId="194CCAB7"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從上面對“善”字意義的分析可以知道，“善”與“能”在語義上關係很密切</w:t>
      </w:r>
      <w:r w:rsidRPr="0055724E">
        <w:rPr>
          <w:rFonts w:cs="宋体"/>
          <w:b/>
          <w:bCs/>
          <w:color w:val="A0A0A0"/>
          <w:kern w:val="0"/>
          <w:sz w:val="21"/>
          <w:szCs w:val="21"/>
        </w:rPr>
        <w:t>（參看下文）</w:t>
      </w:r>
      <w:r w:rsidRPr="0055724E">
        <w:rPr>
          <w:rFonts w:cs="宋体"/>
          <w:color w:val="000000"/>
          <w:kern w:val="0"/>
          <w:sz w:val="28"/>
          <w:szCs w:val="23"/>
        </w:rPr>
        <w:t>。很值得注意的是，“能”字也有直接以事物名稱或其代詞“之”爲賓語的用法。</w:t>
      </w:r>
      <w:r w:rsidRPr="00965627">
        <w:rPr>
          <w:rStyle w:val="ae"/>
          <w:rFonts w:cs="宋体"/>
          <w:color w:val="000000"/>
          <w:kern w:val="0"/>
          <w:sz w:val="28"/>
          <w:szCs w:val="23"/>
        </w:rPr>
        <w:endnoteReference w:id="36"/>
      </w:r>
      <w:r w:rsidRPr="0055724E">
        <w:rPr>
          <w:rFonts w:cs="宋体"/>
          <w:color w:val="000000"/>
          <w:kern w:val="0"/>
          <w:sz w:val="28"/>
          <w:szCs w:val="23"/>
        </w:rPr>
        <w:t>在這種格式中，“能”與賓語之間没有説出來的支配賓語所指對象的那種行爲，在有關語境中通常也是容易看出來的。</w:t>
      </w:r>
    </w:p>
    <w:p w14:paraId="3315F6CE"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在我們看到的較多用例中，可以在“能”後補出的表示有關行爲的，是“任”、“爲”</w:t>
      </w:r>
      <w:r w:rsidRPr="0055724E">
        <w:rPr>
          <w:rFonts w:cs="宋体"/>
          <w:b/>
          <w:bCs/>
          <w:color w:val="A0A0A0"/>
          <w:kern w:val="0"/>
          <w:sz w:val="21"/>
          <w:szCs w:val="21"/>
        </w:rPr>
        <w:t>（有“做”“從事”“成爲”等義）</w:t>
      </w:r>
      <w:r w:rsidRPr="0055724E">
        <w:rPr>
          <w:rFonts w:cs="宋体"/>
          <w:color w:val="000000"/>
          <w:kern w:val="0"/>
          <w:sz w:val="28"/>
          <w:szCs w:val="23"/>
        </w:rPr>
        <w:t>、“治”</w:t>
      </w:r>
      <w:r w:rsidRPr="0055724E">
        <w:rPr>
          <w:rFonts w:cs="宋体"/>
          <w:b/>
          <w:bCs/>
          <w:color w:val="A0A0A0"/>
          <w:kern w:val="0"/>
          <w:sz w:val="21"/>
          <w:szCs w:val="21"/>
        </w:rPr>
        <w:t>（治理）</w:t>
      </w:r>
      <w:r w:rsidRPr="0055724E">
        <w:rPr>
          <w:rFonts w:cs="宋体"/>
          <w:color w:val="000000"/>
          <w:kern w:val="0"/>
          <w:sz w:val="28"/>
          <w:szCs w:val="23"/>
        </w:rPr>
        <w:t>一類意義的字，舉例如下：</w:t>
      </w:r>
    </w:p>
    <w:p w14:paraId="521B34B4"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（1）《國語·晋語四》：“狐毛卒，使趙衰代之，辭曰：‘城濮之役，先且居之佐軍也善，軍伐有賞，善君</w:t>
      </w:r>
      <w:r w:rsidRPr="00965627">
        <w:rPr>
          <w:rStyle w:val="ae"/>
          <w:rFonts w:cs="宋体"/>
          <w:color w:val="000000"/>
          <w:kern w:val="0"/>
          <w:sz w:val="28"/>
          <w:szCs w:val="23"/>
        </w:rPr>
        <w:endnoteReference w:id="37"/>
      </w:r>
      <w:r w:rsidRPr="0055724E">
        <w:rPr>
          <w:rFonts w:cs="宋体"/>
          <w:color w:val="000000"/>
          <w:kern w:val="0"/>
          <w:sz w:val="28"/>
          <w:szCs w:val="23"/>
        </w:rPr>
        <w:t>有賞，</w:t>
      </w:r>
      <w:r w:rsidRPr="0055724E">
        <w:rPr>
          <w:rFonts w:cs="宋体"/>
          <w:b/>
          <w:bCs/>
          <w:color w:val="000000"/>
          <w:kern w:val="0"/>
          <w:sz w:val="28"/>
          <w:szCs w:val="23"/>
          <w:u w:val="single"/>
        </w:rPr>
        <w:t>能其官</w:t>
      </w:r>
      <w:r w:rsidRPr="0055724E">
        <w:rPr>
          <w:rFonts w:cs="宋体"/>
          <w:color w:val="000000"/>
          <w:kern w:val="0"/>
          <w:sz w:val="28"/>
          <w:szCs w:val="23"/>
        </w:rPr>
        <w:t>有賞。且居有三賞，不可廢也。’”“能其官”，韋昭注“能領治其官職，使不謬誤”，也就是勝任其官職的意思。</w:t>
      </w:r>
    </w:p>
    <w:p w14:paraId="3B121EEF"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lastRenderedPageBreak/>
        <w:t>（2）清華簡《湯處於湯丘》：“湯曰：……先人有言：</w:t>
      </w:r>
      <w:r w:rsidRPr="0055724E">
        <w:rPr>
          <w:rFonts w:cs="宋体"/>
          <w:b/>
          <w:bCs/>
          <w:color w:val="000000"/>
          <w:kern w:val="0"/>
          <w:sz w:val="28"/>
          <w:szCs w:val="23"/>
          <w:u w:val="single"/>
        </w:rPr>
        <w:t>能其事</w:t>
      </w:r>
      <w:r w:rsidRPr="0055724E">
        <w:rPr>
          <w:rFonts w:cs="宋体"/>
          <w:color w:val="000000"/>
          <w:kern w:val="0"/>
          <w:sz w:val="28"/>
          <w:szCs w:val="23"/>
        </w:rPr>
        <w:t>而得其食，是名曰昌；未</w:t>
      </w:r>
      <w:r w:rsidRPr="0055724E">
        <w:rPr>
          <w:rFonts w:cs="宋体"/>
          <w:b/>
          <w:bCs/>
          <w:color w:val="000000"/>
          <w:kern w:val="0"/>
          <w:sz w:val="28"/>
          <w:szCs w:val="23"/>
          <w:u w:val="single"/>
        </w:rPr>
        <w:t>能其事</w:t>
      </w:r>
      <w:r w:rsidRPr="0055724E">
        <w:rPr>
          <w:rFonts w:cs="宋体"/>
          <w:color w:val="000000"/>
          <w:kern w:val="0"/>
          <w:sz w:val="28"/>
          <w:szCs w:val="23"/>
        </w:rPr>
        <w:t>而得其食，是名曰喪；必使事與食相當。”</w:t>
      </w:r>
      <w:r w:rsidRPr="0055724E">
        <w:rPr>
          <w:rFonts w:cs="宋体"/>
          <w:b/>
          <w:bCs/>
          <w:color w:val="A0A0A0"/>
          <w:kern w:val="0"/>
          <w:sz w:val="21"/>
          <w:szCs w:val="21"/>
        </w:rPr>
        <w:t>（6—7簡）</w:t>
      </w:r>
      <w:r w:rsidRPr="0055724E">
        <w:rPr>
          <w:rFonts w:cs="宋体"/>
          <w:color w:val="000000"/>
          <w:kern w:val="0"/>
          <w:sz w:val="28"/>
          <w:szCs w:val="23"/>
        </w:rPr>
        <w:t>“能其事”也就是勝任其事，做好其事。</w:t>
      </w:r>
    </w:p>
    <w:p w14:paraId="56AF2F9A"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（3）《禮記·祭統》：“故曰禘嘗之義大矣，治國之本也，不可不知也。明其義者，君也。</w:t>
      </w:r>
      <w:r w:rsidRPr="0055724E">
        <w:rPr>
          <w:rFonts w:cs="宋体"/>
          <w:b/>
          <w:bCs/>
          <w:color w:val="000000"/>
          <w:kern w:val="0"/>
          <w:sz w:val="28"/>
          <w:szCs w:val="23"/>
          <w:u w:val="single"/>
        </w:rPr>
        <w:t>能其事</w:t>
      </w:r>
      <w:r w:rsidRPr="0055724E">
        <w:rPr>
          <w:rFonts w:cs="宋体"/>
          <w:color w:val="000000"/>
          <w:kern w:val="0"/>
          <w:sz w:val="28"/>
          <w:szCs w:val="23"/>
        </w:rPr>
        <w:t>者，臣也。不明其義，君人不全；不</w:t>
      </w:r>
      <w:r w:rsidRPr="0055724E">
        <w:rPr>
          <w:rFonts w:cs="宋体"/>
          <w:b/>
          <w:bCs/>
          <w:color w:val="000000"/>
          <w:kern w:val="0"/>
          <w:sz w:val="28"/>
          <w:szCs w:val="23"/>
          <w:u w:val="single"/>
        </w:rPr>
        <w:t>能其事</w:t>
      </w:r>
      <w:r w:rsidRPr="0055724E">
        <w:rPr>
          <w:rFonts w:cs="宋体"/>
          <w:color w:val="000000"/>
          <w:kern w:val="0"/>
          <w:sz w:val="28"/>
          <w:szCs w:val="23"/>
        </w:rPr>
        <w:t>，爲臣不全。”“能其事”就是能爲其事、能治其事的意思。</w:t>
      </w:r>
    </w:p>
    <w:p w14:paraId="46EEFF4A"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（4）《論語·先進》：“‘赤！爾何如？’對曰：‘非曰</w:t>
      </w:r>
      <w:r w:rsidRPr="0055724E">
        <w:rPr>
          <w:rFonts w:cs="宋体"/>
          <w:b/>
          <w:bCs/>
          <w:color w:val="000000"/>
          <w:kern w:val="0"/>
          <w:sz w:val="28"/>
          <w:szCs w:val="23"/>
          <w:u w:val="single"/>
        </w:rPr>
        <w:t>能之</w:t>
      </w:r>
      <w:r w:rsidRPr="0055724E">
        <w:rPr>
          <w:rFonts w:cs="宋体"/>
          <w:color w:val="000000"/>
          <w:kern w:val="0"/>
          <w:sz w:val="28"/>
          <w:szCs w:val="23"/>
        </w:rPr>
        <w:t>，願學焉。宗廟之事，如會同，端章甫，願爲小相焉。’”“能之”就是“能爲之”的意思，鄭注把“願學焉”説成“願學爲之”，</w:t>
      </w:r>
      <w:r w:rsidRPr="00965627">
        <w:rPr>
          <w:rStyle w:val="ae"/>
          <w:rFonts w:cs="宋体"/>
          <w:color w:val="000000"/>
          <w:kern w:val="0"/>
          <w:sz w:val="28"/>
          <w:szCs w:val="23"/>
        </w:rPr>
        <w:endnoteReference w:id="38"/>
      </w:r>
      <w:r w:rsidRPr="0055724E">
        <w:rPr>
          <w:rFonts w:cs="宋体"/>
          <w:color w:val="000000"/>
          <w:kern w:val="0"/>
          <w:sz w:val="28"/>
          <w:szCs w:val="23"/>
        </w:rPr>
        <w:t>可見他就是把“能之”理解爲“能爲之”的，“之”就指下文所説的宗廟會同之事。</w:t>
      </w:r>
    </w:p>
    <w:p w14:paraId="651EF4FB"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（5）《淮南子·兵略》：“凡此五官之於將也，猶身之有股肱手足也，必擇其人，技能</w:t>
      </w:r>
      <w:r w:rsidRPr="0055724E">
        <w:rPr>
          <w:rFonts w:cs="宋体"/>
          <w:b/>
          <w:bCs/>
          <w:color w:val="A0A0A0"/>
          <w:kern w:val="0"/>
          <w:sz w:val="21"/>
          <w:szCs w:val="21"/>
        </w:rPr>
        <w:t>（今人多從清人于鬯之説以‘能’爲衍文</w:t>
      </w:r>
      <w:r>
        <w:rPr>
          <w:rStyle w:val="ae"/>
          <w:rFonts w:cs="宋体"/>
          <w:b/>
          <w:bCs/>
          <w:color w:val="A0A0A0"/>
          <w:kern w:val="0"/>
          <w:sz w:val="21"/>
          <w:szCs w:val="21"/>
        </w:rPr>
        <w:endnoteReference w:id="39"/>
      </w:r>
      <w:r w:rsidRPr="0055724E">
        <w:rPr>
          <w:rFonts w:cs="宋体"/>
          <w:b/>
          <w:bCs/>
          <w:color w:val="A0A0A0"/>
          <w:kern w:val="0"/>
          <w:sz w:val="21"/>
          <w:szCs w:val="21"/>
        </w:rPr>
        <w:t>）</w:t>
      </w:r>
      <w:r w:rsidRPr="0055724E">
        <w:rPr>
          <w:rFonts w:cs="宋体"/>
          <w:color w:val="000000"/>
          <w:kern w:val="0"/>
          <w:sz w:val="28"/>
          <w:szCs w:val="23"/>
        </w:rPr>
        <w:t>其才，使官勝其任，人</w:t>
      </w:r>
      <w:r w:rsidRPr="0055724E">
        <w:rPr>
          <w:rFonts w:cs="宋体"/>
          <w:b/>
          <w:bCs/>
          <w:color w:val="000000"/>
          <w:kern w:val="0"/>
          <w:sz w:val="28"/>
          <w:szCs w:val="23"/>
          <w:u w:val="single"/>
        </w:rPr>
        <w:t>能其事</w:t>
      </w:r>
      <w:r w:rsidRPr="0055724E">
        <w:rPr>
          <w:rFonts w:cs="宋体"/>
          <w:color w:val="000000"/>
          <w:kern w:val="0"/>
          <w:sz w:val="28"/>
          <w:szCs w:val="23"/>
        </w:rPr>
        <w:t>。”此文以“勝其任”與“能其事”對舉，“能其事”其實也就是勝任其事的意思。</w:t>
      </w:r>
    </w:p>
    <w:p w14:paraId="48C02159" w14:textId="5761160F"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（6）《左傳·昭公二十九年》：“（魏）獻子曰：‘社稷五祀，誰氏之五官也？’（蔡墨）對曰：‘少皞氏有四叔，曰重、曰該、曰</w:t>
      </w:r>
      <w:r w:rsidRPr="0055724E">
        <w:rPr>
          <w:rFonts w:cs="宋体"/>
          <w:color w:val="000000"/>
          <w:kern w:val="0"/>
          <w:sz w:val="28"/>
          <w:szCs w:val="23"/>
        </w:rPr>
        <w:lastRenderedPageBreak/>
        <w:t>脩、曰熙，實</w:t>
      </w:r>
      <w:r w:rsidRPr="0055724E">
        <w:rPr>
          <w:rFonts w:cs="宋体"/>
          <w:b/>
          <w:bCs/>
          <w:color w:val="000000"/>
          <w:kern w:val="0"/>
          <w:sz w:val="28"/>
          <w:szCs w:val="23"/>
          <w:u w:val="single"/>
        </w:rPr>
        <w:t>能金木及水</w:t>
      </w:r>
      <w:r w:rsidRPr="0055724E">
        <w:rPr>
          <w:rFonts w:cs="宋体"/>
          <w:color w:val="000000"/>
          <w:kern w:val="0"/>
          <w:sz w:val="28"/>
          <w:szCs w:val="23"/>
        </w:rPr>
        <w:t>。使重爲句芒，該爲蓐收，脩及熙爲玄冥，世不失職，遂濟窮桑，此其三祀也。……’”杜預在“實能金木及水”下注曰：“能治其官。”</w:t>
      </w:r>
      <w:r w:rsidRPr="00965627">
        <w:rPr>
          <w:rStyle w:val="ae"/>
          <w:rFonts w:cs="宋体"/>
          <w:color w:val="000000"/>
          <w:kern w:val="0"/>
          <w:sz w:val="28"/>
          <w:szCs w:val="23"/>
        </w:rPr>
        <w:endnoteReference w:id="40"/>
      </w:r>
      <w:r w:rsidRPr="0055724E">
        <w:rPr>
          <w:rFonts w:cs="宋体"/>
          <w:color w:val="000000"/>
          <w:kern w:val="0"/>
          <w:sz w:val="28"/>
          <w:szCs w:val="23"/>
        </w:rPr>
        <w:t>“官”就指分別治理“金木及水”的句芒、蓐收及玄冥三官。</w:t>
      </w:r>
    </w:p>
    <w:p w14:paraId="6BFC4D84"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（7）《吕氏春秋·勿躬》：“聖王</w:t>
      </w:r>
      <w:r w:rsidRPr="0055724E">
        <w:rPr>
          <w:rFonts w:cs="宋体"/>
          <w:b/>
          <w:bCs/>
          <w:color w:val="000000"/>
          <w:kern w:val="0"/>
          <w:sz w:val="28"/>
          <w:szCs w:val="23"/>
          <w:u w:val="single"/>
        </w:rPr>
        <w:t>不能二十官之事</w:t>
      </w:r>
      <w:r w:rsidRPr="0055724E">
        <w:rPr>
          <w:rFonts w:cs="宋体"/>
          <w:b/>
          <w:bCs/>
          <w:color w:val="A0A0A0"/>
          <w:kern w:val="0"/>
          <w:sz w:val="21"/>
          <w:szCs w:val="21"/>
        </w:rPr>
        <w:t>（引者按：指上文所説自‘大橈作甲子’至‘巫咸作筮’這二十件事）</w:t>
      </w:r>
      <w:r w:rsidRPr="0055724E">
        <w:rPr>
          <w:rFonts w:cs="宋体"/>
          <w:color w:val="000000"/>
          <w:kern w:val="0"/>
          <w:sz w:val="28"/>
          <w:szCs w:val="23"/>
        </w:rPr>
        <w:t>，然而使二十官盡其巧、畢其能，聖王在上故也。聖王之所不能也，所以</w:t>
      </w:r>
      <w:r w:rsidRPr="0055724E">
        <w:rPr>
          <w:rFonts w:cs="宋体"/>
          <w:b/>
          <w:bCs/>
          <w:color w:val="000000"/>
          <w:kern w:val="0"/>
          <w:sz w:val="28"/>
          <w:szCs w:val="23"/>
          <w:u w:val="single"/>
        </w:rPr>
        <w:t>能之</w:t>
      </w:r>
      <w:r w:rsidRPr="0055724E">
        <w:rPr>
          <w:rFonts w:cs="宋体"/>
          <w:color w:val="000000"/>
          <w:kern w:val="0"/>
          <w:sz w:val="28"/>
          <w:szCs w:val="23"/>
        </w:rPr>
        <w:t>也，所不知也，所以知之也。”“不能二十官之事”就是説不能爲二十官之事。“聖王之所不能也，所以能之也”中的“不能”和“能之”也應該理解爲“不能爲”和“能爲之”，這句話的意思應該是説，正由於聖王不親自去做“作甲子”“作筮”等事，這些事才能做出來。此句之後的“所不知也，所以知之也”句，跟前一句説的其實是一回事，古書中“知”“爲”之義有時可以相通，《國語·周語中》“知晋國之政”韋昭注曰：“知政謂爲政也。”《吕氏春秋·長見》篇“三年而知鄭國之政”高誘注曰：“知猶爲也。”</w:t>
      </w:r>
      <w:r w:rsidRPr="00965627">
        <w:rPr>
          <w:rStyle w:val="ae"/>
          <w:rFonts w:cs="宋体"/>
          <w:color w:val="000000"/>
          <w:kern w:val="0"/>
          <w:sz w:val="28"/>
          <w:szCs w:val="23"/>
        </w:rPr>
        <w:endnoteReference w:id="41"/>
      </w:r>
      <w:r w:rsidRPr="0055724E">
        <w:rPr>
          <w:rFonts w:cs="宋体"/>
          <w:color w:val="000000"/>
          <w:kern w:val="0"/>
          <w:sz w:val="28"/>
          <w:szCs w:val="23"/>
        </w:rPr>
        <w:t>第二句的“知”與第一句的“能</w:t>
      </w:r>
      <w:r w:rsidRPr="0055724E">
        <w:rPr>
          <w:rFonts w:cs="宋体"/>
          <w:b/>
          <w:bCs/>
          <w:color w:val="A0A0A0"/>
          <w:kern w:val="0"/>
          <w:sz w:val="21"/>
          <w:szCs w:val="21"/>
        </w:rPr>
        <w:t>（能爲）</w:t>
      </w:r>
      <w:r w:rsidRPr="0055724E">
        <w:rPr>
          <w:rFonts w:cs="宋体"/>
          <w:color w:val="000000"/>
          <w:kern w:val="0"/>
          <w:sz w:val="28"/>
          <w:szCs w:val="23"/>
        </w:rPr>
        <w:t>”相當。</w:t>
      </w:r>
    </w:p>
    <w:p w14:paraId="54AE2C80"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（8）《國語·周語上》記“襄王使太宰文公及内史興賜晋文公命”，晋文公在接受王命、款待使臣等場合所用的禮儀都非常得當，</w:t>
      </w:r>
      <w:r w:rsidRPr="0055724E">
        <w:rPr>
          <w:rFonts w:cs="宋体"/>
          <w:color w:val="000000"/>
          <w:kern w:val="0"/>
          <w:sz w:val="28"/>
          <w:szCs w:val="23"/>
        </w:rPr>
        <w:lastRenderedPageBreak/>
        <w:t>毫無失禮的地方，内史興回來後對襄王贊揚了晋文公的這些表現，並總結説：“晋侯其</w:t>
      </w:r>
      <w:r w:rsidRPr="0055724E">
        <w:rPr>
          <w:rFonts w:cs="宋体"/>
          <w:b/>
          <w:bCs/>
          <w:color w:val="000000"/>
          <w:kern w:val="0"/>
          <w:sz w:val="28"/>
          <w:szCs w:val="23"/>
          <w:u w:val="single"/>
        </w:rPr>
        <w:t>能禮</w:t>
      </w:r>
      <w:r w:rsidRPr="0055724E">
        <w:rPr>
          <w:rFonts w:cs="宋体"/>
          <w:color w:val="000000"/>
          <w:kern w:val="0"/>
          <w:sz w:val="28"/>
          <w:szCs w:val="23"/>
        </w:rPr>
        <w:t>矣，王其善之！”</w:t>
      </w:r>
      <w:r w:rsidRPr="00965627">
        <w:rPr>
          <w:rStyle w:val="ae"/>
          <w:rFonts w:cs="宋体"/>
          <w:color w:val="000000"/>
          <w:kern w:val="0"/>
          <w:sz w:val="28"/>
          <w:szCs w:val="23"/>
        </w:rPr>
        <w:endnoteReference w:id="42"/>
      </w:r>
      <w:r w:rsidRPr="0055724E">
        <w:rPr>
          <w:rFonts w:cs="宋体"/>
          <w:color w:val="000000"/>
          <w:kern w:val="0"/>
          <w:sz w:val="28"/>
          <w:szCs w:val="23"/>
        </w:rPr>
        <w:t>“能禮”，韋昭注曰：“言能行禮。”“行”“爲”義近。</w:t>
      </w:r>
    </w:p>
    <w:p w14:paraId="212E8C7E"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（9）《左傳·昭公七年》：“九月，公至自楚，孟僖子病不能相禮，乃講學之，苟</w:t>
      </w:r>
      <w:r w:rsidRPr="0055724E">
        <w:rPr>
          <w:rFonts w:cs="宋体"/>
          <w:b/>
          <w:bCs/>
          <w:color w:val="000000"/>
          <w:kern w:val="0"/>
          <w:sz w:val="28"/>
          <w:szCs w:val="23"/>
          <w:u w:val="single"/>
        </w:rPr>
        <w:t>能禮</w:t>
      </w:r>
      <w:r w:rsidRPr="0055724E">
        <w:rPr>
          <w:rFonts w:cs="宋体"/>
          <w:color w:val="000000"/>
          <w:kern w:val="0"/>
          <w:sz w:val="28"/>
          <w:szCs w:val="23"/>
        </w:rPr>
        <w:t>者從之。”“能禮”也是“能爲禮”的意思。上句“孟僖子病不能相禮”的“相”字，陸德明《釋文》本無，臧琳、惠棟、王引之皆以爲衍文，</w:t>
      </w:r>
      <w:r w:rsidRPr="00965627">
        <w:rPr>
          <w:rStyle w:val="ae"/>
          <w:rFonts w:cs="宋体"/>
          <w:color w:val="000000"/>
          <w:kern w:val="0"/>
          <w:sz w:val="28"/>
          <w:szCs w:val="23"/>
        </w:rPr>
        <w:endnoteReference w:id="43"/>
      </w:r>
      <w:r w:rsidRPr="0055724E">
        <w:rPr>
          <w:rFonts w:cs="宋体"/>
          <w:color w:val="000000"/>
          <w:kern w:val="0"/>
          <w:sz w:val="28"/>
          <w:szCs w:val="23"/>
        </w:rPr>
        <w:t>説頗有據。如原文確無“相”字，“不能禮”也應是“不能爲禮”的意思。</w:t>
      </w:r>
    </w:p>
    <w:p w14:paraId="051C8FD9"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（10）《左傳·成公九年》記晋侯在軍府看到被羈拘的楚囚鍾儀，“問其族，對曰：‘泠人也。’公曰：‘</w:t>
      </w:r>
      <w:r w:rsidRPr="0055724E">
        <w:rPr>
          <w:rFonts w:cs="宋体"/>
          <w:b/>
          <w:bCs/>
          <w:color w:val="000000"/>
          <w:kern w:val="0"/>
          <w:sz w:val="28"/>
          <w:szCs w:val="23"/>
          <w:u w:val="single"/>
        </w:rPr>
        <w:t>能樂</w:t>
      </w:r>
      <w:r w:rsidRPr="0055724E">
        <w:rPr>
          <w:rFonts w:cs="宋体"/>
          <w:color w:val="000000"/>
          <w:kern w:val="0"/>
          <w:sz w:val="28"/>
          <w:szCs w:val="23"/>
        </w:rPr>
        <w:t>乎？’對曰：‘先父之職官也，敢有二事？’使與之琴，操南音。”“能樂乎”可以理解爲“能爲樂乎”，《論語·陽貨》記宰我之語“君子三年不爲禮，禮必壞；三年不爲樂，樂必崩”，“爲禮”“爲樂”是古人常説的話，從上引成公九年《傳》下文看，似可進一步把我們所説的“能爲樂”具體理解爲能作樂、能奏樂。</w:t>
      </w:r>
    </w:p>
    <w:p w14:paraId="7A7C2B60" w14:textId="42982813"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（11）《禮記·仲尼燕居》：“子曰：禮也者，理也。樂也者，節也。君子無理不動，無節不作。不</w:t>
      </w:r>
      <w:r w:rsidRPr="0055724E">
        <w:rPr>
          <w:rFonts w:cs="宋体"/>
          <w:b/>
          <w:bCs/>
          <w:color w:val="000000"/>
          <w:kern w:val="0"/>
          <w:sz w:val="28"/>
          <w:szCs w:val="23"/>
          <w:u w:val="single"/>
        </w:rPr>
        <w:t>能《詩》</w:t>
      </w:r>
      <w:r w:rsidRPr="0055724E">
        <w:rPr>
          <w:rFonts w:cs="宋体"/>
          <w:color w:val="000000"/>
          <w:kern w:val="0"/>
          <w:sz w:val="28"/>
          <w:szCs w:val="23"/>
        </w:rPr>
        <w:t>，於禮繆。不</w:t>
      </w:r>
      <w:r w:rsidRPr="0055724E">
        <w:rPr>
          <w:rFonts w:cs="宋体"/>
          <w:b/>
          <w:bCs/>
          <w:color w:val="000000"/>
          <w:kern w:val="0"/>
          <w:sz w:val="28"/>
          <w:szCs w:val="23"/>
          <w:u w:val="single"/>
        </w:rPr>
        <w:t>能樂</w:t>
      </w:r>
      <w:r w:rsidRPr="0055724E">
        <w:rPr>
          <w:rFonts w:cs="宋体"/>
          <w:color w:val="000000"/>
          <w:kern w:val="0"/>
          <w:sz w:val="28"/>
          <w:szCs w:val="23"/>
        </w:rPr>
        <w:t>，於</w:t>
      </w:r>
      <w:r w:rsidRPr="0055724E">
        <w:rPr>
          <w:rFonts w:cs="宋体"/>
          <w:color w:val="000000"/>
          <w:kern w:val="0"/>
          <w:sz w:val="28"/>
          <w:szCs w:val="23"/>
        </w:rPr>
        <w:lastRenderedPageBreak/>
        <w:t>禮素。薄於德，於禮虚。”“不能《詩》”“不能樂”可以理解爲不能爲《詩》，不能爲樂。《論語·陽貨》篇“人而不爲《周南》《召南》，其猶正牆面而立也與”，《荀子·大略》篇“善爲《詩》者不説”，“爲《周南》《召南》”也是“爲《詩》”。但從具體語境看，似乎還可以把“能《詩》”“能樂”更具體地理解爲“能用《詩》”“能用樂”，古書“爲”“用”之義可以相通。</w:t>
      </w:r>
      <w:r w:rsidRPr="00965627">
        <w:rPr>
          <w:rStyle w:val="ae"/>
          <w:rFonts w:cs="宋体"/>
          <w:color w:val="000000"/>
          <w:kern w:val="0"/>
          <w:sz w:val="28"/>
          <w:szCs w:val="23"/>
        </w:rPr>
        <w:endnoteReference w:id="44"/>
      </w:r>
      <w:r w:rsidRPr="0055724E">
        <w:rPr>
          <w:rFonts w:cs="宋体"/>
          <w:color w:val="000000"/>
          <w:kern w:val="0"/>
          <w:sz w:val="28"/>
          <w:szCs w:val="23"/>
        </w:rPr>
        <w:t>“不能《詩》，於禮繆。不能樂，於禮素”，這兩句的意思是説：不能用《詩》，行禮時就會發生謬誤；不能用樂，禮就會顯得太過簡樸。這兩句的“能”如果改爲“知”，大體上也能表示出這種意思。有些翻譯《禮記》的人將“不能《詩》”“不能樂”翻譯爲“不懂《詩經》”“不懂樂”，是頗爲可取的。</w:t>
      </w:r>
    </w:p>
    <w:p w14:paraId="72C61601"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（12）《左傳·僖公二十八年》記晋文公處死了在城濮之戰中違背軍令的三個臣下，並稱贊文公説：“君子謂文公其</w:t>
      </w:r>
      <w:r w:rsidRPr="0055724E">
        <w:rPr>
          <w:rFonts w:cs="宋体"/>
          <w:b/>
          <w:bCs/>
          <w:color w:val="000000"/>
          <w:kern w:val="0"/>
          <w:sz w:val="28"/>
          <w:szCs w:val="23"/>
          <w:u w:val="single"/>
        </w:rPr>
        <w:t>能刑</w:t>
      </w:r>
      <w:r w:rsidRPr="0055724E">
        <w:rPr>
          <w:rFonts w:cs="宋体"/>
          <w:color w:val="000000"/>
          <w:kern w:val="0"/>
          <w:sz w:val="28"/>
          <w:szCs w:val="23"/>
        </w:rPr>
        <w:t>矣，三罪而民服。詩云：‘惠此中國，以綏四方。’不失賞刑之謂也。”“能刑”，就是“能爲刑”“能用刑”，也可以説就是知刑。</w:t>
      </w:r>
    </w:p>
    <w:p w14:paraId="2769CAFA"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（13）睡虎地秦簡《日書甲種·詰》篇有一則説如果某家的井水帶血而發臭，那是由於地蟲在下面相鬥，血從下面洩漏了出來，要用沙填没此井，另挖新井，讓家人吃蒸米飯、喝霜露水三天，“乃</w:t>
      </w:r>
      <w:r w:rsidRPr="0055724E">
        <w:rPr>
          <w:rFonts w:cs="宋体"/>
          <w:b/>
          <w:bCs/>
          <w:color w:val="000000"/>
          <w:kern w:val="0"/>
          <w:sz w:val="28"/>
          <w:szCs w:val="23"/>
          <w:u w:val="single"/>
        </w:rPr>
        <w:t>能人</w:t>
      </w:r>
      <w:r w:rsidRPr="0055724E">
        <w:rPr>
          <w:rFonts w:cs="宋体"/>
          <w:color w:val="000000"/>
          <w:kern w:val="0"/>
          <w:sz w:val="28"/>
          <w:szCs w:val="23"/>
        </w:rPr>
        <w:lastRenderedPageBreak/>
        <w:t>矣”，如果不這麼做，使用有問題的井水三個月，“而非人也，必枯骨也”。“乃能人矣”與下文“而非人也，必枯骨也”相對，後者是説家人會死掉，“乃能人矣”應該理解爲“乃能爲人矣”，意思就是家人就能存活了。</w:t>
      </w:r>
    </w:p>
    <w:p w14:paraId="310CADCA"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（14）《老子》10章：“專氣致柔，</w:t>
      </w:r>
      <w:r w:rsidRPr="0055724E">
        <w:rPr>
          <w:rFonts w:cs="宋体"/>
          <w:b/>
          <w:bCs/>
          <w:color w:val="000000"/>
          <w:kern w:val="0"/>
          <w:sz w:val="28"/>
          <w:szCs w:val="23"/>
          <w:u w:val="single"/>
        </w:rPr>
        <w:t>能嬰兒</w:t>
      </w:r>
      <w:r w:rsidRPr="0055724E">
        <w:rPr>
          <w:rFonts w:cs="宋体"/>
          <w:color w:val="000000"/>
          <w:kern w:val="0"/>
          <w:sz w:val="28"/>
          <w:szCs w:val="23"/>
        </w:rPr>
        <w:t>乎？”“能嬰兒乎”可以理解爲“能爲嬰兒乎”，這個“爲”是“成爲”“如同”的意思。</w:t>
      </w:r>
    </w:p>
    <w:p w14:paraId="5287CE8F"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（15）清華簡《繫年》第九章：“晋襄公卒，靈公高幼，大夫聚謀曰：“君幼，未可奉承也，毋乃不</w:t>
      </w:r>
      <w:r w:rsidRPr="0055724E">
        <w:rPr>
          <w:rFonts w:cs="宋体"/>
          <w:b/>
          <w:bCs/>
          <w:color w:val="000000"/>
          <w:kern w:val="0"/>
          <w:sz w:val="28"/>
          <w:szCs w:val="23"/>
          <w:u w:val="single"/>
        </w:rPr>
        <w:t>能邦</w:t>
      </w:r>
      <w:r w:rsidRPr="0055724E">
        <w:rPr>
          <w:rFonts w:cs="宋体"/>
          <w:color w:val="000000"/>
          <w:kern w:val="0"/>
          <w:sz w:val="28"/>
          <w:szCs w:val="23"/>
        </w:rPr>
        <w:t>？猷求强君。”</w:t>
      </w:r>
      <w:r w:rsidRPr="0055724E">
        <w:rPr>
          <w:rFonts w:cs="宋体"/>
          <w:b/>
          <w:bCs/>
          <w:color w:val="A0A0A0"/>
          <w:kern w:val="0"/>
          <w:sz w:val="21"/>
          <w:szCs w:val="21"/>
        </w:rPr>
        <w:t>（簡50）</w:t>
      </w:r>
    </w:p>
    <w:p w14:paraId="4FC2B5D6"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（16）《左傳·文公十二年》記秦國派西乞術去魯國聘問，西乞術的應對非常得體，魯國大臣襄仲稱贊説：“不有君子，其</w:t>
      </w:r>
      <w:r w:rsidRPr="0055724E">
        <w:rPr>
          <w:rFonts w:cs="宋体"/>
          <w:b/>
          <w:bCs/>
          <w:color w:val="000000"/>
          <w:kern w:val="0"/>
          <w:sz w:val="28"/>
          <w:szCs w:val="23"/>
          <w:u w:val="single"/>
        </w:rPr>
        <w:t>能國</w:t>
      </w:r>
      <w:r w:rsidRPr="0055724E">
        <w:rPr>
          <w:rFonts w:cs="宋体"/>
          <w:color w:val="000000"/>
          <w:kern w:val="0"/>
          <w:sz w:val="28"/>
          <w:szCs w:val="23"/>
        </w:rPr>
        <w:t>乎？國無陋矣。”上引《繫年》“毋乃不能邦”中的“不能邦”、文公十二年《傳》文“其能國”中的“能國”的“能”都可以理解爲“能爲”，“爲”在這裏有“成爲”“像”一類意思。“毋乃不能邦”就是晋國“恐怕就不成爲/不像一個國家了”。“不有君子，其能國乎”就是“没有君子，難道能成爲一個國家嗎”。</w:t>
      </w:r>
    </w:p>
    <w:p w14:paraId="12BA6091"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（17）較晚的常用語中有“能文能武”一語，《詩·小雅·六月》“文武吉甫，萬邦爲憲”宋朱熹《集傳》曰：“非文無以附衆，非武</w:t>
      </w:r>
      <w:r w:rsidRPr="0055724E">
        <w:rPr>
          <w:rFonts w:cs="宋体"/>
          <w:color w:val="000000"/>
          <w:kern w:val="0"/>
          <w:sz w:val="28"/>
          <w:szCs w:val="23"/>
        </w:rPr>
        <w:lastRenderedPageBreak/>
        <w:t>無以威敵，能文能武，則萬邦以之爲法矣。”“文武”在這裏指文事、武事。“能”也應該理解爲“能任”“能爲”。</w:t>
      </w:r>
    </w:p>
    <w:p w14:paraId="0251667F"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由於“能”應該理解爲“能任”“能爲”的用例很多，有的辭書爲“能”單立了一個“勝任、能做到”的義項。</w:t>
      </w:r>
      <w:r w:rsidRPr="00965627">
        <w:rPr>
          <w:rStyle w:val="ae"/>
          <w:rFonts w:cs="宋体"/>
          <w:color w:val="000000"/>
          <w:kern w:val="0"/>
          <w:sz w:val="28"/>
          <w:szCs w:val="23"/>
        </w:rPr>
        <w:endnoteReference w:id="45"/>
      </w:r>
    </w:p>
    <w:p w14:paraId="4C98E967" w14:textId="38431F7C"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在這裏，還有必要談一下可以理解爲“能任”的“能”字與“耐”字的關係問題。“任”不但有“擔任”義，也有“禁受，擔當”之義。</w:t>
      </w:r>
      <w:r w:rsidRPr="00965627">
        <w:rPr>
          <w:rStyle w:val="ae"/>
          <w:rFonts w:cs="宋体"/>
          <w:color w:val="000000"/>
          <w:kern w:val="0"/>
          <w:sz w:val="28"/>
          <w:szCs w:val="23"/>
        </w:rPr>
        <w:endnoteReference w:id="46"/>
      </w:r>
      <w:r w:rsidRPr="0055724E">
        <w:rPr>
          <w:rFonts w:cs="宋体"/>
          <w:color w:val="000000"/>
          <w:kern w:val="0"/>
          <w:sz w:val="28"/>
          <w:szCs w:val="23"/>
        </w:rPr>
        <w:t>“能”與“耐”古音之蒸對轉，二字可通。古書中屢見當“能承受”也就是“禁得起”講的“能”字，過去多將它讀爲“耐”</w:t>
      </w:r>
      <w:r w:rsidRPr="0055724E">
        <w:rPr>
          <w:rFonts w:cs="宋体"/>
          <w:b/>
          <w:bCs/>
          <w:color w:val="A0A0A0"/>
          <w:kern w:val="0"/>
          <w:sz w:val="21"/>
          <w:szCs w:val="21"/>
        </w:rPr>
        <w:t>（如《漢書》顏師古注就屢次讀這種“能”爲“耐”，《漢書·食貨志》“能風與旱”、《趙充國傳》“漢馬不能冬”等顏注皆曰：“能，讀曰耐。”後人多從之）</w:t>
      </w:r>
      <w:r w:rsidRPr="0055724E">
        <w:rPr>
          <w:rFonts w:cs="宋体"/>
          <w:color w:val="000000"/>
          <w:kern w:val="0"/>
          <w:sz w:val="28"/>
          <w:szCs w:val="23"/>
        </w:rPr>
        <w:t>。我們懷疑這種“能”字就是應該理解爲“能任”的“能”。“耐”字本指一種刑名</w:t>
      </w:r>
      <w:r w:rsidRPr="0055724E">
        <w:rPr>
          <w:rFonts w:cs="宋体"/>
          <w:b/>
          <w:bCs/>
          <w:color w:val="A0A0A0"/>
          <w:kern w:val="0"/>
          <w:sz w:val="21"/>
          <w:szCs w:val="21"/>
        </w:rPr>
        <w:t>（參看《説文》“耏”字）</w:t>
      </w:r>
      <w:r w:rsidRPr="0055724E">
        <w:rPr>
          <w:rFonts w:cs="宋体"/>
          <w:color w:val="000000"/>
          <w:kern w:val="0"/>
          <w:sz w:val="28"/>
          <w:szCs w:val="23"/>
        </w:rPr>
        <w:t>，當“禁得起”講的“耐受”的“耐”，其實本是從應該理解爲“能任”的“能”滋生出來的一個詞。不過，由於“能”“耐”音近，古書中也有不少應該讀爲“能”的“耐”字。</w:t>
      </w:r>
      <w:r w:rsidRPr="00965627">
        <w:rPr>
          <w:rStyle w:val="ae"/>
          <w:rFonts w:cs="宋体"/>
          <w:color w:val="000000"/>
          <w:kern w:val="0"/>
          <w:sz w:val="28"/>
          <w:szCs w:val="23"/>
        </w:rPr>
        <w:endnoteReference w:id="47"/>
      </w:r>
    </w:p>
    <w:p w14:paraId="3BF05826" w14:textId="631F8E09" w:rsidR="009F4F5A" w:rsidRPr="0055724E" w:rsidRDefault="009F4F5A" w:rsidP="00445DA3">
      <w:pPr>
        <w:widowControl/>
        <w:spacing w:beforeLines="50" w:before="180" w:line="480" w:lineRule="auto"/>
        <w:jc w:val="left"/>
        <w:rPr>
          <w:rFonts w:cs="宋体"/>
          <w:kern w:val="0"/>
          <w:sz w:val="28"/>
          <w:szCs w:val="24"/>
        </w:rPr>
      </w:pPr>
      <w:r w:rsidRPr="0055724E">
        <w:rPr>
          <w:rFonts w:cs="宋体"/>
          <w:b/>
          <w:bCs/>
          <w:kern w:val="0"/>
          <w:sz w:val="28"/>
          <w:szCs w:val="24"/>
        </w:rPr>
        <w:t>2.</w:t>
      </w:r>
    </w:p>
    <w:p w14:paraId="1E934919"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又有一些用例，“能”與其賓語間可以補出“及”字。例如：</w:t>
      </w:r>
    </w:p>
    <w:p w14:paraId="185B75FF"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lastRenderedPageBreak/>
        <w:t>（1）《國語·晋語八》記叔向見韓宣子，韓宣子憂己之貧，叔向卻向他道賀，宣子問其故，叔向指出以前欒武子貧而有德，得到大家的尊敬，郤氏富而無德，遭到滅亡的命運，最後説：“今吾子有欒武子之貧，吾以爲</w:t>
      </w:r>
      <w:r w:rsidRPr="0055724E">
        <w:rPr>
          <w:rFonts w:cs="宋体"/>
          <w:b/>
          <w:bCs/>
          <w:color w:val="000000"/>
          <w:kern w:val="0"/>
          <w:sz w:val="28"/>
          <w:szCs w:val="23"/>
          <w:u w:val="single"/>
        </w:rPr>
        <w:t>能其德</w:t>
      </w:r>
      <w:r w:rsidRPr="0055724E">
        <w:rPr>
          <w:rFonts w:cs="宋体"/>
          <w:color w:val="000000"/>
          <w:kern w:val="0"/>
          <w:sz w:val="28"/>
          <w:szCs w:val="23"/>
        </w:rPr>
        <w:t>矣，是以賀。若不憂德之不建，而患貨之不足，將吊不暇，何賀之有？”“能其德”可以理解爲“能及其德”，叔向的意思是説：“現在您有了欒武子之貧，我認爲您的德業也是能趕上欒武子的。”《論語•子張》：“子游曰：‘吾友張也，爲難能也，然而未仁。’”何晏《集解》引包咸注：“言子張容儀之</w:t>
      </w:r>
      <w:r w:rsidRPr="0055724E">
        <w:rPr>
          <w:rFonts w:cs="宋体"/>
          <w:b/>
          <w:bCs/>
          <w:color w:val="000000"/>
          <w:kern w:val="0"/>
          <w:sz w:val="28"/>
          <w:szCs w:val="23"/>
          <w:u w:val="single"/>
        </w:rPr>
        <w:t>難及</w:t>
      </w:r>
      <w:r w:rsidRPr="0055724E">
        <w:rPr>
          <w:rFonts w:cs="宋体"/>
          <w:color w:val="000000"/>
          <w:kern w:val="0"/>
          <w:sz w:val="28"/>
          <w:szCs w:val="23"/>
        </w:rPr>
        <w:t>。”皇侃《義疏》：“子游言吾同志之友子張，容貌堂偉，</w:t>
      </w:r>
      <w:r w:rsidRPr="0055724E">
        <w:rPr>
          <w:rFonts w:cs="宋体"/>
          <w:b/>
          <w:bCs/>
          <w:color w:val="000000"/>
          <w:kern w:val="0"/>
          <w:sz w:val="28"/>
          <w:szCs w:val="23"/>
        </w:rPr>
        <w:t>難爲人所能及</w:t>
      </w:r>
      <w:r w:rsidRPr="0055724E">
        <w:rPr>
          <w:rFonts w:cs="宋体"/>
          <w:color w:val="000000"/>
          <w:kern w:val="0"/>
          <w:sz w:val="28"/>
          <w:szCs w:val="23"/>
        </w:rPr>
        <w:t>，故云爲難能也。”</w:t>
      </w:r>
      <w:r w:rsidRPr="00965627">
        <w:rPr>
          <w:rStyle w:val="ae"/>
          <w:rFonts w:cs="宋体"/>
          <w:color w:val="000000"/>
          <w:kern w:val="0"/>
          <w:sz w:val="28"/>
          <w:szCs w:val="23"/>
        </w:rPr>
        <w:endnoteReference w:id="48"/>
      </w:r>
      <w:r w:rsidRPr="0055724E">
        <w:rPr>
          <w:rFonts w:cs="宋体"/>
          <w:color w:val="000000"/>
          <w:kern w:val="0"/>
          <w:sz w:val="28"/>
          <w:szCs w:val="23"/>
        </w:rPr>
        <w:t>他們把“難能”理解爲“難及”、“難爲人所能及”，可以參考。</w:t>
      </w:r>
    </w:p>
    <w:p w14:paraId="7D85C1BB"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（2）郭店簡《性自命出》篇中有一段講觀察“學者”</w:t>
      </w:r>
      <w:r w:rsidRPr="0055724E">
        <w:rPr>
          <w:rFonts w:cs="宋体"/>
          <w:b/>
          <w:bCs/>
          <w:color w:val="A0A0A0"/>
          <w:kern w:val="0"/>
          <w:sz w:val="21"/>
          <w:szCs w:val="21"/>
        </w:rPr>
        <w:t>（當指從學、求學者）</w:t>
      </w:r>
      <w:r w:rsidRPr="0055724E">
        <w:rPr>
          <w:rFonts w:cs="宋体"/>
          <w:color w:val="000000"/>
          <w:kern w:val="0"/>
          <w:sz w:val="28"/>
          <w:szCs w:val="23"/>
        </w:rPr>
        <w:t>心中真情的方法的文字</w:t>
      </w:r>
      <w:r w:rsidRPr="0055724E">
        <w:rPr>
          <w:rFonts w:cs="宋体"/>
          <w:b/>
          <w:bCs/>
          <w:color w:val="A0A0A0"/>
          <w:kern w:val="0"/>
          <w:sz w:val="21"/>
          <w:szCs w:val="21"/>
        </w:rPr>
        <w:t>（全段文字後文注179已經引出並略有解釋，請參看）</w:t>
      </w:r>
      <w:r w:rsidRPr="0055724E">
        <w:rPr>
          <w:rFonts w:cs="宋体"/>
          <w:color w:val="000000"/>
          <w:kern w:val="0"/>
          <w:sz w:val="28"/>
          <w:szCs w:val="23"/>
        </w:rPr>
        <w:t>，其中有“雖</w:t>
      </w:r>
      <w:r w:rsidRPr="0055724E">
        <w:rPr>
          <w:rFonts w:cs="宋体"/>
          <w:b/>
          <w:bCs/>
          <w:color w:val="000000"/>
          <w:kern w:val="0"/>
          <w:sz w:val="28"/>
          <w:szCs w:val="23"/>
          <w:u w:val="single"/>
        </w:rPr>
        <w:t>能其事</w:t>
      </w:r>
      <w:r w:rsidRPr="0055724E">
        <w:rPr>
          <w:rFonts w:cs="宋体"/>
          <w:color w:val="000000"/>
          <w:kern w:val="0"/>
          <w:sz w:val="28"/>
          <w:szCs w:val="23"/>
        </w:rPr>
        <w:t>，不</w:t>
      </w:r>
      <w:r w:rsidRPr="0055724E">
        <w:rPr>
          <w:rFonts w:cs="宋体"/>
          <w:b/>
          <w:bCs/>
          <w:color w:val="000000"/>
          <w:kern w:val="0"/>
          <w:sz w:val="28"/>
          <w:szCs w:val="23"/>
          <w:u w:val="single"/>
        </w:rPr>
        <w:t>能其心</w:t>
      </w:r>
      <w:r w:rsidRPr="0055724E">
        <w:rPr>
          <w:rFonts w:cs="宋体"/>
          <w:color w:val="000000"/>
          <w:kern w:val="0"/>
          <w:sz w:val="28"/>
          <w:szCs w:val="23"/>
        </w:rPr>
        <w:t>，不貴”句，我們認爲這兩個“能”似也可以理解爲“能及”，此句的意思是説：“其認識只能達到事的層面，而不能達到心的層面，那是不足貴的。”</w:t>
      </w:r>
    </w:p>
    <w:p w14:paraId="5C51D814"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可以理解爲“能及”的“能”字，在古書中多出現在表示“不能達到某數”之義的用例中。</w:t>
      </w:r>
    </w:p>
    <w:p w14:paraId="5F0A7935"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lastRenderedPageBreak/>
        <w:t>（3）《禮記·王制》：“天子之田方千里，公侯田方百里，伯七十里，子男五十里。</w:t>
      </w:r>
      <w:r w:rsidRPr="0055724E">
        <w:rPr>
          <w:rFonts w:cs="宋体"/>
          <w:b/>
          <w:bCs/>
          <w:color w:val="000000"/>
          <w:kern w:val="0"/>
          <w:sz w:val="28"/>
          <w:szCs w:val="23"/>
          <w:u w:val="single"/>
        </w:rPr>
        <w:t>不能五十里</w:t>
      </w:r>
      <w:r w:rsidRPr="0055724E">
        <w:rPr>
          <w:rFonts w:cs="宋体"/>
          <w:color w:val="000000"/>
          <w:kern w:val="0"/>
          <w:sz w:val="28"/>
          <w:szCs w:val="23"/>
        </w:rPr>
        <w:t>者，不合於天子，附於諸侯，曰附庸。”“不能五十里”就是不能及五十里，也就是到不了五十里的意思。此下三條中的“不能”，其後之語皆表示數量，用法與此條同。</w:t>
      </w:r>
    </w:p>
    <w:p w14:paraId="29A74662"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（4）《荀子·勸學》：“騏驥一躍，</w:t>
      </w:r>
      <w:r w:rsidRPr="0055724E">
        <w:rPr>
          <w:rFonts w:cs="宋体"/>
          <w:b/>
          <w:bCs/>
          <w:color w:val="000000"/>
          <w:kern w:val="0"/>
          <w:sz w:val="28"/>
          <w:szCs w:val="23"/>
          <w:u w:val="single"/>
        </w:rPr>
        <w:t>不能十步</w:t>
      </w:r>
      <w:r w:rsidRPr="0055724E">
        <w:rPr>
          <w:rFonts w:cs="宋体"/>
          <w:color w:val="000000"/>
          <w:kern w:val="0"/>
          <w:sz w:val="28"/>
          <w:szCs w:val="23"/>
        </w:rPr>
        <w:t>；駑馬十駕，功在不舍。”</w:t>
      </w:r>
    </w:p>
    <w:p w14:paraId="7581725A"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（5）《戰國策·燕策一》“燕昭王收破燕後即位”章講到古有欲求千里馬者，以五百金買已死之千里馬之首，“於是</w:t>
      </w:r>
      <w:r w:rsidRPr="0055724E">
        <w:rPr>
          <w:rFonts w:cs="宋体"/>
          <w:b/>
          <w:bCs/>
          <w:color w:val="000000"/>
          <w:kern w:val="0"/>
          <w:sz w:val="28"/>
          <w:szCs w:val="23"/>
          <w:u w:val="single"/>
        </w:rPr>
        <w:t>不能期年</w:t>
      </w:r>
      <w:r w:rsidRPr="0055724E">
        <w:rPr>
          <w:rFonts w:cs="宋体"/>
          <w:color w:val="000000"/>
          <w:kern w:val="0"/>
          <w:sz w:val="28"/>
          <w:szCs w:val="23"/>
        </w:rPr>
        <w:t>，千里之馬至者三”。“不能期年”就是到不了一年的意思。</w:t>
      </w:r>
    </w:p>
    <w:p w14:paraId="42C98579"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（6）《史記·淮南衡山列傳》記武被勸誡想作亂的淮南王劉安説：“方今大王之兵眾</w:t>
      </w:r>
      <w:r w:rsidRPr="0055724E">
        <w:rPr>
          <w:rFonts w:cs="宋体"/>
          <w:b/>
          <w:bCs/>
          <w:color w:val="000000"/>
          <w:kern w:val="0"/>
          <w:sz w:val="28"/>
          <w:szCs w:val="23"/>
          <w:u w:val="single"/>
        </w:rPr>
        <w:t>不能十分吴、楚之一</w:t>
      </w:r>
      <w:r w:rsidRPr="0055724E">
        <w:rPr>
          <w:rFonts w:cs="宋体"/>
          <w:color w:val="000000"/>
          <w:kern w:val="0"/>
          <w:sz w:val="28"/>
          <w:szCs w:val="23"/>
        </w:rPr>
        <w:t>，天下安寧有</w:t>
      </w:r>
      <w:r w:rsidRPr="0055724E">
        <w:rPr>
          <w:rFonts w:cs="宋体"/>
          <w:b/>
          <w:bCs/>
          <w:color w:val="A0A0A0"/>
          <w:kern w:val="0"/>
          <w:sz w:val="21"/>
          <w:szCs w:val="21"/>
        </w:rPr>
        <w:t>（《漢書·武被傳》作‘又’）</w:t>
      </w:r>
      <w:r w:rsidRPr="0055724E">
        <w:rPr>
          <w:rFonts w:cs="宋体"/>
          <w:color w:val="000000"/>
          <w:kern w:val="0"/>
          <w:sz w:val="28"/>
          <w:szCs w:val="23"/>
        </w:rPr>
        <w:t>萬倍於吴楚之時。”“吴楚”指景帝時七國之亂中的吴、楚二國，“不能十分吴楚之一”意思就是還到不了吴、楚二國的兵眾的十分之一。</w:t>
      </w:r>
    </w:p>
    <w:p w14:paraId="017232C7"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（7）《史記·扁鵲倉公列傳》記扁鵲過虢，遇虢太子新死，扁鵲問中庶子：“‘其死何如時？’曰：‘雞鳴至今。’曰：‘收乎？’曰：‘未也，其死</w:t>
      </w:r>
      <w:r w:rsidRPr="0055724E">
        <w:rPr>
          <w:rFonts w:cs="宋体"/>
          <w:b/>
          <w:bCs/>
          <w:color w:val="000000"/>
          <w:kern w:val="0"/>
          <w:sz w:val="28"/>
          <w:szCs w:val="23"/>
          <w:u w:val="single"/>
        </w:rPr>
        <w:t>未能半日</w:t>
      </w:r>
      <w:r w:rsidRPr="0055724E">
        <w:rPr>
          <w:rFonts w:cs="宋体"/>
          <w:color w:val="000000"/>
          <w:kern w:val="0"/>
          <w:sz w:val="28"/>
          <w:szCs w:val="23"/>
        </w:rPr>
        <w:t>也。’”“未”“不”義近，“未能半日”</w:t>
      </w:r>
      <w:r w:rsidRPr="0055724E">
        <w:rPr>
          <w:rFonts w:cs="宋体"/>
          <w:color w:val="000000"/>
          <w:kern w:val="0"/>
          <w:sz w:val="28"/>
          <w:szCs w:val="23"/>
        </w:rPr>
        <w:lastRenderedPageBreak/>
        <w:t>就是到不了半天的意思。《漢書·霍光傳》有“未能十日”之語，“能”上亦用“未”字。</w:t>
      </w:r>
    </w:p>
    <w:p w14:paraId="0B5ACE4F"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（8）《漢書·韓信傳》有“今韓信兵號數萬，其實</w:t>
      </w:r>
      <w:r w:rsidRPr="0055724E">
        <w:rPr>
          <w:rFonts w:cs="宋体"/>
          <w:b/>
          <w:bCs/>
          <w:color w:val="000000"/>
          <w:kern w:val="0"/>
          <w:sz w:val="28"/>
          <w:szCs w:val="23"/>
          <w:u w:val="single"/>
        </w:rPr>
        <w:t>不能</w:t>
      </w:r>
      <w:r w:rsidRPr="0055724E">
        <w:rPr>
          <w:rFonts w:cs="宋体"/>
          <w:color w:val="000000"/>
          <w:kern w:val="0"/>
          <w:sz w:val="28"/>
          <w:szCs w:val="23"/>
        </w:rPr>
        <w:t>”語，“不能”後承上省去賓語“數萬”。楊樹達《漢書窺管》卷四“韓信傳”部分論及上引之句時説“古人凡云不至某數曰不能”。</w:t>
      </w:r>
      <w:r w:rsidRPr="00965627">
        <w:rPr>
          <w:rStyle w:val="ae"/>
          <w:rFonts w:cs="宋体"/>
          <w:color w:val="000000"/>
          <w:kern w:val="0"/>
          <w:sz w:val="28"/>
          <w:szCs w:val="23"/>
        </w:rPr>
        <w:endnoteReference w:id="49"/>
      </w:r>
    </w:p>
    <w:p w14:paraId="06B466BD"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古漢語辭書多爲這裏所討論的“能”專立義項，解釋爲“及，到”，其實以釋爲“能及，能到達”爲妥。他們不加“能”字，可能是由於所據的都是否定形式的用例的緣故</w:t>
      </w:r>
      <w:r w:rsidRPr="0055724E">
        <w:rPr>
          <w:rFonts w:cs="宋体"/>
          <w:b/>
          <w:bCs/>
          <w:color w:val="A0A0A0"/>
          <w:kern w:val="0"/>
          <w:sz w:val="21"/>
          <w:szCs w:val="21"/>
        </w:rPr>
        <w:t>（古漢語辭書多在“能”字的“及，到”義項下引了《論語·子張》“爲難能也”這個用例，“難能”也可以包括在廣義的否定形式之内）</w:t>
      </w:r>
      <w:r w:rsidRPr="0055724E">
        <w:rPr>
          <w:rFonts w:cs="宋体"/>
          <w:color w:val="000000"/>
          <w:kern w:val="0"/>
          <w:sz w:val="28"/>
          <w:szCs w:val="23"/>
        </w:rPr>
        <w:t>。</w:t>
      </w:r>
    </w:p>
    <w:p w14:paraId="662C755D" w14:textId="213EF11B" w:rsidR="009F4F5A" w:rsidRDefault="009F4F5A" w:rsidP="00445DA3">
      <w:pPr>
        <w:widowControl/>
        <w:spacing w:beforeLines="50" w:before="180" w:line="480" w:lineRule="auto"/>
        <w:jc w:val="left"/>
        <w:rPr>
          <w:rFonts w:cs="宋体"/>
          <w:kern w:val="0"/>
          <w:sz w:val="28"/>
          <w:szCs w:val="24"/>
        </w:rPr>
      </w:pPr>
      <w:r w:rsidRPr="0055724E">
        <w:rPr>
          <w:rFonts w:cs="宋体"/>
          <w:b/>
          <w:bCs/>
          <w:kern w:val="0"/>
          <w:sz w:val="28"/>
          <w:szCs w:val="24"/>
        </w:rPr>
        <w:t>3.</w:t>
      </w:r>
    </w:p>
    <w:p w14:paraId="1C455A99" w14:textId="021BAD78"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《荀子·勸學》有直接以事物名稱爲賓語的“能”字的一個較特殊的用例：“假輿馬者，非利足也，而致千里；假舟楫者，非</w:t>
      </w:r>
      <w:r w:rsidRPr="0055724E">
        <w:rPr>
          <w:rFonts w:cs="宋体"/>
          <w:b/>
          <w:bCs/>
          <w:color w:val="000000"/>
          <w:kern w:val="0"/>
          <w:sz w:val="28"/>
          <w:szCs w:val="23"/>
          <w:u w:val="single"/>
        </w:rPr>
        <w:t>能水</w:t>
      </w:r>
      <w:r w:rsidRPr="0055724E">
        <w:rPr>
          <w:rFonts w:cs="宋体"/>
          <w:color w:val="000000"/>
          <w:kern w:val="0"/>
          <w:sz w:val="28"/>
          <w:szCs w:val="23"/>
        </w:rPr>
        <w:t>也，而絶江河。”</w:t>
      </w:r>
      <w:r w:rsidRPr="0055724E">
        <w:rPr>
          <w:rFonts w:cs="宋体"/>
          <w:b/>
          <w:bCs/>
          <w:color w:val="A0A0A0"/>
          <w:kern w:val="0"/>
          <w:sz w:val="21"/>
          <w:szCs w:val="21"/>
        </w:rPr>
        <w:t>（《大戴禮記·勸學》有相類文字，“能水”之語同）</w:t>
      </w:r>
      <w:r w:rsidRPr="0055724E">
        <w:rPr>
          <w:rFonts w:cs="宋体"/>
          <w:color w:val="000000"/>
          <w:kern w:val="0"/>
          <w:sz w:val="28"/>
          <w:szCs w:val="23"/>
        </w:rPr>
        <w:t>楊倞注：“能，善。”</w:t>
      </w:r>
      <w:r w:rsidRPr="00965627">
        <w:rPr>
          <w:rStyle w:val="ae"/>
          <w:rFonts w:cs="宋体"/>
          <w:color w:val="000000"/>
          <w:kern w:val="0"/>
          <w:sz w:val="28"/>
          <w:szCs w:val="23"/>
        </w:rPr>
        <w:endnoteReference w:id="50"/>
      </w:r>
      <w:r w:rsidRPr="0055724E">
        <w:rPr>
          <w:rFonts w:cs="宋体"/>
          <w:color w:val="000000"/>
          <w:kern w:val="0"/>
          <w:sz w:val="28"/>
          <w:szCs w:val="23"/>
        </w:rPr>
        <w:t>一般都將“能水”理解爲“能游水，泅水”，從上下文意看，應該是對的。但有的辭書爲“能水”的“水”專立了“游水”</w:t>
      </w:r>
      <w:r w:rsidRPr="0055724E">
        <w:rPr>
          <w:rFonts w:cs="宋体"/>
          <w:b/>
          <w:bCs/>
          <w:color w:val="A0A0A0"/>
          <w:kern w:val="0"/>
          <w:sz w:val="21"/>
          <w:szCs w:val="21"/>
        </w:rPr>
        <w:t>（《漢語大字典》）</w:t>
      </w:r>
      <w:r w:rsidRPr="0055724E">
        <w:rPr>
          <w:rFonts w:cs="宋体"/>
          <w:color w:val="000000"/>
          <w:kern w:val="0"/>
          <w:sz w:val="28"/>
          <w:szCs w:val="23"/>
        </w:rPr>
        <w:t>或“泅水”</w:t>
      </w:r>
      <w:r w:rsidRPr="0055724E">
        <w:rPr>
          <w:rFonts w:cs="宋体"/>
          <w:b/>
          <w:bCs/>
          <w:color w:val="A0A0A0"/>
          <w:kern w:val="0"/>
          <w:sz w:val="21"/>
          <w:szCs w:val="21"/>
        </w:rPr>
        <w:t>（《漢語大詞典》）</w:t>
      </w:r>
      <w:r w:rsidRPr="0055724E">
        <w:rPr>
          <w:rFonts w:cs="宋体"/>
          <w:color w:val="000000"/>
          <w:kern w:val="0"/>
          <w:sz w:val="28"/>
          <w:szCs w:val="23"/>
        </w:rPr>
        <w:t>的義項，卻不妥當，這猶如爲“善</w:t>
      </w:r>
      <w:r w:rsidRPr="0055724E">
        <w:rPr>
          <w:rFonts w:cs="宋体"/>
          <w:color w:val="000000"/>
          <w:kern w:val="0"/>
          <w:sz w:val="28"/>
          <w:szCs w:val="23"/>
        </w:rPr>
        <w:lastRenderedPageBreak/>
        <w:t>史書”這一用例在“史書”這個詞條下專立一個“書寫史書”的義項一樣，是不合理的。</w:t>
      </w:r>
      <w:r w:rsidRPr="00965627">
        <w:rPr>
          <w:rStyle w:val="ae"/>
          <w:rFonts w:cs="宋体"/>
          <w:color w:val="000000"/>
          <w:kern w:val="0"/>
          <w:sz w:val="28"/>
          <w:szCs w:val="23"/>
        </w:rPr>
        <w:endnoteReference w:id="51"/>
      </w:r>
    </w:p>
    <w:p w14:paraId="2DF9B4CD" w14:textId="51D6108A" w:rsidR="009F4F5A" w:rsidRDefault="009F4F5A" w:rsidP="00445DA3">
      <w:pPr>
        <w:widowControl/>
        <w:spacing w:beforeLines="50" w:before="180" w:line="480" w:lineRule="auto"/>
        <w:jc w:val="left"/>
        <w:rPr>
          <w:rFonts w:cs="宋体"/>
          <w:kern w:val="0"/>
          <w:sz w:val="28"/>
          <w:szCs w:val="24"/>
        </w:rPr>
      </w:pPr>
      <w:r w:rsidRPr="0055724E">
        <w:rPr>
          <w:rFonts w:cs="宋体"/>
          <w:b/>
          <w:bCs/>
          <w:kern w:val="0"/>
          <w:sz w:val="28"/>
          <w:szCs w:val="24"/>
        </w:rPr>
        <w:t>4.</w:t>
      </w:r>
    </w:p>
    <w:p w14:paraId="2DED6ADE"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上文在講“善”直接以事物名稱爲賓語的例子時，將數量較多的所帶賓語指人或國家之類對象的一類單獨提出來加以討論</w:t>
      </w:r>
      <w:r w:rsidRPr="0055724E">
        <w:rPr>
          <w:rFonts w:cs="宋体"/>
          <w:b/>
          <w:bCs/>
          <w:color w:val="A0A0A0"/>
          <w:kern w:val="0"/>
          <w:sz w:val="21"/>
          <w:szCs w:val="21"/>
        </w:rPr>
        <w:t>（這裏所説的國家指某個、某些或某種國家，上面舉過的“毋乃不能邦”“其能國”二例中的“邦”和“國”則指抽象的“國家”，二者之義有異）</w:t>
      </w:r>
      <w:r w:rsidRPr="0055724E">
        <w:rPr>
          <w:rFonts w:cs="宋体"/>
          <w:color w:val="000000"/>
          <w:kern w:val="0"/>
          <w:sz w:val="28"/>
          <w:szCs w:val="23"/>
        </w:rPr>
        <w:t>，“能”字也有不少相類的用例，例如：</w:t>
      </w:r>
    </w:p>
    <w:p w14:paraId="40188BEB" w14:textId="77777777" w:rsidR="009F4F5A" w:rsidRDefault="009F4F5A" w:rsidP="00445DA3">
      <w:pPr>
        <w:widowControl/>
        <w:spacing w:beforeLines="50" w:before="180" w:line="480" w:lineRule="auto"/>
        <w:jc w:val="left"/>
        <w:rPr>
          <w:rFonts w:cs="宋体"/>
          <w:kern w:val="0"/>
          <w:sz w:val="28"/>
          <w:szCs w:val="24"/>
        </w:rPr>
      </w:pPr>
      <w:r w:rsidRPr="0055724E">
        <w:rPr>
          <w:rFonts w:cs="宋体"/>
          <w:color w:val="000000"/>
          <w:kern w:val="0"/>
          <w:sz w:val="28"/>
          <w:szCs w:val="23"/>
        </w:rPr>
        <w:t>（1）《書·顧命》記成王臨死囑咐受顧命的大臣，曰：“爾尚明時朕言，用敬保元子釗</w:t>
      </w:r>
      <w:r w:rsidRPr="0055724E">
        <w:rPr>
          <w:rFonts w:cs="宋体"/>
          <w:b/>
          <w:bCs/>
          <w:color w:val="A0A0A0"/>
          <w:kern w:val="0"/>
          <w:sz w:val="21"/>
          <w:szCs w:val="21"/>
        </w:rPr>
        <w:t>（康王之名）</w:t>
      </w:r>
      <w:r w:rsidRPr="0055724E">
        <w:rPr>
          <w:rFonts w:cs="宋体"/>
          <w:color w:val="000000"/>
          <w:kern w:val="0"/>
          <w:sz w:val="28"/>
          <w:szCs w:val="23"/>
        </w:rPr>
        <w:t>弘濟于艱難，柔遠</w:t>
      </w:r>
      <w:r w:rsidRPr="0055724E">
        <w:rPr>
          <w:rFonts w:cs="宋体"/>
          <w:b/>
          <w:bCs/>
          <w:color w:val="000000"/>
          <w:kern w:val="0"/>
          <w:sz w:val="28"/>
          <w:szCs w:val="23"/>
          <w:u w:val="single"/>
        </w:rPr>
        <w:t>能邇</w:t>
      </w:r>
      <w:r w:rsidRPr="0055724E">
        <w:rPr>
          <w:rFonts w:cs="宋体"/>
          <w:color w:val="000000"/>
          <w:kern w:val="0"/>
          <w:sz w:val="28"/>
          <w:szCs w:val="23"/>
        </w:rPr>
        <w:t>，安勸小大庶邦。”</w:t>
      </w:r>
    </w:p>
    <w:p w14:paraId="4514D7DE"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2）《左傳·僖公九年》記晋獻公死後，他跟驪姬及驪姬之妹所生二子先後爲晋國大夫所殺，當時因受驪姬之讒逃奔在外的獻公之子夷吾居住在接近秦國的梁地，跟隨他的大夫郤芮勸他以即位後重賂秦以土地的條件請求秦人支持他立爲晋侯，並説：“人實有國，我何愛焉？入而</w:t>
      </w:r>
      <w:r w:rsidRPr="0055724E">
        <w:rPr>
          <w:rFonts w:cs="宋体"/>
          <w:b/>
          <w:bCs/>
          <w:color w:val="000000"/>
          <w:kern w:val="0"/>
          <w:sz w:val="28"/>
          <w:szCs w:val="23"/>
          <w:u w:val="single"/>
        </w:rPr>
        <w:t>能民</w:t>
      </w:r>
      <w:r w:rsidRPr="0055724E">
        <w:rPr>
          <w:rFonts w:cs="宋体"/>
          <w:color w:val="000000"/>
          <w:kern w:val="0"/>
          <w:sz w:val="28"/>
          <w:szCs w:val="23"/>
        </w:rPr>
        <w:t>，土於何有？”</w:t>
      </w:r>
    </w:p>
    <w:p w14:paraId="5B4FAEE2"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lastRenderedPageBreak/>
        <w:t>（3）宣公十一年《穀梁傳》文批評楚莊王討夏徵舒弒陳靈公之罪攻入陳國之事，其中有“輔人之</w:t>
      </w:r>
      <w:r w:rsidRPr="0055724E">
        <w:rPr>
          <w:rFonts w:cs="宋体"/>
          <w:b/>
          <w:bCs/>
          <w:color w:val="000000"/>
          <w:kern w:val="0"/>
          <w:sz w:val="28"/>
          <w:szCs w:val="23"/>
          <w:u w:val="single"/>
        </w:rPr>
        <w:t>不能民</w:t>
      </w:r>
      <w:r w:rsidRPr="0055724E">
        <w:rPr>
          <w:rFonts w:cs="宋体"/>
          <w:color w:val="000000"/>
          <w:kern w:val="0"/>
          <w:sz w:val="28"/>
          <w:szCs w:val="23"/>
        </w:rPr>
        <w:t>而討，猶可”之語。</w:t>
      </w:r>
    </w:p>
    <w:p w14:paraId="44EDFEF8"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（4）《左傳·昭公十一年》記晋叔向批評爲楚靈王所殺的蔡靈侯的無道，説：“蔡侯獲罪於其君</w:t>
      </w:r>
      <w:r w:rsidRPr="0055724E">
        <w:rPr>
          <w:rFonts w:cs="宋体"/>
          <w:b/>
          <w:bCs/>
          <w:color w:val="A0A0A0"/>
          <w:kern w:val="0"/>
          <w:sz w:val="21"/>
          <w:szCs w:val="21"/>
        </w:rPr>
        <w:t>（指蔡靈侯弒其父蔡景侯）</w:t>
      </w:r>
      <w:r w:rsidRPr="0055724E">
        <w:rPr>
          <w:rFonts w:cs="宋体"/>
          <w:color w:val="000000"/>
          <w:kern w:val="0"/>
          <w:sz w:val="28"/>
          <w:szCs w:val="23"/>
        </w:rPr>
        <w:t>，而</w:t>
      </w:r>
      <w:r w:rsidRPr="0055724E">
        <w:rPr>
          <w:rFonts w:cs="宋体"/>
          <w:b/>
          <w:bCs/>
          <w:color w:val="000000"/>
          <w:kern w:val="0"/>
          <w:sz w:val="28"/>
          <w:szCs w:val="23"/>
          <w:u w:val="single"/>
        </w:rPr>
        <w:t>不能其民</w:t>
      </w:r>
      <w:r w:rsidRPr="0055724E">
        <w:rPr>
          <w:rFonts w:cs="宋体"/>
          <w:color w:val="000000"/>
          <w:kern w:val="0"/>
          <w:sz w:val="28"/>
          <w:szCs w:val="23"/>
        </w:rPr>
        <w:t>。”</w:t>
      </w:r>
    </w:p>
    <w:p w14:paraId="3C9519FD"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（5）《左傳·文公十六年》記宋昭公無道，失去民心，其祖父襄公的夫人與昭公庶弟公子鮑勾結，將殺害昭公，尚忠於昭公的大臣蕩意諸勸昭公出奔他國，公曰：“</w:t>
      </w:r>
      <w:r w:rsidRPr="0055724E">
        <w:rPr>
          <w:rFonts w:cs="宋体"/>
          <w:b/>
          <w:bCs/>
          <w:color w:val="000000"/>
          <w:kern w:val="0"/>
          <w:sz w:val="28"/>
          <w:szCs w:val="23"/>
          <w:u w:val="single"/>
        </w:rPr>
        <w:t>不能其大夫</w:t>
      </w:r>
      <w:r w:rsidRPr="0055724E">
        <w:rPr>
          <w:rFonts w:cs="宋体"/>
          <w:color w:val="000000"/>
          <w:kern w:val="0"/>
          <w:sz w:val="28"/>
          <w:szCs w:val="23"/>
        </w:rPr>
        <w:t>，至於君祖母以及國人，諸侯誰納我？”</w:t>
      </w:r>
    </w:p>
    <w:p w14:paraId="53177824"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（6）《左傳》記魯昭公爲權臣季孫氏等所逐，他想借齊、晋之力復位，都受到實際上的拒絶，長期滯留在晋地乾侯，昭公三十一年、三十二年《傳》皆有“公在乾侯，言</w:t>
      </w:r>
      <w:r w:rsidRPr="0055724E">
        <w:rPr>
          <w:rFonts w:cs="宋体"/>
          <w:b/>
          <w:bCs/>
          <w:color w:val="000000"/>
          <w:kern w:val="0"/>
          <w:sz w:val="28"/>
          <w:szCs w:val="23"/>
          <w:u w:val="single"/>
        </w:rPr>
        <w:t>不能外内</w:t>
      </w:r>
      <w:r w:rsidRPr="0055724E">
        <w:rPr>
          <w:rFonts w:cs="宋体"/>
          <w:color w:val="000000"/>
          <w:kern w:val="0"/>
          <w:sz w:val="28"/>
          <w:szCs w:val="23"/>
        </w:rPr>
        <w:t>也”之文。</w:t>
      </w:r>
    </w:p>
    <w:p w14:paraId="42C9DBD9"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第（1）例中的“柔遠能邇”是古代屢見使用的一句話，又見《書》的《文侯之命》《堯典》，《詩·大雅·民勞》</w:t>
      </w:r>
      <w:r w:rsidRPr="0055724E">
        <w:rPr>
          <w:rFonts w:cs="宋体"/>
          <w:b/>
          <w:bCs/>
          <w:color w:val="A0A0A0"/>
          <w:kern w:val="0"/>
          <w:sz w:val="21"/>
          <w:szCs w:val="21"/>
        </w:rPr>
        <w:t>（《左傳·昭公二十年》《新序·雜事》《説苑·君道》等皆引《民勞》此語）</w:t>
      </w:r>
      <w:r w:rsidRPr="0055724E">
        <w:rPr>
          <w:rFonts w:cs="宋体"/>
          <w:color w:val="000000"/>
          <w:kern w:val="0"/>
          <w:sz w:val="28"/>
          <w:szCs w:val="23"/>
        </w:rPr>
        <w:t>，還見於西周晚期金文大克鼎。《詩·大雅·民勞》鄭箋曰：“能，猶侞也。邇，近也。安遠方之國，順侞其近者。”</w:t>
      </w:r>
      <w:r w:rsidRPr="00965627">
        <w:rPr>
          <w:rStyle w:val="ae"/>
          <w:rFonts w:cs="宋体"/>
          <w:color w:val="000000"/>
          <w:kern w:val="0"/>
          <w:sz w:val="28"/>
          <w:szCs w:val="23"/>
        </w:rPr>
        <w:endnoteReference w:id="52"/>
      </w:r>
      <w:r w:rsidRPr="0055724E">
        <w:rPr>
          <w:rFonts w:cs="宋体"/>
          <w:color w:val="000000"/>
          <w:kern w:val="0"/>
          <w:sz w:val="28"/>
          <w:szCs w:val="23"/>
        </w:rPr>
        <w:t>鄭箋大體可從，但訓“能”爲“侞”則不可信。“柔</w:t>
      </w:r>
      <w:r w:rsidRPr="0055724E">
        <w:rPr>
          <w:rFonts w:cs="宋体"/>
          <w:color w:val="000000"/>
          <w:kern w:val="0"/>
          <w:sz w:val="28"/>
          <w:szCs w:val="23"/>
        </w:rPr>
        <w:lastRenderedPageBreak/>
        <w:t>遠能邇”的意思應該就是對遠方之國加以懷柔，對近邇之國能搞好與他們的關係。</w:t>
      </w:r>
    </w:p>
    <w:p w14:paraId="1362A9EB"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第（2）例所引郤芮的話意思是説：現在晋國並不是你的，我們没有必要舍不得。立爲晋侯而能跟民眾搞好關係（即能得到民眾擁護），還怕没有土地麼？杜注説：“能得民，不患無土。”</w:t>
      </w:r>
      <w:r w:rsidRPr="00965627">
        <w:rPr>
          <w:rStyle w:val="ae"/>
          <w:rFonts w:cs="宋体"/>
          <w:color w:val="000000"/>
          <w:kern w:val="0"/>
          <w:sz w:val="28"/>
          <w:szCs w:val="23"/>
        </w:rPr>
        <w:endnoteReference w:id="53"/>
      </w:r>
      <w:r w:rsidRPr="0055724E">
        <w:rPr>
          <w:rFonts w:cs="宋体"/>
          <w:color w:val="000000"/>
          <w:kern w:val="0"/>
          <w:sz w:val="28"/>
          <w:szCs w:val="23"/>
        </w:rPr>
        <w:t>大體可從。</w:t>
      </w:r>
    </w:p>
    <w:p w14:paraId="3E64CB51"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第（3）例引出的《穀梁傳》文，范寧有注，曰：“輔相鄰國有不能治民者而討其罪人，則可。”</w:t>
      </w:r>
      <w:r w:rsidRPr="00965627">
        <w:rPr>
          <w:rStyle w:val="ae"/>
          <w:rFonts w:cs="宋体"/>
          <w:color w:val="000000"/>
          <w:kern w:val="0"/>
          <w:sz w:val="28"/>
          <w:szCs w:val="23"/>
        </w:rPr>
        <w:endnoteReference w:id="54"/>
      </w:r>
      <w:r w:rsidRPr="0055724E">
        <w:rPr>
          <w:rFonts w:cs="宋体"/>
          <w:color w:val="000000"/>
          <w:kern w:val="0"/>
          <w:sz w:val="28"/>
          <w:szCs w:val="23"/>
        </w:rPr>
        <w:t>我們認爲，“不能民”的意思應該就是不能處理好與其民的關係。第（4）例“不能其民”與這裏的“不能民”似同義。</w:t>
      </w:r>
    </w:p>
    <w:p w14:paraId="01CFF001"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第（5）例所引宋昭公之語意思是説：我跟“大夫、以至君祖母以及國人”的關係都搞得很不好，諸侯中還有誰會接納我？</w:t>
      </w:r>
    </w:p>
    <w:p w14:paraId="57089436"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第（6）例所引昭公三十一年《傳》文杜注：“公内不容於臣子，外不容於齊、晋，所以久在乾侯。”“不能外内”就是説對内對外都搞不好關係。</w:t>
      </w:r>
    </w:p>
    <w:p w14:paraId="2512B495"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上文講“善”字的時候曾指出“善”與其所帶指人或國的賓語之間可以插入“於”字以加强語氣。“能”也有這類情況，如《左傳·僖公十年》：“春，狄滅溫，蘇子</w:t>
      </w:r>
      <w:r w:rsidRPr="0055724E">
        <w:rPr>
          <w:rFonts w:cs="宋体"/>
          <w:b/>
          <w:bCs/>
          <w:color w:val="A0A0A0"/>
          <w:kern w:val="0"/>
          <w:sz w:val="21"/>
          <w:szCs w:val="21"/>
        </w:rPr>
        <w:t>（引者按：杜注指出‘溫子’爲蘇公之</w:t>
      </w:r>
      <w:r w:rsidRPr="0055724E">
        <w:rPr>
          <w:rFonts w:cs="宋体"/>
          <w:b/>
          <w:bCs/>
          <w:color w:val="A0A0A0"/>
          <w:kern w:val="0"/>
          <w:sz w:val="21"/>
          <w:szCs w:val="21"/>
        </w:rPr>
        <w:lastRenderedPageBreak/>
        <w:t>後，故亦稱‘蘇子’）</w:t>
      </w:r>
      <w:r w:rsidRPr="0055724E">
        <w:rPr>
          <w:rFonts w:cs="宋体"/>
          <w:color w:val="000000"/>
          <w:kern w:val="0"/>
          <w:sz w:val="28"/>
          <w:szCs w:val="23"/>
        </w:rPr>
        <w:t>無信也。蘇子叛王即狄，又</w:t>
      </w:r>
      <w:r w:rsidRPr="0055724E">
        <w:rPr>
          <w:rFonts w:cs="宋体"/>
          <w:b/>
          <w:bCs/>
          <w:color w:val="000000"/>
          <w:kern w:val="0"/>
          <w:sz w:val="28"/>
          <w:szCs w:val="23"/>
          <w:u w:val="single"/>
        </w:rPr>
        <w:t>不能於狄</w:t>
      </w:r>
      <w:r w:rsidRPr="0055724E">
        <w:rPr>
          <w:rFonts w:cs="宋体"/>
          <w:color w:val="000000"/>
          <w:kern w:val="0"/>
          <w:sz w:val="28"/>
          <w:szCs w:val="23"/>
        </w:rPr>
        <w:t>，狄人伐之。王不救，故滅。蘇子奔衛。”《左傳·成公十一年》記同一事説：“蘇氏即狄，又</w:t>
      </w:r>
      <w:r w:rsidRPr="0055724E">
        <w:rPr>
          <w:rFonts w:cs="宋体"/>
          <w:b/>
          <w:bCs/>
          <w:color w:val="000000"/>
          <w:kern w:val="0"/>
          <w:sz w:val="28"/>
          <w:szCs w:val="23"/>
          <w:u w:val="single"/>
        </w:rPr>
        <w:t>不能於狄</w:t>
      </w:r>
      <w:r w:rsidRPr="0055724E">
        <w:rPr>
          <w:rFonts w:cs="宋体"/>
          <w:color w:val="000000"/>
          <w:kern w:val="0"/>
          <w:sz w:val="28"/>
          <w:szCs w:val="23"/>
        </w:rPr>
        <w:t>，而奔衛。”</w:t>
      </w:r>
    </w:p>
    <w:p w14:paraId="636C0918"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“乎”有與“於”類似的用法，</w:t>
      </w:r>
      <w:r w:rsidRPr="00965627">
        <w:rPr>
          <w:rStyle w:val="ae"/>
          <w:rFonts w:cs="宋体"/>
          <w:color w:val="000000"/>
          <w:kern w:val="0"/>
          <w:sz w:val="28"/>
          <w:szCs w:val="23"/>
        </w:rPr>
        <w:endnoteReference w:id="55"/>
      </w:r>
      <w:r w:rsidRPr="0055724E">
        <w:rPr>
          <w:rFonts w:cs="宋体"/>
          <w:color w:val="000000"/>
          <w:kern w:val="0"/>
          <w:sz w:val="28"/>
          <w:szCs w:val="23"/>
        </w:rPr>
        <w:t>《公羊傳·僖公二十四年》解釋經文“天王出居於鄭”曰：“王者無外，此其言‘出’何？</w:t>
      </w:r>
      <w:r w:rsidRPr="0055724E">
        <w:rPr>
          <w:rFonts w:cs="宋体"/>
          <w:b/>
          <w:bCs/>
          <w:color w:val="000000"/>
          <w:kern w:val="0"/>
          <w:sz w:val="28"/>
          <w:szCs w:val="23"/>
          <w:u w:val="single"/>
        </w:rPr>
        <w:t>不能乎母</w:t>
      </w:r>
      <w:r w:rsidRPr="0055724E">
        <w:rPr>
          <w:rFonts w:cs="宋体"/>
          <w:color w:val="000000"/>
          <w:kern w:val="0"/>
          <w:sz w:val="28"/>
          <w:szCs w:val="23"/>
        </w:rPr>
        <w:t>也。魯子曰：‘是王也，</w:t>
      </w:r>
      <w:r w:rsidRPr="0055724E">
        <w:rPr>
          <w:rFonts w:cs="宋体"/>
          <w:b/>
          <w:bCs/>
          <w:color w:val="000000"/>
          <w:kern w:val="0"/>
          <w:sz w:val="28"/>
          <w:szCs w:val="23"/>
          <w:u w:val="single"/>
        </w:rPr>
        <w:t>不能乎母</w:t>
      </w:r>
      <w:r w:rsidRPr="0055724E">
        <w:rPr>
          <w:rFonts w:cs="宋体"/>
          <w:color w:val="000000"/>
          <w:kern w:val="0"/>
          <w:sz w:val="28"/>
          <w:szCs w:val="23"/>
        </w:rPr>
        <w:t>者，其諸此之謂與？’”“不能乎母”猶言“不能於母”，當是不能跟母親搞好關係的意思。“天王出居於鄭”指周襄王由於其母弟王子帶作亂而避居於鄭之事。據《左傳》，僖公七年年末，襄王之父惠王去世，“襄王惡大叔帶之難，懼不立，不發喪而告難于齊”，至次年春“襄王定位而後發喪”。至僖公二十四年，王子帶在一些人的支持下作亂，《左傳》追溯往事説：“初，甘昭公</w:t>
      </w:r>
      <w:r w:rsidRPr="0055724E">
        <w:rPr>
          <w:rFonts w:cs="宋体"/>
          <w:b/>
          <w:bCs/>
          <w:color w:val="A0A0A0"/>
          <w:kern w:val="0"/>
          <w:sz w:val="21"/>
          <w:szCs w:val="21"/>
        </w:rPr>
        <w:t>（即王子帶）</w:t>
      </w:r>
      <w:r w:rsidRPr="0055724E">
        <w:rPr>
          <w:rFonts w:cs="宋体"/>
          <w:color w:val="000000"/>
          <w:kern w:val="0"/>
          <w:sz w:val="28"/>
          <w:szCs w:val="23"/>
        </w:rPr>
        <w:t>有寵於惠后。惠后將立之，未及而卒。”王子帶第一次攻王時，“王御士將御之。王曰：‘先后其謂我何？寧使諸侯圖之。’王遂出，及坎欿。國人納之”。王子帶又率其眾“伐周，大敗周師”，“王出適鄭，處于氾”。他在氾地使人向魯告難説：“不穀不德，得罪于母氏之寵子帶，鄙在鄭地氾，敢告叔父。”《公羊傳》以“不能乎母”作爲《春秋經》用“出”字的原因，大概就是以襄王</w:t>
      </w:r>
      <w:r w:rsidRPr="0055724E">
        <w:rPr>
          <w:rFonts w:cs="宋体"/>
          <w:color w:val="000000"/>
          <w:kern w:val="0"/>
          <w:sz w:val="28"/>
          <w:szCs w:val="23"/>
        </w:rPr>
        <w:lastRenderedPageBreak/>
        <w:t>所説“先后其謂我何”“不穀不德，得罪于母氏之寵子帶”等語爲根據的。不過，這樣解釋經文，似乎也未必正確。</w:t>
      </w:r>
    </w:p>
    <w:p w14:paraId="6F5982C0"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“善”字有“相善”的用法，“能”也有相類的“相能”的用法，不過在古書中出現的大都是“相能”的否定形式，例如：</w:t>
      </w:r>
    </w:p>
    <w:p w14:paraId="2A75E111"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（1）《左傳·襄公二十一年》：范鞅以其亡也，怨欒氏，故與欒盈爲公族大夫而</w:t>
      </w:r>
      <w:r w:rsidRPr="0055724E">
        <w:rPr>
          <w:rFonts w:cs="宋体"/>
          <w:b/>
          <w:bCs/>
          <w:kern w:val="0"/>
          <w:sz w:val="28"/>
          <w:szCs w:val="24"/>
          <w:u w:val="single"/>
        </w:rPr>
        <w:t>不相能</w:t>
      </w:r>
      <w:r w:rsidRPr="0055724E">
        <w:rPr>
          <w:rFonts w:cs="宋体"/>
          <w:kern w:val="0"/>
          <w:sz w:val="28"/>
          <w:szCs w:val="24"/>
        </w:rPr>
        <w:t>。</w:t>
      </w:r>
    </w:p>
    <w:p w14:paraId="709D39DD"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（2）《左傳·昭公元年》：子產曰：昔高辛氏有二子，伯曰閼伯，季曰實沈，居於曠林，</w:t>
      </w:r>
      <w:r w:rsidRPr="0055724E">
        <w:rPr>
          <w:rFonts w:cs="宋体"/>
          <w:b/>
          <w:bCs/>
          <w:kern w:val="0"/>
          <w:sz w:val="28"/>
          <w:szCs w:val="24"/>
          <w:u w:val="single"/>
        </w:rPr>
        <w:t>不相能</w:t>
      </w:r>
      <w:r w:rsidRPr="0055724E">
        <w:rPr>
          <w:rFonts w:cs="宋体"/>
          <w:kern w:val="0"/>
          <w:sz w:val="28"/>
          <w:szCs w:val="24"/>
        </w:rPr>
        <w:t>也，日尋干戈，以相征討。</w:t>
      </w:r>
    </w:p>
    <w:p w14:paraId="54C2036F"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（3）《國語·</w:t>
      </w:r>
      <w:r w:rsidRPr="0055724E">
        <w:rPr>
          <w:rFonts w:cs="宋体"/>
          <w:color w:val="000000"/>
          <w:kern w:val="0"/>
          <w:sz w:val="28"/>
          <w:szCs w:val="23"/>
        </w:rPr>
        <w:t>吴</w:t>
      </w:r>
      <w:r w:rsidRPr="0055724E">
        <w:rPr>
          <w:rFonts w:cs="宋体"/>
          <w:kern w:val="0"/>
          <w:sz w:val="28"/>
          <w:szCs w:val="24"/>
        </w:rPr>
        <w:t>語》記</w:t>
      </w:r>
      <w:r w:rsidRPr="0055724E">
        <w:rPr>
          <w:rFonts w:cs="宋体"/>
          <w:color w:val="000000"/>
          <w:kern w:val="0"/>
          <w:sz w:val="28"/>
          <w:szCs w:val="23"/>
        </w:rPr>
        <w:t>吴</w:t>
      </w:r>
      <w:r w:rsidRPr="0055724E">
        <w:rPr>
          <w:rFonts w:cs="宋体"/>
          <w:kern w:val="0"/>
          <w:sz w:val="28"/>
          <w:szCs w:val="24"/>
        </w:rPr>
        <w:t>王夫差在黃池之會後向周王報功，講到其父闔廬伐楚，攻入郢都，但是“其父子昆弟</w:t>
      </w:r>
      <w:r w:rsidRPr="0055724E">
        <w:rPr>
          <w:rFonts w:cs="宋体"/>
          <w:b/>
          <w:bCs/>
          <w:kern w:val="0"/>
          <w:sz w:val="28"/>
          <w:szCs w:val="24"/>
          <w:u w:val="single"/>
        </w:rPr>
        <w:t>不相能</w:t>
      </w:r>
      <w:r w:rsidRPr="0055724E">
        <w:rPr>
          <w:rFonts w:cs="宋体"/>
          <w:kern w:val="0"/>
          <w:sz w:val="28"/>
          <w:szCs w:val="24"/>
        </w:rPr>
        <w:t>，夫概王</w:t>
      </w:r>
      <w:r w:rsidRPr="0055724E">
        <w:rPr>
          <w:rFonts w:cs="宋体"/>
          <w:b/>
          <w:bCs/>
          <w:color w:val="A0A0A0"/>
          <w:kern w:val="0"/>
          <w:sz w:val="21"/>
          <w:szCs w:val="21"/>
        </w:rPr>
        <w:t>（闔廬之弟）</w:t>
      </w:r>
      <w:r w:rsidRPr="0055724E">
        <w:rPr>
          <w:rFonts w:cs="宋体"/>
          <w:kern w:val="0"/>
          <w:sz w:val="28"/>
          <w:szCs w:val="24"/>
        </w:rPr>
        <w:t>作亂，是以復歸於</w:t>
      </w:r>
      <w:r w:rsidRPr="0055724E">
        <w:rPr>
          <w:rFonts w:cs="宋体"/>
          <w:color w:val="000000"/>
          <w:kern w:val="0"/>
          <w:sz w:val="28"/>
          <w:szCs w:val="23"/>
        </w:rPr>
        <w:t>吴</w:t>
      </w:r>
      <w:r w:rsidRPr="0055724E">
        <w:rPr>
          <w:rFonts w:cs="宋体"/>
          <w:kern w:val="0"/>
          <w:sz w:val="28"/>
          <w:szCs w:val="24"/>
        </w:rPr>
        <w:t>”。</w:t>
      </w:r>
    </w:p>
    <w:p w14:paraId="5DF57ED0"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（4）《史記·蕭相國世家》：何素</w:t>
      </w:r>
      <w:r w:rsidRPr="0055724E">
        <w:rPr>
          <w:rFonts w:cs="宋体"/>
          <w:b/>
          <w:bCs/>
          <w:kern w:val="0"/>
          <w:sz w:val="28"/>
          <w:szCs w:val="24"/>
          <w:u w:val="single"/>
        </w:rPr>
        <w:t>不</w:t>
      </w:r>
      <w:r w:rsidRPr="0055724E">
        <w:rPr>
          <w:rFonts w:cs="宋体"/>
          <w:kern w:val="0"/>
          <w:sz w:val="28"/>
          <w:szCs w:val="24"/>
        </w:rPr>
        <w:t>与曹参</w:t>
      </w:r>
      <w:r w:rsidRPr="0055724E">
        <w:rPr>
          <w:rFonts w:cs="宋体"/>
          <w:b/>
          <w:bCs/>
          <w:kern w:val="0"/>
          <w:sz w:val="28"/>
          <w:szCs w:val="24"/>
          <w:u w:val="single"/>
        </w:rPr>
        <w:t>相能</w:t>
      </w:r>
      <w:r w:rsidRPr="0055724E">
        <w:rPr>
          <w:rFonts w:cs="宋体"/>
          <w:kern w:val="0"/>
          <w:sz w:val="28"/>
          <w:szCs w:val="24"/>
        </w:rPr>
        <w:t>。</w:t>
      </w:r>
    </w:p>
    <w:p w14:paraId="4DA0EE8D"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（5）《史記·朝鮮列傳》記左將軍荀彘和樓船將軍楊僕在征伐朝鮮時發生了矛盾，“以故兩將</w:t>
      </w:r>
      <w:r w:rsidRPr="0055724E">
        <w:rPr>
          <w:rFonts w:cs="宋体"/>
          <w:b/>
          <w:bCs/>
          <w:kern w:val="0"/>
          <w:sz w:val="28"/>
          <w:szCs w:val="24"/>
          <w:u w:val="single"/>
        </w:rPr>
        <w:t>不相能</w:t>
      </w:r>
      <w:r w:rsidRPr="0055724E">
        <w:rPr>
          <w:rFonts w:cs="宋体"/>
          <w:kern w:val="0"/>
          <w:sz w:val="28"/>
          <w:szCs w:val="24"/>
        </w:rPr>
        <w:t>”。</w:t>
      </w:r>
    </w:p>
    <w:p w14:paraId="506A0D09" w14:textId="2BB1589B" w:rsidR="009F4F5A" w:rsidRDefault="009F4F5A" w:rsidP="00445DA3">
      <w:pPr>
        <w:widowControl/>
        <w:spacing w:beforeLines="50" w:before="180" w:line="480" w:lineRule="auto"/>
        <w:jc w:val="left"/>
        <w:rPr>
          <w:rFonts w:cs="宋体"/>
          <w:kern w:val="0"/>
          <w:sz w:val="28"/>
          <w:szCs w:val="24"/>
        </w:rPr>
      </w:pPr>
      <w:r w:rsidRPr="0055724E">
        <w:rPr>
          <w:rFonts w:cs="宋体"/>
          <w:color w:val="000000"/>
          <w:kern w:val="0"/>
          <w:sz w:val="28"/>
          <w:szCs w:val="23"/>
        </w:rPr>
        <w:t>“不相能”，是説彼此間連一般的關係也不能維持，其甚者可以達到干戈相向的地步。</w:t>
      </w:r>
    </w:p>
    <w:p w14:paraId="2F4D30D3" w14:textId="14BDCCE4" w:rsidR="009F4F5A" w:rsidRPr="0055724E"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lastRenderedPageBreak/>
        <w:t>我們所見不廣，只在清華簡《廼命一》篇中找到一個“相能”的正面用例：</w:t>
      </w:r>
    </w:p>
    <w:p w14:paraId="56F3C1E6"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（6）……訓命其下人民子眚</w:t>
      </w:r>
      <w:r w:rsidRPr="0055724E">
        <w:rPr>
          <w:rFonts w:cs="宋体"/>
          <w:b/>
          <w:bCs/>
          <w:color w:val="A0A0A0"/>
          <w:kern w:val="0"/>
          <w:sz w:val="21"/>
          <w:szCs w:val="21"/>
        </w:rPr>
        <w:t>（姓——按：“子姓”義當與“子弟”相近）</w:t>
      </w:r>
      <w:r w:rsidRPr="0055724E">
        <w:rPr>
          <w:rFonts w:cs="宋体"/>
          <w:kern w:val="0"/>
          <w:sz w:val="28"/>
          <w:szCs w:val="24"/>
        </w:rPr>
        <w:t>臣僕，</w:t>
      </w:r>
      <w:r w:rsidRPr="00997002">
        <w:rPr>
          <w:rFonts w:ascii="SimSun-ExtB" w:eastAsia="SimSun-ExtB" w:hAnsi="SimSun-ExtB" w:cs="SimSun-ExtB" w:hint="eastAsia"/>
          <w:szCs w:val="24"/>
          <w:lang w:eastAsia="zh-TW"/>
        </w:rPr>
        <w:t>𢆶</w:t>
      </w:r>
      <w:r w:rsidRPr="0055724E">
        <w:rPr>
          <w:rFonts w:cs="宋体"/>
          <w:b/>
          <w:bCs/>
          <w:kern w:val="0"/>
          <w:sz w:val="28"/>
          <w:szCs w:val="24"/>
          <w:u w:val="single"/>
        </w:rPr>
        <w:t>相能</w:t>
      </w:r>
      <w:r w:rsidRPr="0055724E">
        <w:rPr>
          <w:rFonts w:cs="宋体"/>
          <w:kern w:val="0"/>
          <w:sz w:val="28"/>
          <w:szCs w:val="24"/>
        </w:rPr>
        <w:t>也；毋播惡于眾，以貽我慼憂……</w:t>
      </w:r>
      <w:r w:rsidRPr="0055724E">
        <w:rPr>
          <w:rFonts w:cs="宋体"/>
          <w:b/>
          <w:bCs/>
          <w:color w:val="A0A0A0"/>
          <w:kern w:val="0"/>
          <w:sz w:val="21"/>
          <w:szCs w:val="21"/>
        </w:rPr>
        <w:t>（簡11—12）</w:t>
      </w:r>
    </w:p>
    <w:p w14:paraId="24615CA1" w14:textId="31EC7290" w:rsidR="009F4F5A" w:rsidRDefault="009F4F5A" w:rsidP="00445DA3">
      <w:pPr>
        <w:widowControl/>
        <w:spacing w:beforeLines="50" w:before="180" w:line="480" w:lineRule="auto"/>
        <w:jc w:val="left"/>
        <w:rPr>
          <w:rFonts w:cs="宋体"/>
          <w:kern w:val="0"/>
          <w:sz w:val="28"/>
          <w:szCs w:val="24"/>
        </w:rPr>
      </w:pPr>
      <w:r w:rsidRPr="0055724E">
        <w:rPr>
          <w:rFonts w:cs="宋体"/>
          <w:color w:val="000000"/>
          <w:kern w:val="0"/>
          <w:sz w:val="28"/>
          <w:szCs w:val="23"/>
        </w:rPr>
        <w:t>《廼命》篇似是王者誡命群臣之辭。</w:t>
      </w:r>
      <w:r w:rsidRPr="00965627">
        <w:rPr>
          <w:rStyle w:val="ae"/>
          <w:rFonts w:cs="宋体"/>
          <w:color w:val="000000"/>
          <w:kern w:val="0"/>
          <w:sz w:val="28"/>
          <w:szCs w:val="23"/>
        </w:rPr>
        <w:endnoteReference w:id="56"/>
      </w:r>
      <w:r w:rsidRPr="0055724E">
        <w:rPr>
          <w:rFonts w:cs="宋体"/>
          <w:color w:val="000000"/>
          <w:kern w:val="0"/>
          <w:sz w:val="28"/>
          <w:szCs w:val="23"/>
        </w:rPr>
        <w:t>上面引出的一段話，意思不太好懂。整理者讀“</w:t>
      </w:r>
      <w:r w:rsidRPr="00997002">
        <w:rPr>
          <w:rFonts w:ascii="SimSun-ExtB" w:eastAsia="SimSun-ExtB" w:hAnsi="SimSun-ExtB" w:cs="SimSun-ExtB" w:hint="eastAsia"/>
          <w:szCs w:val="24"/>
          <w:lang w:eastAsia="zh-TW"/>
        </w:rPr>
        <w:t>𢆶</w:t>
      </w:r>
      <w:r w:rsidRPr="0055724E">
        <w:rPr>
          <w:rFonts w:cs="宋体"/>
          <w:color w:val="000000"/>
          <w:kern w:val="0"/>
          <w:sz w:val="28"/>
          <w:szCs w:val="23"/>
        </w:rPr>
        <w:t>”爲“使”，</w:t>
      </w:r>
      <w:r w:rsidRPr="00965627">
        <w:rPr>
          <w:rStyle w:val="ae"/>
          <w:rFonts w:cs="宋体"/>
          <w:color w:val="000000"/>
          <w:kern w:val="0"/>
          <w:sz w:val="28"/>
          <w:szCs w:val="23"/>
        </w:rPr>
        <w:endnoteReference w:id="57"/>
      </w:r>
      <w:r w:rsidRPr="0055724E">
        <w:rPr>
          <w:rFonts w:cs="宋体"/>
          <w:color w:val="000000"/>
          <w:kern w:val="0"/>
          <w:sz w:val="28"/>
          <w:szCs w:val="23"/>
        </w:rPr>
        <w:t>可參考。這段話的大意似乎是要群臣訓誡他們管轄下的各種人把彼此的關係處理好、正常相處；要群臣不要給他們不好的影響，以致給王造成憂患。</w:t>
      </w:r>
    </w:p>
    <w:p w14:paraId="3A4634F8" w14:textId="7ADA8AC3"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古人對“柔遠能邇”之“能”的解釋大都不合理，只有《漢書·百官公卿表》“柔遠能邇”顏師古注説“能，善也”，可謂近似。王引之《經義述聞•尚書上•柔遠能邇》條引了顏説，並説“古者謂‘相善’爲‘相能’”，舉了“范鞅……與欒盈爲公族大夫而不相能”之例</w:t>
      </w:r>
      <w:r w:rsidRPr="0055724E">
        <w:rPr>
          <w:rFonts w:cs="宋体"/>
          <w:b/>
          <w:bCs/>
          <w:color w:val="A0A0A0"/>
          <w:kern w:val="0"/>
          <w:sz w:val="21"/>
          <w:szCs w:val="21"/>
        </w:rPr>
        <w:t>（即上文例1）</w:t>
      </w:r>
      <w:r w:rsidRPr="0055724E">
        <w:rPr>
          <w:rFonts w:cs="宋体"/>
          <w:color w:val="000000"/>
          <w:kern w:val="0"/>
          <w:sz w:val="28"/>
          <w:szCs w:val="23"/>
        </w:rPr>
        <w:t>，表示對顏説加以肯定，王氏還舉出了古書中與“柔遠能邇”之“能”用法相類的很多例子</w:t>
      </w:r>
      <w:r w:rsidRPr="0055724E">
        <w:rPr>
          <w:rFonts w:cs="宋体"/>
          <w:b/>
          <w:bCs/>
          <w:color w:val="A0A0A0"/>
          <w:kern w:val="0"/>
          <w:sz w:val="21"/>
          <w:szCs w:val="21"/>
        </w:rPr>
        <w:t>（我們在講“相能”以前所引出的這一類“能”字的用例，除了《左傳》僖公十年、成公十一年兩處的“不能於狄”之例，王氏皆已舉出）</w:t>
      </w:r>
      <w:r w:rsidRPr="0055724E">
        <w:rPr>
          <w:rFonts w:cs="宋体"/>
          <w:color w:val="000000"/>
          <w:kern w:val="0"/>
          <w:sz w:val="28"/>
          <w:szCs w:val="23"/>
        </w:rPr>
        <w:t>，將對這類“能”字的研究推進了一大步。不過，需要指出的是，在這些場合，“善”與“能”的意義雖然相近，但它們所表示的</w:t>
      </w:r>
      <w:r w:rsidRPr="0055724E">
        <w:rPr>
          <w:rFonts w:cs="宋体"/>
          <w:color w:val="000000"/>
          <w:kern w:val="0"/>
          <w:sz w:val="28"/>
          <w:szCs w:val="23"/>
        </w:rPr>
        <w:lastRenderedPageBreak/>
        <w:t>能的程度還是有輕重之別的。一般説，“善”可以理解爲“很能”，例如“善”的“擅長”義就未嘗不可以理解爲“很能/很會”。我們在講“善”字直接帶指人或國家的賓語的時候説“這種‘善’字的基本意義是能把跟所説對象的關係搞得很好”，在解釋相類的“能”字的時候，則把它的基本意義理解爲能與對象“搞好關係”。前者説“搞得很好”，後者只説“搞好”，就是爲了表示這種區別。關於用法相近的“善”與“能”的差別問題，後面還會談到</w:t>
      </w:r>
      <w:r w:rsidRPr="0055724E">
        <w:rPr>
          <w:rFonts w:cs="宋体"/>
          <w:b/>
          <w:bCs/>
          <w:color w:val="A0A0A0"/>
          <w:kern w:val="0"/>
          <w:sz w:val="21"/>
          <w:szCs w:val="21"/>
        </w:rPr>
        <w:t>[見二（三）]</w:t>
      </w:r>
      <w:r w:rsidRPr="0055724E">
        <w:rPr>
          <w:rFonts w:cs="宋体"/>
          <w:color w:val="000000"/>
          <w:kern w:val="0"/>
          <w:sz w:val="28"/>
          <w:szCs w:val="23"/>
        </w:rPr>
        <w:t>。我們現在使用的大型古漢語辭書一般用“交好”“親善”一類話來解釋我們所討論的這類“善”字，用“親善”“和睦”一類話來解釋我們所討論的這類“能”字。這樣“能”與“善”的程度差別就無法表示出來。</w:t>
      </w:r>
    </w:p>
    <w:p w14:paraId="2DB968F0" w14:textId="6062683F" w:rsidR="009F4F5A" w:rsidRDefault="009F4F5A" w:rsidP="00445DA3">
      <w:pPr>
        <w:widowControl/>
        <w:spacing w:beforeLines="50" w:before="180" w:line="480" w:lineRule="auto"/>
        <w:jc w:val="left"/>
        <w:rPr>
          <w:rFonts w:cs="宋体"/>
          <w:kern w:val="0"/>
          <w:sz w:val="28"/>
          <w:szCs w:val="24"/>
        </w:rPr>
      </w:pPr>
      <w:r w:rsidRPr="0055724E">
        <w:rPr>
          <w:rFonts w:cs="宋体"/>
          <w:b/>
          <w:bCs/>
          <w:kern w:val="0"/>
          <w:sz w:val="28"/>
          <w:szCs w:val="24"/>
        </w:rPr>
        <w:t>5.</w:t>
      </w:r>
    </w:p>
    <w:p w14:paraId="1927EA5E"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有一條“能”字直接帶指人的賓語的用例需要在這裏專門討論一下。</w:t>
      </w:r>
    </w:p>
    <w:p w14:paraId="3D0D9C71" w14:textId="27F573D0" w:rsidR="009F4F5A" w:rsidRDefault="009F4F5A" w:rsidP="00445DA3">
      <w:pPr>
        <w:widowControl/>
        <w:spacing w:beforeLines="50" w:before="180" w:line="480" w:lineRule="auto"/>
        <w:ind w:firstLine="480"/>
        <w:jc w:val="left"/>
        <w:rPr>
          <w:rFonts w:cs="宋体"/>
          <w:color w:val="000000"/>
          <w:kern w:val="0"/>
          <w:sz w:val="28"/>
          <w:szCs w:val="23"/>
        </w:rPr>
      </w:pPr>
      <w:r w:rsidRPr="0055724E">
        <w:rPr>
          <w:rFonts w:cs="宋体"/>
          <w:color w:val="000000"/>
          <w:kern w:val="0"/>
          <w:sz w:val="28"/>
          <w:szCs w:val="23"/>
        </w:rPr>
        <w:t>《書·康誥》記王對康侯封的誥命，其中有如下之語：“亦惟君惟長，</w:t>
      </w:r>
      <w:r w:rsidRPr="0055724E">
        <w:rPr>
          <w:rFonts w:cs="宋体"/>
          <w:b/>
          <w:bCs/>
          <w:color w:val="000000"/>
          <w:kern w:val="0"/>
          <w:sz w:val="28"/>
          <w:szCs w:val="23"/>
          <w:u w:val="single"/>
        </w:rPr>
        <w:t>不能厥家人越</w:t>
      </w:r>
      <w:r w:rsidRPr="0055724E">
        <w:rPr>
          <w:rFonts w:cs="宋体"/>
          <w:b/>
          <w:bCs/>
          <w:color w:val="A0A0A0"/>
          <w:kern w:val="0"/>
          <w:sz w:val="21"/>
          <w:szCs w:val="21"/>
          <w:u w:val="single"/>
        </w:rPr>
        <w:t>（訓‘與’）</w:t>
      </w:r>
      <w:r w:rsidRPr="0055724E">
        <w:rPr>
          <w:rFonts w:cs="宋体"/>
          <w:b/>
          <w:bCs/>
          <w:color w:val="000000"/>
          <w:kern w:val="0"/>
          <w:sz w:val="28"/>
          <w:szCs w:val="23"/>
          <w:u w:val="single"/>
        </w:rPr>
        <w:t>厥小臣外正</w:t>
      </w:r>
      <w:r w:rsidRPr="0055724E">
        <w:rPr>
          <w:rFonts w:cs="宋体"/>
          <w:color w:val="000000"/>
          <w:kern w:val="0"/>
          <w:sz w:val="28"/>
          <w:szCs w:val="23"/>
        </w:rPr>
        <w:t>，惟威惟虐，大放王命……”今人多從孔傳、蔡沈《集傳》將此文意義理解爲君長不能治理、訓導</w:t>
      </w:r>
      <w:r w:rsidRPr="0055724E">
        <w:rPr>
          <w:rFonts w:cs="宋体"/>
          <w:color w:val="000000"/>
          <w:kern w:val="0"/>
          <w:sz w:val="28"/>
          <w:szCs w:val="23"/>
        </w:rPr>
        <w:lastRenderedPageBreak/>
        <w:t>他的家人和身邊小臣，及管理外部事物的官吏，讓他們對人民施加暴虐，大大違背了王命。</w:t>
      </w:r>
      <w:r w:rsidRPr="00965627">
        <w:rPr>
          <w:rStyle w:val="ae"/>
          <w:rFonts w:cs="宋体"/>
          <w:color w:val="000000"/>
          <w:kern w:val="0"/>
          <w:sz w:val="28"/>
          <w:szCs w:val="23"/>
        </w:rPr>
        <w:endnoteReference w:id="58"/>
      </w:r>
      <w:r w:rsidRPr="0055724E">
        <w:rPr>
          <w:rFonts w:cs="宋体"/>
          <w:color w:val="000000"/>
          <w:kern w:val="0"/>
          <w:sz w:val="28"/>
          <w:szCs w:val="23"/>
        </w:rPr>
        <w:t>王引之在《經義述聞·柔遠能邇》中舉“能”字用例時也舉出了此例，但是只引了開頭的“亦惟君惟長，不能厥家人”十字。此條“能”字含義似與一般帶指人或國家的賓語的“能”有所不同，也許可以歸入上面所説的直接以一般事物名稱爲賓語的那一類“能”，“不能厥家人……”就是不能治“厥家人……”，“治”在這裏應該理解爲治理、管束。不過，不能治理、管束家人、小臣、外正等人，也未嘗不可以包括在不能處理好或者説不能正確處理跟家人、小臣、外正等人的關係的範圍裏。那麼，這個“能”字仍可以歸入直接帶指人或國家的賓語的“能”字這一類。王引之究竟如何理解這一例的“能”字，我們不清楚，但如果像一般辭書那樣將這類“能”的意思理解爲“親善，和睦”，這一例就講不通了。</w:t>
      </w:r>
      <w:r w:rsidRPr="00965627">
        <w:rPr>
          <w:rStyle w:val="ae"/>
          <w:rFonts w:cs="宋体"/>
          <w:color w:val="000000"/>
          <w:kern w:val="0"/>
          <w:sz w:val="28"/>
          <w:szCs w:val="23"/>
        </w:rPr>
        <w:endnoteReference w:id="59"/>
      </w:r>
    </w:p>
    <w:p w14:paraId="0E68AE95" w14:textId="77777777" w:rsidR="00445DA3" w:rsidRDefault="00445DA3" w:rsidP="00445DA3">
      <w:pPr>
        <w:widowControl/>
        <w:spacing w:beforeLines="50" w:before="180" w:line="480" w:lineRule="auto"/>
        <w:ind w:firstLine="480"/>
        <w:jc w:val="left"/>
        <w:rPr>
          <w:rFonts w:cs="宋体"/>
          <w:kern w:val="0"/>
          <w:sz w:val="28"/>
          <w:szCs w:val="24"/>
        </w:rPr>
      </w:pPr>
    </w:p>
    <w:p w14:paraId="40EAFC3C"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b/>
          <w:bCs/>
          <w:color w:val="000000"/>
          <w:kern w:val="0"/>
          <w:sz w:val="28"/>
          <w:szCs w:val="23"/>
        </w:rPr>
        <w:t>（五）用在要對方把某事做得很好的場合的“善”</w:t>
      </w:r>
    </w:p>
    <w:p w14:paraId="2556FABF"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“善”又可以用在要對方把某事做得很好的場合。例如：</w:t>
      </w:r>
    </w:p>
    <w:p w14:paraId="2CB13BFF"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lastRenderedPageBreak/>
        <w:t>（1）《書·費誓》：“公曰：‘嗟，人無嘩，聽命。徂兹淮夷、徐戎並興。</w:t>
      </w:r>
      <w:r w:rsidRPr="0055724E">
        <w:rPr>
          <w:rFonts w:cs="宋体"/>
          <w:b/>
          <w:bCs/>
          <w:kern w:val="0"/>
          <w:sz w:val="28"/>
          <w:szCs w:val="24"/>
          <w:u w:val="single"/>
        </w:rPr>
        <w:t>善敹乃甲胄</w:t>
      </w:r>
      <w:r w:rsidRPr="0055724E">
        <w:rPr>
          <w:rFonts w:cs="宋体"/>
          <w:kern w:val="0"/>
          <w:sz w:val="28"/>
          <w:szCs w:val="24"/>
        </w:rPr>
        <w:t>，敿乃干，無敢不弔。備乃弓矢，鍛乃戈矛，礪乃鋒刃，無（毋）敢不善。’”</w:t>
      </w:r>
    </w:p>
    <w:p w14:paraId="04946A93"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（2）《國語·周語下》記</w:t>
      </w:r>
      <w:r w:rsidRPr="0055724E">
        <w:rPr>
          <w:rFonts w:cs="宋体"/>
          <w:color w:val="000000"/>
          <w:kern w:val="0"/>
          <w:sz w:val="28"/>
          <w:szCs w:val="23"/>
        </w:rPr>
        <w:t>晋</w:t>
      </w:r>
      <w:r w:rsidRPr="0055724E">
        <w:rPr>
          <w:rFonts w:cs="宋体"/>
          <w:kern w:val="0"/>
          <w:sz w:val="28"/>
          <w:szCs w:val="24"/>
        </w:rPr>
        <w:t>悼公周</w:t>
      </w:r>
      <w:r w:rsidRPr="0055724E">
        <w:rPr>
          <w:rFonts w:cs="宋体"/>
          <w:b/>
          <w:bCs/>
          <w:color w:val="A0A0A0"/>
          <w:kern w:val="0"/>
          <w:sz w:val="21"/>
          <w:szCs w:val="21"/>
        </w:rPr>
        <w:t>（有的古書將其名寫作“糾”）</w:t>
      </w:r>
      <w:r w:rsidRPr="0055724E">
        <w:rPr>
          <w:rFonts w:cs="宋体"/>
          <w:kern w:val="0"/>
          <w:sz w:val="28"/>
          <w:szCs w:val="24"/>
        </w:rPr>
        <w:t>未得位前曾至周事單襄公，單襄公很賞識他的爲人，“襄公有疾，召頃公</w:t>
      </w:r>
      <w:r w:rsidRPr="0055724E">
        <w:rPr>
          <w:rFonts w:cs="宋体"/>
          <w:b/>
          <w:bCs/>
          <w:color w:val="A0A0A0"/>
          <w:kern w:val="0"/>
          <w:sz w:val="21"/>
          <w:szCs w:val="21"/>
        </w:rPr>
        <w:t>（按：即襄公之子）</w:t>
      </w:r>
      <w:r w:rsidRPr="0055724E">
        <w:rPr>
          <w:rFonts w:cs="宋体"/>
          <w:kern w:val="0"/>
          <w:sz w:val="28"/>
          <w:szCs w:val="24"/>
        </w:rPr>
        <w:t>而告知曰：‘</w:t>
      </w:r>
      <w:r w:rsidRPr="0055724E">
        <w:rPr>
          <w:rFonts w:cs="宋体"/>
          <w:b/>
          <w:bCs/>
          <w:kern w:val="0"/>
          <w:sz w:val="28"/>
          <w:szCs w:val="24"/>
          <w:u w:val="single"/>
        </w:rPr>
        <w:t>必善晋周</w:t>
      </w:r>
      <w:r w:rsidRPr="0055724E">
        <w:rPr>
          <w:rFonts w:cs="宋体"/>
          <w:kern w:val="0"/>
          <w:sz w:val="28"/>
          <w:szCs w:val="24"/>
        </w:rPr>
        <w:t>，將得</w:t>
      </w:r>
      <w:r w:rsidRPr="0055724E">
        <w:rPr>
          <w:rFonts w:cs="宋体"/>
          <w:color w:val="000000"/>
          <w:kern w:val="0"/>
          <w:sz w:val="28"/>
          <w:szCs w:val="23"/>
        </w:rPr>
        <w:t>晋</w:t>
      </w:r>
      <w:r w:rsidRPr="0055724E">
        <w:rPr>
          <w:rFonts w:cs="宋体"/>
          <w:kern w:val="0"/>
          <w:sz w:val="28"/>
          <w:szCs w:val="24"/>
        </w:rPr>
        <w:t>國’”。</w:t>
      </w:r>
    </w:p>
    <w:p w14:paraId="60BB23B1"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（3）《左傳·襄公三十年》：“鄭子皮授子產政。辭曰：‘國小而偪，族大寵多，不可爲也。’子皮曰：‘虎帥以聽，誰敢犯子？</w:t>
      </w:r>
      <w:r w:rsidRPr="0055724E">
        <w:rPr>
          <w:rFonts w:cs="宋体"/>
          <w:b/>
          <w:bCs/>
          <w:kern w:val="0"/>
          <w:sz w:val="28"/>
          <w:szCs w:val="24"/>
          <w:u w:val="single"/>
        </w:rPr>
        <w:t>子善相之</w:t>
      </w:r>
      <w:r w:rsidRPr="0055724E">
        <w:rPr>
          <w:rFonts w:cs="宋体"/>
          <w:kern w:val="0"/>
          <w:sz w:val="28"/>
          <w:szCs w:val="24"/>
        </w:rPr>
        <w:t>，國無小，小能事大，國乃寬。’”</w:t>
      </w:r>
    </w:p>
    <w:p w14:paraId="0AF51FC7"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（4）《論語·雍也》：“季氏使閔子騫爲費宰。閔子騫曰：‘</w:t>
      </w:r>
      <w:r w:rsidRPr="0055724E">
        <w:rPr>
          <w:rFonts w:cs="宋体"/>
          <w:b/>
          <w:bCs/>
          <w:kern w:val="0"/>
          <w:sz w:val="28"/>
          <w:szCs w:val="24"/>
          <w:u w:val="single"/>
        </w:rPr>
        <w:t>善爲我辭焉</w:t>
      </w:r>
      <w:r w:rsidRPr="0055724E">
        <w:rPr>
          <w:rFonts w:cs="宋体"/>
          <w:kern w:val="0"/>
          <w:sz w:val="28"/>
          <w:szCs w:val="24"/>
        </w:rPr>
        <w:t>。如有復我者，則吾必在汶上矣。’”</w:t>
      </w:r>
    </w:p>
    <w:p w14:paraId="49259AF2"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（5）《戰國策·魏策二》“田需貴於魏王”章：“田需貴於魏王，惠子曰：‘</w:t>
      </w:r>
      <w:r w:rsidRPr="0055724E">
        <w:rPr>
          <w:rFonts w:cs="宋体"/>
          <w:b/>
          <w:bCs/>
          <w:kern w:val="0"/>
          <w:sz w:val="28"/>
          <w:szCs w:val="24"/>
          <w:u w:val="single"/>
        </w:rPr>
        <w:t>子必善左右</w:t>
      </w:r>
      <w:r w:rsidRPr="0055724E">
        <w:rPr>
          <w:rFonts w:cs="宋体"/>
          <w:kern w:val="0"/>
          <w:sz w:val="28"/>
          <w:szCs w:val="24"/>
        </w:rPr>
        <w:t>。……今子雖自樹於王，而欲去子者眾，則子必危矣。’”</w:t>
      </w:r>
    </w:p>
    <w:p w14:paraId="65220546" w14:textId="326AE024"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我們前面講有些“善”字含有“善視”的意思的時候，曾指出“善視”之語見於先秦古書，舉了《左傳·昭公十二年》楚靈王要右尹子革“善視”左史倚相</w:t>
      </w:r>
      <w:r w:rsidRPr="0055724E">
        <w:rPr>
          <w:rFonts w:cs="宋体"/>
          <w:b/>
          <w:bCs/>
          <w:color w:val="A0A0A0"/>
          <w:kern w:val="0"/>
          <w:sz w:val="21"/>
          <w:szCs w:val="21"/>
        </w:rPr>
        <w:t>（原文作“子善視之”）</w:t>
      </w:r>
      <w:r w:rsidRPr="0055724E">
        <w:rPr>
          <w:rFonts w:cs="宋体"/>
          <w:color w:val="000000"/>
          <w:kern w:val="0"/>
          <w:sz w:val="28"/>
          <w:szCs w:val="23"/>
        </w:rPr>
        <w:t>一例，也是在要求別人</w:t>
      </w:r>
      <w:r w:rsidRPr="0055724E">
        <w:rPr>
          <w:rFonts w:cs="宋体"/>
          <w:color w:val="000000"/>
          <w:kern w:val="0"/>
          <w:sz w:val="28"/>
          <w:szCs w:val="23"/>
        </w:rPr>
        <w:lastRenderedPageBreak/>
        <w:t>做好某事的場合用“善”字的例子。我們現在仍在使用的“善自保重”“善自爲謀”等語中的“善”也屬於這一類。</w:t>
      </w:r>
    </w:p>
    <w:p w14:paraId="2A27ADA3" w14:textId="2D0A678F"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對上面所舉的例子，還需要作一些解釋。在例（1）中，“公”</w:t>
      </w:r>
      <w:r w:rsidRPr="0055724E">
        <w:rPr>
          <w:rFonts w:cs="宋体"/>
          <w:b/>
          <w:bCs/>
          <w:color w:val="A0A0A0"/>
          <w:kern w:val="0"/>
          <w:sz w:val="21"/>
          <w:szCs w:val="21"/>
        </w:rPr>
        <w:t>（當時的魯侯）</w:t>
      </w:r>
      <w:r w:rsidRPr="0055724E">
        <w:rPr>
          <w:rFonts w:cs="宋体"/>
          <w:color w:val="000000"/>
          <w:kern w:val="0"/>
          <w:sz w:val="28"/>
          <w:szCs w:val="23"/>
        </w:rPr>
        <w:t>要求戰士們“善敹乃甲胄，敿乃干，無敢不弔”，就是要他們把甲胄、盾牌等修繕得很好，不許做得不到位。</w:t>
      </w:r>
      <w:r w:rsidRPr="00965627">
        <w:rPr>
          <w:rStyle w:val="ae"/>
          <w:rFonts w:cs="宋体"/>
          <w:color w:val="000000"/>
          <w:kern w:val="0"/>
          <w:sz w:val="28"/>
          <w:szCs w:val="23"/>
        </w:rPr>
        <w:endnoteReference w:id="60"/>
      </w:r>
      <w:r w:rsidRPr="0055724E">
        <w:rPr>
          <w:rFonts w:cs="宋体"/>
          <w:color w:val="000000"/>
          <w:kern w:val="0"/>
          <w:sz w:val="28"/>
          <w:szCs w:val="23"/>
        </w:rPr>
        <w:t>他還要求戰士們“備乃弓矢，鍛乃戈矛，礪乃鋒刃，無（毋）敢不善”，就是要他們準備弓矢、鍛礪戈矛等兵器，不許做得不完善。“無（毋）敢不善”之語我們在後面講不帶賓語的“善”字的時候將會比較詳細地加以討論</w:t>
      </w:r>
      <w:r w:rsidRPr="0055724E">
        <w:rPr>
          <w:rFonts w:cs="宋体"/>
          <w:b/>
          <w:bCs/>
          <w:color w:val="A0A0A0"/>
          <w:kern w:val="0"/>
          <w:sz w:val="21"/>
          <w:szCs w:val="21"/>
        </w:rPr>
        <w:t>[參看二（二）]</w:t>
      </w:r>
      <w:r w:rsidRPr="0055724E">
        <w:rPr>
          <w:rFonts w:cs="宋体"/>
          <w:color w:val="000000"/>
          <w:kern w:val="0"/>
          <w:sz w:val="28"/>
          <w:szCs w:val="23"/>
        </w:rPr>
        <w:t>。例（2）記單襄公臨死前囑咐他的兒子“必善晋周”，意思就是要他一定善待晋周，搞好與晋周的關係。例（3）記鄭國的子皮要將他的執政之位讓給子產，囑咐子產“善相之”，“之”即指鄭國，意思就是要子產把輔相鄭君、治理鄭國的事情做得很好。例（4）中“善爲我辭焉”之語應是閔子騫向傳達季氏之命的人所説的話，意思就是要此人爲他妥善地向季氏辭去這一任命。例（5）記惠子勸“貴於魏王”的田需“必善左右”，意思就是勸他一定要搞好跟魏王左右之間的關係。《韓非子·説林下》也記有此事，所用言語基本一致，但誤“田需”爲“陳軫”，“子必善左右”一句《説林下》作“必善事左右”，在“善”下加了“事”字，但古書中説某人“事”某人一</w:t>
      </w:r>
      <w:r w:rsidRPr="0055724E">
        <w:rPr>
          <w:rFonts w:cs="宋体"/>
          <w:color w:val="000000"/>
          <w:kern w:val="0"/>
          <w:sz w:val="28"/>
          <w:szCs w:val="23"/>
        </w:rPr>
        <w:lastRenderedPageBreak/>
        <w:t>般都是説地位低的人“事”地位高的人，田需已“貴”，魏王左右的地位應該在他之下，惠子似只能勸田需“善”魏王左右，而不會説“善事”魏王左右。《説林下》想使“善”字的意義明確而加上“事”字，似不很妥當。</w:t>
      </w:r>
    </w:p>
    <w:p w14:paraId="739F71D0"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今人仍在使用的“善自爲謀”一語，本出自《左傳·桓公六年》：“齊侯欲以文姜妻鄭大子忽。大子忽辭。人問其故。大子曰：‘人各有耦，齊大，非吾耦也。詩云：‘自求多福。’在我而已，大國何爲。’君子曰：善自爲謀。”君子之語，是説鄭忽擅長/善於爲自己謀劃，今人則多在要別人好好爲自己打算的場合使用“善自爲謀”這句話，</w:t>
      </w:r>
      <w:r w:rsidRPr="00965627">
        <w:rPr>
          <w:rStyle w:val="ae"/>
          <w:rFonts w:cs="宋体"/>
          <w:color w:val="000000"/>
          <w:kern w:val="0"/>
          <w:sz w:val="28"/>
          <w:szCs w:val="23"/>
        </w:rPr>
        <w:endnoteReference w:id="61"/>
      </w:r>
      <w:r w:rsidRPr="0055724E">
        <w:rPr>
          <w:rFonts w:cs="宋体"/>
          <w:color w:val="000000"/>
          <w:kern w:val="0"/>
          <w:sz w:val="28"/>
          <w:szCs w:val="23"/>
        </w:rPr>
        <w:t>其含義已經有所變化。</w:t>
      </w:r>
    </w:p>
    <w:p w14:paraId="52ED2EB6" w14:textId="10F22700" w:rsidR="009F4F5A" w:rsidRDefault="009F4F5A" w:rsidP="00AB1FCD">
      <w:pPr>
        <w:widowControl/>
        <w:spacing w:beforeLines="50" w:before="180" w:line="480" w:lineRule="auto"/>
        <w:ind w:firstLine="482"/>
        <w:jc w:val="left"/>
        <w:textAlignment w:val="center"/>
        <w:rPr>
          <w:rFonts w:cs="宋体"/>
          <w:kern w:val="0"/>
          <w:sz w:val="28"/>
          <w:szCs w:val="24"/>
        </w:rPr>
      </w:pPr>
      <w:r w:rsidRPr="00965627">
        <w:rPr>
          <w:rFonts w:cs="宋体"/>
          <w:color w:val="000000"/>
          <w:kern w:val="0"/>
          <w:sz w:val="28"/>
          <w:szCs w:val="23"/>
        </w:rPr>
        <w:t>西周晚期的毛公鼎和</w:t>
      </w:r>
      <w:r w:rsidR="00AB1FCD">
        <w:rPr>
          <w:noProof/>
        </w:rPr>
        <w:drawing>
          <wp:inline distT="0" distB="0" distL="0" distR="0" wp14:anchorId="47813D2B" wp14:editId="385CC733">
            <wp:extent cx="214313" cy="238125"/>
            <wp:effectExtent l="0" t="0" r="0" b="0"/>
            <wp:docPr id="44" name="图片 4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图片"/>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763" cy="239736"/>
                    </a:xfrm>
                    <a:prstGeom prst="rect">
                      <a:avLst/>
                    </a:prstGeom>
                    <a:noFill/>
                    <a:ln>
                      <a:noFill/>
                    </a:ln>
                  </pic:spPr>
                </pic:pic>
              </a:graphicData>
            </a:graphic>
          </wp:inline>
        </w:drawing>
      </w:r>
      <w:r w:rsidRPr="00965627">
        <w:rPr>
          <w:rFonts w:cs="宋体" w:hint="eastAsia"/>
          <w:color w:val="000000"/>
          <w:kern w:val="0"/>
          <w:sz w:val="28"/>
          <w:szCs w:val="23"/>
        </w:rPr>
        <w:t>盨銘文中也有表示要求對方把某事做得很好之義的“善”字。毛公鼎銘記周王命毛公之辭中有“善效乃友正……”語，</w:t>
      </w:r>
      <w:r w:rsidR="00AB1FCD">
        <w:rPr>
          <w:noProof/>
        </w:rPr>
        <w:drawing>
          <wp:inline distT="0" distB="0" distL="0" distR="0" wp14:anchorId="7F283103" wp14:editId="43ED3DE5">
            <wp:extent cx="214313" cy="238125"/>
            <wp:effectExtent l="0" t="0" r="0" b="0"/>
            <wp:docPr id="46" name="图片 46"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图片"/>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763" cy="239736"/>
                    </a:xfrm>
                    <a:prstGeom prst="rect">
                      <a:avLst/>
                    </a:prstGeom>
                    <a:noFill/>
                    <a:ln>
                      <a:noFill/>
                    </a:ln>
                  </pic:spPr>
                </pic:pic>
              </a:graphicData>
            </a:graphic>
          </wp:inline>
        </w:drawing>
      </w:r>
      <w:r w:rsidRPr="00965627">
        <w:rPr>
          <w:rFonts w:cs="宋体" w:hint="eastAsia"/>
          <w:color w:val="000000"/>
          <w:kern w:val="0"/>
          <w:sz w:val="28"/>
          <w:szCs w:val="23"/>
        </w:rPr>
        <w:t>盨銘記周王命</w:t>
      </w:r>
      <w:r w:rsidR="00AB1FCD">
        <w:rPr>
          <w:noProof/>
        </w:rPr>
        <w:drawing>
          <wp:inline distT="0" distB="0" distL="0" distR="0" wp14:anchorId="0CDC38CF" wp14:editId="777C2773">
            <wp:extent cx="214313" cy="238125"/>
            <wp:effectExtent l="0" t="0" r="0" b="0"/>
            <wp:docPr id="47" name="图片 47"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图片"/>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763" cy="239736"/>
                    </a:xfrm>
                    <a:prstGeom prst="rect">
                      <a:avLst/>
                    </a:prstGeom>
                    <a:noFill/>
                    <a:ln>
                      <a:noFill/>
                    </a:ln>
                  </pic:spPr>
                </pic:pic>
              </a:graphicData>
            </a:graphic>
          </wp:inline>
        </w:drawing>
      </w:r>
      <w:r w:rsidRPr="00965627">
        <w:rPr>
          <w:rFonts w:cs="宋体" w:hint="eastAsia"/>
          <w:color w:val="000000"/>
          <w:kern w:val="0"/>
          <w:sz w:val="28"/>
          <w:szCs w:val="23"/>
        </w:rPr>
        <w:t>之辭中有“善效乃友内</w:t>
      </w:r>
      <w:r w:rsidR="00AB1FCD">
        <w:rPr>
          <w:noProof/>
        </w:rPr>
        <w:drawing>
          <wp:inline distT="0" distB="0" distL="0" distR="0" wp14:anchorId="30A3DEA0" wp14:editId="66463563">
            <wp:extent cx="238125" cy="285750"/>
            <wp:effectExtent l="0" t="0" r="9525" b="0"/>
            <wp:docPr id="59" name="图片 59"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图片"/>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85750"/>
                    </a:xfrm>
                    <a:prstGeom prst="rect">
                      <a:avLst/>
                    </a:prstGeom>
                    <a:noFill/>
                    <a:ln>
                      <a:noFill/>
                    </a:ln>
                  </pic:spPr>
                </pic:pic>
              </a:graphicData>
            </a:graphic>
          </wp:inline>
        </w:drawing>
      </w:r>
      <w:r w:rsidRPr="00965627">
        <w:rPr>
          <w:rFonts w:cs="宋体" w:hint="eastAsia"/>
          <w:color w:val="000000"/>
          <w:kern w:val="0"/>
          <w:sz w:val="28"/>
          <w:szCs w:val="23"/>
        </w:rPr>
        <w:t>”語。二銘的“效”字一般皆讀爲“教”，《釋名·釋言語》有“教，傚也”的聲訓。毛公鼎的“友正”似應指同僚的正長。</w:t>
      </w:r>
      <w:r w:rsidR="00AB1FCD">
        <w:rPr>
          <w:noProof/>
        </w:rPr>
        <w:drawing>
          <wp:inline distT="0" distB="0" distL="0" distR="0" wp14:anchorId="1D6FC639" wp14:editId="64142B48">
            <wp:extent cx="214313" cy="238125"/>
            <wp:effectExtent l="0" t="0" r="0" b="0"/>
            <wp:docPr id="48" name="图片 48"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图片"/>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763" cy="239736"/>
                    </a:xfrm>
                    <a:prstGeom prst="rect">
                      <a:avLst/>
                    </a:prstGeom>
                    <a:noFill/>
                    <a:ln>
                      <a:noFill/>
                    </a:ln>
                  </pic:spPr>
                </pic:pic>
              </a:graphicData>
            </a:graphic>
          </wp:inline>
        </w:drawing>
      </w:r>
      <w:r w:rsidRPr="00965627">
        <w:rPr>
          <w:rFonts w:cs="宋体" w:hint="eastAsia"/>
          <w:color w:val="000000"/>
          <w:kern w:val="0"/>
          <w:sz w:val="28"/>
          <w:szCs w:val="23"/>
        </w:rPr>
        <w:t>盨的“乃友”指</w:t>
      </w:r>
      <w:r w:rsidR="00AB1FCD">
        <w:rPr>
          <w:noProof/>
        </w:rPr>
        <w:drawing>
          <wp:inline distT="0" distB="0" distL="0" distR="0" wp14:anchorId="15B0D056" wp14:editId="3B353B19">
            <wp:extent cx="214313" cy="238125"/>
            <wp:effectExtent l="0" t="0" r="0" b="0"/>
            <wp:docPr id="50" name="图片 50"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图片"/>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763" cy="239736"/>
                    </a:xfrm>
                    <a:prstGeom prst="rect">
                      <a:avLst/>
                    </a:prstGeom>
                    <a:noFill/>
                    <a:ln>
                      <a:noFill/>
                    </a:ln>
                  </pic:spPr>
                </pic:pic>
              </a:graphicData>
            </a:graphic>
          </wp:inline>
        </w:drawing>
      </w:r>
      <w:r w:rsidRPr="00965627">
        <w:rPr>
          <w:rFonts w:cs="宋体" w:hint="eastAsia"/>
          <w:color w:val="000000"/>
          <w:kern w:val="0"/>
          <w:sz w:val="28"/>
          <w:szCs w:val="23"/>
        </w:rPr>
        <w:t>的僚屬。“內</w:t>
      </w:r>
      <w:r w:rsidR="00AB1FCD">
        <w:rPr>
          <w:noProof/>
        </w:rPr>
        <w:drawing>
          <wp:inline distT="0" distB="0" distL="0" distR="0" wp14:anchorId="2E142AE0" wp14:editId="604D4F90">
            <wp:extent cx="238125" cy="285750"/>
            <wp:effectExtent l="0" t="0" r="9525" b="0"/>
            <wp:docPr id="60" name="图片 60"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图片"/>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 cy="285750"/>
                    </a:xfrm>
                    <a:prstGeom prst="rect">
                      <a:avLst/>
                    </a:prstGeom>
                    <a:noFill/>
                    <a:ln>
                      <a:noFill/>
                    </a:ln>
                  </pic:spPr>
                </pic:pic>
              </a:graphicData>
            </a:graphic>
          </wp:inline>
        </w:drawing>
      </w:r>
      <w:r w:rsidRPr="00965627">
        <w:rPr>
          <w:rFonts w:cs="宋体" w:hint="eastAsia"/>
          <w:color w:val="000000"/>
          <w:kern w:val="0"/>
          <w:sz w:val="28"/>
          <w:szCs w:val="23"/>
        </w:rPr>
        <w:t>”楊樹達讀爲“入辟”，解說此句之意爲“此命</w:t>
      </w:r>
      <w:r w:rsidR="00AB1FCD">
        <w:rPr>
          <w:noProof/>
        </w:rPr>
        <w:drawing>
          <wp:inline distT="0" distB="0" distL="0" distR="0" wp14:anchorId="4D0AB464" wp14:editId="2EB7372C">
            <wp:extent cx="214313" cy="238125"/>
            <wp:effectExtent l="0" t="0" r="0" b="0"/>
            <wp:docPr id="52" name="图片 5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图片"/>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5763" cy="239736"/>
                    </a:xfrm>
                    <a:prstGeom prst="rect">
                      <a:avLst/>
                    </a:prstGeom>
                    <a:noFill/>
                    <a:ln>
                      <a:noFill/>
                    </a:ln>
                  </pic:spPr>
                </pic:pic>
              </a:graphicData>
            </a:graphic>
          </wp:inline>
        </w:drawing>
      </w:r>
      <w:r w:rsidRPr="00965627">
        <w:rPr>
          <w:rFonts w:cs="宋体" w:hint="eastAsia"/>
          <w:color w:val="000000"/>
          <w:kern w:val="0"/>
          <w:sz w:val="28"/>
          <w:szCs w:val="23"/>
        </w:rPr>
        <w:t>善教其寮屬使入而事君也”，</w:t>
      </w:r>
      <w:r w:rsidRPr="00965627">
        <w:rPr>
          <w:rStyle w:val="ae"/>
          <w:rFonts w:cs="宋体"/>
          <w:color w:val="000000"/>
          <w:kern w:val="0"/>
          <w:sz w:val="28"/>
          <w:szCs w:val="23"/>
        </w:rPr>
        <w:endnoteReference w:id="62"/>
      </w:r>
      <w:r w:rsidRPr="0055724E">
        <w:rPr>
          <w:rFonts w:cs="宋体"/>
          <w:color w:val="000000"/>
          <w:kern w:val="0"/>
          <w:sz w:val="28"/>
          <w:szCs w:val="23"/>
        </w:rPr>
        <w:t>今人多從之。</w:t>
      </w:r>
    </w:p>
    <w:p w14:paraId="79A4661C"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lastRenderedPageBreak/>
        <w:t>今人都把古書中用在要對方把某事做得很好的場合下的“善”解釋爲“妥善”或“好好地”，應該是把這種“善”字看作副詞的。這種解釋很簡明，用於有關例子大多數語意都很通順，但是，用在前面所舉的“必善晋周”“子必善左右”這樣的例子裏就講不通了。所以，我們認爲，這種“善”字的性質跟我們前面所講的那種“善”字是基本一致的，這種“善”字後面指出要對方做的事的詞語有時比較複雜，但仍都應該看作“善”的賓語。後世用這種“善”字的人大概都已經把它的意義理解爲“妥善”或“好好地”了，除非是有意仿古，不然是不會再用“善晋周”“善左右”這類説法的。</w:t>
      </w:r>
    </w:p>
    <w:p w14:paraId="75FDD917" w14:textId="359C65C2" w:rsidR="009F4F5A" w:rsidRDefault="009F4F5A" w:rsidP="00445DA3">
      <w:pPr>
        <w:widowControl/>
        <w:spacing w:beforeLines="50" w:before="180" w:line="480" w:lineRule="auto"/>
        <w:ind w:firstLine="480"/>
        <w:jc w:val="left"/>
        <w:rPr>
          <w:rFonts w:cs="宋体"/>
          <w:color w:val="000000"/>
          <w:kern w:val="0"/>
          <w:sz w:val="28"/>
          <w:szCs w:val="23"/>
        </w:rPr>
      </w:pPr>
      <w:r w:rsidRPr="0055724E">
        <w:rPr>
          <w:rFonts w:cs="宋体"/>
          <w:color w:val="000000"/>
          <w:kern w:val="0"/>
          <w:sz w:val="28"/>
          <w:szCs w:val="23"/>
        </w:rPr>
        <w:t>應該指出，在要對方把某事做得很好的場合下使用的“善”字，其含義中“善”字原來所具有的“能”那層意思已經不明顯了，甚至可以説已經消失了，其實在一般使用帶賓語的“善”字的場合，“能”這層意思似乎也往往是可有可無的。前面舉過的《論語·衛靈公》“工欲善其事”這句話固然可以理解爲工人要想能把他所從事的工作做得很好，但也未嘗不可以像我們在前面解釋這句話的時候那樣，理解爲“工人要把他從事的工作做得很好”</w:t>
      </w:r>
      <w:r w:rsidRPr="0055724E">
        <w:rPr>
          <w:rFonts w:cs="宋体"/>
          <w:b/>
          <w:bCs/>
          <w:color w:val="A0A0A0"/>
          <w:kern w:val="0"/>
          <w:sz w:val="21"/>
          <w:szCs w:val="21"/>
        </w:rPr>
        <w:t>[參看一（二）2.]</w:t>
      </w:r>
      <w:r w:rsidRPr="0055724E">
        <w:rPr>
          <w:rFonts w:cs="宋体"/>
          <w:color w:val="000000"/>
          <w:kern w:val="0"/>
          <w:sz w:val="28"/>
          <w:szCs w:val="23"/>
        </w:rPr>
        <w:t>，恐怕多數人在理解這句話的時候，也不會加上“能”這層意思。對於某人“善”某人、某人與某人“相善”之類用例，一般大概都是理解爲某人與某人</w:t>
      </w:r>
      <w:r w:rsidRPr="0055724E">
        <w:rPr>
          <w:rFonts w:cs="宋体"/>
          <w:color w:val="000000"/>
          <w:kern w:val="0"/>
          <w:sz w:val="28"/>
          <w:szCs w:val="23"/>
        </w:rPr>
        <w:lastRenderedPageBreak/>
        <w:t>交好（或關係好）、某人與某人相互交好一類意思的。總之，“善”原來帶有的“能”這一層意思，由於具體語境，有時會隱没消失，或者很容易被忽略。這種情況對“善”的語義演變顯然是有影響的，觀下文自明。</w:t>
      </w:r>
    </w:p>
    <w:p w14:paraId="4BF885A3" w14:textId="77777777" w:rsidR="00445DA3" w:rsidRDefault="00445DA3" w:rsidP="00445DA3">
      <w:pPr>
        <w:widowControl/>
        <w:spacing w:beforeLines="50" w:before="180" w:line="480" w:lineRule="auto"/>
        <w:ind w:firstLine="480"/>
        <w:jc w:val="left"/>
        <w:rPr>
          <w:rFonts w:cs="宋体"/>
          <w:kern w:val="0"/>
          <w:sz w:val="28"/>
          <w:szCs w:val="24"/>
        </w:rPr>
      </w:pPr>
    </w:p>
    <w:p w14:paraId="52758E2F"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b/>
          <w:bCs/>
          <w:color w:val="000000"/>
          <w:kern w:val="0"/>
          <w:sz w:val="28"/>
          <w:szCs w:val="23"/>
        </w:rPr>
        <w:t>（六）“善”字的意動用法</w:t>
      </w:r>
    </w:p>
    <w:p w14:paraId="626F31A1"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“善”字有意動用法，應該在這裏提一下。</w:t>
      </w:r>
    </w:p>
    <w:p w14:paraId="6929701F"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（1）郭店簡《性自命出》：“禮作於情，或興之也。當事因方而制之，其先後之敘，則義道也。或敘爲之節，則文也。致容貌，所以文節也。君子美其情，貴[其義]，</w:t>
      </w:r>
      <w:r w:rsidRPr="0055724E">
        <w:rPr>
          <w:rFonts w:cs="宋体"/>
          <w:b/>
          <w:bCs/>
          <w:color w:val="000000"/>
          <w:kern w:val="0"/>
          <w:sz w:val="28"/>
          <w:szCs w:val="23"/>
          <w:u w:val="single"/>
        </w:rPr>
        <w:t>善其節</w:t>
      </w:r>
      <w:r w:rsidRPr="0055724E">
        <w:rPr>
          <w:rFonts w:cs="宋体"/>
          <w:color w:val="000000"/>
          <w:kern w:val="0"/>
          <w:sz w:val="28"/>
          <w:szCs w:val="23"/>
        </w:rPr>
        <w:t>，好其容，樂其道，悦其教，是以敬焉。”</w:t>
      </w:r>
      <w:r w:rsidRPr="0055724E">
        <w:rPr>
          <w:rFonts w:cs="宋体"/>
          <w:b/>
          <w:bCs/>
          <w:color w:val="A0A0A0"/>
          <w:kern w:val="0"/>
          <w:sz w:val="21"/>
          <w:szCs w:val="21"/>
        </w:rPr>
        <w:t>（簡18—20）</w:t>
      </w:r>
      <w:r w:rsidRPr="0055724E">
        <w:rPr>
          <w:rFonts w:cs="宋体"/>
          <w:color w:val="000000"/>
          <w:kern w:val="0"/>
          <w:sz w:val="28"/>
          <w:szCs w:val="23"/>
        </w:rPr>
        <w:t>“善其節”的“善”應該是意動用法。“善其節”的意思就是認爲禮的節文起了很好的作用。</w:t>
      </w:r>
    </w:p>
    <w:p w14:paraId="457B67B7"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（2）《墨子·天志中》：“《皇矣》道之曰：‘帝謂文王，予懷明德，不大聲以色，不長夏以革，不識不知，順帝之則。’帝</w:t>
      </w:r>
      <w:r w:rsidRPr="0055724E">
        <w:rPr>
          <w:rFonts w:cs="宋体"/>
          <w:b/>
          <w:bCs/>
          <w:color w:val="000000"/>
          <w:kern w:val="0"/>
          <w:sz w:val="28"/>
          <w:szCs w:val="23"/>
          <w:u w:val="single"/>
        </w:rPr>
        <w:t>善其順法則</w:t>
      </w:r>
      <w:r w:rsidRPr="0055724E">
        <w:rPr>
          <w:rFonts w:cs="宋体"/>
          <w:color w:val="000000"/>
          <w:kern w:val="0"/>
          <w:sz w:val="28"/>
          <w:szCs w:val="23"/>
        </w:rPr>
        <w:t>也，故舉殷以賞之，使貴爲天子，富有天下，名譽至今不息。”“帝善其順法則”的意思是説上帝認爲文王把遵順他</w:t>
      </w:r>
      <w:r w:rsidRPr="0055724E">
        <w:rPr>
          <w:rFonts w:cs="宋体"/>
          <w:b/>
          <w:bCs/>
          <w:color w:val="A0A0A0"/>
          <w:kern w:val="0"/>
          <w:sz w:val="21"/>
          <w:szCs w:val="21"/>
        </w:rPr>
        <w:t>（上帝）</w:t>
      </w:r>
      <w:r w:rsidRPr="0055724E">
        <w:rPr>
          <w:rFonts w:cs="宋体"/>
          <w:color w:val="000000"/>
          <w:kern w:val="0"/>
          <w:sz w:val="28"/>
          <w:szCs w:val="23"/>
        </w:rPr>
        <w:t>的法則的事做得很好，也就是説上帝認爲文王能很好地遵順他的法則。</w:t>
      </w:r>
    </w:p>
    <w:p w14:paraId="776ECD0A"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lastRenderedPageBreak/>
        <w:t>（3）《戰國策·燕策一》“齊伐宋宋急”章：“蘇代乃遺燕昭王書曰……燕昭王</w:t>
      </w:r>
      <w:r w:rsidRPr="0055724E">
        <w:rPr>
          <w:rFonts w:cs="宋体"/>
          <w:b/>
          <w:bCs/>
          <w:color w:val="000000"/>
          <w:kern w:val="0"/>
          <w:sz w:val="28"/>
          <w:szCs w:val="23"/>
          <w:u w:val="single"/>
        </w:rPr>
        <w:t>善其書</w:t>
      </w:r>
      <w:r w:rsidRPr="0055724E">
        <w:rPr>
          <w:rFonts w:cs="宋体"/>
          <w:color w:val="000000"/>
          <w:kern w:val="0"/>
          <w:sz w:val="28"/>
          <w:szCs w:val="23"/>
        </w:rPr>
        <w:t>。”“燕昭王善其書”的意思就是説燕昭王以爲蘇代的信寫得很好。</w:t>
      </w:r>
    </w:p>
    <w:p w14:paraId="1DDF2D44"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color w:val="000000"/>
          <w:kern w:val="0"/>
          <w:sz w:val="28"/>
          <w:szCs w:val="23"/>
        </w:rPr>
        <w:t>（4）《韓非子·説林下》：“有欲以御見荊王者，……王</w:t>
      </w:r>
      <w:r w:rsidRPr="0055724E">
        <w:rPr>
          <w:rFonts w:cs="宋体"/>
          <w:b/>
          <w:bCs/>
          <w:color w:val="000000"/>
          <w:kern w:val="0"/>
          <w:sz w:val="28"/>
          <w:szCs w:val="23"/>
          <w:u w:val="single"/>
        </w:rPr>
        <w:t>善其御</w:t>
      </w:r>
      <w:r w:rsidRPr="0055724E">
        <w:rPr>
          <w:rFonts w:cs="宋体"/>
          <w:color w:val="000000"/>
          <w:kern w:val="0"/>
          <w:sz w:val="28"/>
          <w:szCs w:val="23"/>
        </w:rPr>
        <w:t>也。”“王善其御”的意思是説王認爲他駕車駕得很好。</w:t>
      </w:r>
    </w:p>
    <w:p w14:paraId="25BB07D9" w14:textId="3F96ED60" w:rsidR="009F4F5A" w:rsidRDefault="009F4F5A" w:rsidP="00445DA3">
      <w:pPr>
        <w:widowControl/>
        <w:spacing w:beforeLines="50" w:before="180" w:line="480" w:lineRule="auto"/>
        <w:ind w:firstLine="480"/>
        <w:jc w:val="left"/>
        <w:rPr>
          <w:rFonts w:cs="宋体"/>
          <w:color w:val="000000"/>
          <w:kern w:val="0"/>
          <w:sz w:val="28"/>
          <w:szCs w:val="23"/>
        </w:rPr>
      </w:pPr>
      <w:r w:rsidRPr="0055724E">
        <w:rPr>
          <w:rFonts w:cs="宋体"/>
          <w:color w:val="000000"/>
          <w:kern w:val="0"/>
          <w:sz w:val="28"/>
          <w:szCs w:val="23"/>
        </w:rPr>
        <w:t>我們在後面講“善”字其他用法的時候，所引的有些用例中還包含了意動用法的“善”字，它們的具體含義在那裏再作解釋</w:t>
      </w:r>
      <w:r w:rsidRPr="0055724E">
        <w:rPr>
          <w:rFonts w:cs="宋体"/>
          <w:b/>
          <w:bCs/>
          <w:color w:val="A0A0A0"/>
          <w:kern w:val="0"/>
          <w:sz w:val="21"/>
          <w:szCs w:val="21"/>
        </w:rPr>
        <w:t>[參看二（五）例（4）（5）]</w:t>
      </w:r>
      <w:r w:rsidRPr="0055724E">
        <w:rPr>
          <w:rFonts w:cs="宋体"/>
          <w:color w:val="000000"/>
          <w:kern w:val="0"/>
          <w:sz w:val="28"/>
          <w:szCs w:val="23"/>
        </w:rPr>
        <w:t>，這裏不贅引。</w:t>
      </w:r>
    </w:p>
    <w:p w14:paraId="1C1D50CF" w14:textId="77777777" w:rsidR="00445DA3" w:rsidRDefault="00445DA3" w:rsidP="00445DA3">
      <w:pPr>
        <w:widowControl/>
        <w:spacing w:beforeLines="50" w:before="180" w:line="480" w:lineRule="auto"/>
        <w:ind w:firstLine="480"/>
        <w:jc w:val="left"/>
        <w:rPr>
          <w:rFonts w:cs="宋体"/>
          <w:kern w:val="0"/>
          <w:sz w:val="28"/>
          <w:szCs w:val="24"/>
        </w:rPr>
      </w:pPr>
    </w:p>
    <w:p w14:paraId="205D6268" w14:textId="77777777" w:rsidR="009F4F5A" w:rsidRDefault="009F4F5A" w:rsidP="00445DA3">
      <w:pPr>
        <w:pStyle w:val="aa"/>
        <w:spacing w:beforeLines="50" w:before="180"/>
        <w:ind w:firstLineChars="0" w:firstLine="0"/>
        <w:jc w:val="center"/>
        <w:rPr>
          <w:b/>
          <w:bCs/>
        </w:rPr>
      </w:pPr>
      <w:r w:rsidRPr="0055724E">
        <w:rPr>
          <w:b/>
          <w:bCs/>
        </w:rPr>
        <w:t>二、當“能把事（或某種事）做得很好”、“能幹（能力强）”之類意思講的“善”</w:t>
      </w:r>
    </w:p>
    <w:p w14:paraId="0FBF7923" w14:textId="77777777" w:rsidR="00445DA3" w:rsidRDefault="00445DA3" w:rsidP="00445DA3">
      <w:pPr>
        <w:widowControl/>
        <w:spacing w:beforeLines="50" w:before="180" w:line="480" w:lineRule="auto"/>
        <w:ind w:firstLine="480"/>
        <w:jc w:val="left"/>
        <w:rPr>
          <w:rFonts w:cs="宋体"/>
          <w:kern w:val="0"/>
          <w:sz w:val="28"/>
          <w:szCs w:val="23"/>
        </w:rPr>
      </w:pPr>
    </w:p>
    <w:p w14:paraId="1F71F191" w14:textId="2F552CE7" w:rsidR="009F4F5A" w:rsidRDefault="009F4F5A" w:rsidP="00445DA3">
      <w:pPr>
        <w:widowControl/>
        <w:spacing w:beforeLines="50" w:before="180" w:line="480" w:lineRule="auto"/>
        <w:ind w:firstLine="480"/>
        <w:jc w:val="left"/>
        <w:rPr>
          <w:rFonts w:cs="宋体"/>
          <w:kern w:val="0"/>
          <w:sz w:val="28"/>
          <w:szCs w:val="23"/>
        </w:rPr>
      </w:pPr>
      <w:r w:rsidRPr="0055724E">
        <w:rPr>
          <w:rFonts w:cs="宋体"/>
          <w:kern w:val="0"/>
          <w:sz w:val="28"/>
          <w:szCs w:val="23"/>
        </w:rPr>
        <w:t>從上面所</w:t>
      </w:r>
      <w:r w:rsidRPr="0055724E">
        <w:rPr>
          <w:rFonts w:cs="宋体"/>
          <w:color w:val="000000"/>
          <w:kern w:val="0"/>
          <w:sz w:val="28"/>
          <w:szCs w:val="23"/>
        </w:rPr>
        <w:t>説</w:t>
      </w:r>
      <w:r w:rsidRPr="0055724E">
        <w:rPr>
          <w:rFonts w:cs="宋体"/>
          <w:kern w:val="0"/>
          <w:sz w:val="28"/>
          <w:szCs w:val="23"/>
        </w:rPr>
        <w:t>的“善”字帶賓語的那些用法來看，“善”的基本意義應該是能把某事做得很好。根據這一點，認真分析有關語境，可以看出，有不少不帶賓語的“善”應該理解爲“能把事（或某種事）做得很好”或“能幹（能力</w:t>
      </w:r>
      <w:r w:rsidRPr="0055724E">
        <w:rPr>
          <w:rFonts w:cs="宋体"/>
          <w:color w:val="000000"/>
          <w:kern w:val="0"/>
          <w:sz w:val="28"/>
          <w:szCs w:val="23"/>
        </w:rPr>
        <w:t>强</w:t>
      </w:r>
      <w:r w:rsidRPr="0055724E">
        <w:rPr>
          <w:rFonts w:cs="宋体"/>
          <w:kern w:val="0"/>
          <w:sz w:val="28"/>
          <w:szCs w:val="23"/>
        </w:rPr>
        <w:t>）”之類意思。對前一類意思來</w:t>
      </w:r>
      <w:r w:rsidRPr="0055724E">
        <w:rPr>
          <w:rFonts w:cs="宋体"/>
          <w:color w:val="000000"/>
          <w:kern w:val="0"/>
          <w:sz w:val="28"/>
          <w:szCs w:val="23"/>
        </w:rPr>
        <w:t>説</w:t>
      </w:r>
      <w:r w:rsidRPr="0055724E">
        <w:rPr>
          <w:rFonts w:cs="宋体"/>
          <w:kern w:val="0"/>
          <w:sz w:val="28"/>
          <w:szCs w:val="23"/>
        </w:rPr>
        <w:t>，由於其中“能”這層意思往往可以忽略甚至完全隱</w:t>
      </w:r>
      <w:r w:rsidRPr="0055724E">
        <w:rPr>
          <w:rFonts w:cs="宋体"/>
          <w:color w:val="000000"/>
          <w:kern w:val="0"/>
          <w:sz w:val="28"/>
          <w:szCs w:val="23"/>
        </w:rPr>
        <w:t>没</w:t>
      </w:r>
      <w:r w:rsidRPr="0055724E">
        <w:rPr>
          <w:rFonts w:cs="宋体"/>
          <w:b/>
          <w:bCs/>
          <w:color w:val="A0A0A0"/>
          <w:kern w:val="0"/>
          <w:sz w:val="28"/>
          <w:szCs w:val="23"/>
        </w:rPr>
        <w:t>[參看一（五）]</w:t>
      </w:r>
      <w:r w:rsidRPr="0055724E">
        <w:rPr>
          <w:rFonts w:cs="宋体"/>
          <w:kern w:val="0"/>
          <w:sz w:val="28"/>
          <w:szCs w:val="23"/>
        </w:rPr>
        <w:t>，“善”</w:t>
      </w:r>
      <w:r w:rsidRPr="0055724E">
        <w:rPr>
          <w:rFonts w:cs="宋体"/>
          <w:kern w:val="0"/>
          <w:sz w:val="28"/>
          <w:szCs w:val="23"/>
        </w:rPr>
        <w:lastRenderedPageBreak/>
        <w:t>應該也可以就理解爲把事（或某種事）做得很好。下面就來考察一下這樣的“善”字的用例。</w:t>
      </w:r>
    </w:p>
    <w:p w14:paraId="71A85A34" w14:textId="77777777" w:rsidR="00445DA3" w:rsidRDefault="00445DA3" w:rsidP="00445DA3">
      <w:pPr>
        <w:widowControl/>
        <w:spacing w:beforeLines="50" w:before="180" w:line="480" w:lineRule="auto"/>
        <w:ind w:firstLine="480"/>
        <w:jc w:val="left"/>
        <w:rPr>
          <w:rFonts w:cs="宋体"/>
          <w:kern w:val="0"/>
          <w:sz w:val="28"/>
          <w:szCs w:val="24"/>
        </w:rPr>
      </w:pPr>
    </w:p>
    <w:p w14:paraId="31B3542F"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b/>
          <w:bCs/>
          <w:kern w:val="0"/>
          <w:sz w:val="28"/>
          <w:szCs w:val="23"/>
        </w:rPr>
        <w:t>（一）此類“善”字舉例</w:t>
      </w:r>
    </w:p>
    <w:p w14:paraId="7CCAA266" w14:textId="3088B1BC"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3"/>
        </w:rPr>
        <w:t>（1）《論語·公冶長》：“顏淵、季路侍。子曰：‘盍各言爾志？’……顏淵曰：‘願無伐</w:t>
      </w:r>
      <w:r w:rsidRPr="0055724E">
        <w:rPr>
          <w:rFonts w:cs="宋体"/>
          <w:b/>
          <w:bCs/>
          <w:kern w:val="0"/>
          <w:sz w:val="28"/>
          <w:szCs w:val="23"/>
          <w:u w:val="single"/>
        </w:rPr>
        <w:t>善</w:t>
      </w:r>
      <w:r w:rsidRPr="0055724E">
        <w:rPr>
          <w:rFonts w:cs="宋体"/>
          <w:kern w:val="0"/>
          <w:sz w:val="28"/>
          <w:szCs w:val="23"/>
        </w:rPr>
        <w:t>，無施勞。’”朱熹《集注》：“‘伐，誇也。善，謂有能。’”</w:t>
      </w:r>
      <w:r w:rsidRPr="00965627">
        <w:rPr>
          <w:rStyle w:val="ae"/>
          <w:rFonts w:cs="宋体"/>
          <w:kern w:val="0"/>
          <w:sz w:val="28"/>
          <w:szCs w:val="23"/>
        </w:rPr>
        <w:endnoteReference w:id="63"/>
      </w:r>
      <w:r w:rsidRPr="0055724E">
        <w:rPr>
          <w:rFonts w:cs="宋体"/>
          <w:kern w:val="0"/>
          <w:sz w:val="28"/>
          <w:szCs w:val="23"/>
        </w:rPr>
        <w:t>“有能”與我們現在所</w:t>
      </w:r>
      <w:r w:rsidRPr="0055724E">
        <w:rPr>
          <w:rFonts w:cs="宋体"/>
          <w:color w:val="000000"/>
          <w:kern w:val="0"/>
          <w:sz w:val="28"/>
          <w:szCs w:val="23"/>
        </w:rPr>
        <w:t>説</w:t>
      </w:r>
      <w:r w:rsidRPr="0055724E">
        <w:rPr>
          <w:rFonts w:cs="宋体"/>
          <w:kern w:val="0"/>
          <w:sz w:val="28"/>
          <w:szCs w:val="23"/>
        </w:rPr>
        <w:t>的“有才能”“能幹”義近。簡朝亮《論語集注補正述疏》在疏通朱熹此注時</w:t>
      </w:r>
      <w:r w:rsidRPr="0055724E">
        <w:rPr>
          <w:rFonts w:cs="宋体"/>
          <w:color w:val="000000"/>
          <w:kern w:val="0"/>
          <w:sz w:val="28"/>
          <w:szCs w:val="23"/>
        </w:rPr>
        <w:t>説</w:t>
      </w:r>
      <w:r w:rsidRPr="0055724E">
        <w:rPr>
          <w:rFonts w:cs="宋体"/>
          <w:kern w:val="0"/>
          <w:sz w:val="28"/>
          <w:szCs w:val="23"/>
        </w:rPr>
        <w:t>：“襄十三年《左傳》杜《注》云：‘自稱其能曰伐。’……《禮·少儀》：“問道藝，曰：‘子善於某乎？’言有能也。”</w:t>
      </w:r>
      <w:r w:rsidRPr="00965627">
        <w:rPr>
          <w:rStyle w:val="ae"/>
          <w:rFonts w:cs="宋体"/>
          <w:kern w:val="0"/>
          <w:sz w:val="28"/>
          <w:szCs w:val="23"/>
        </w:rPr>
        <w:endnoteReference w:id="64"/>
      </w:r>
      <w:r w:rsidRPr="0055724E">
        <w:rPr>
          <w:rFonts w:cs="宋体"/>
          <w:kern w:val="0"/>
          <w:sz w:val="28"/>
          <w:szCs w:val="23"/>
        </w:rPr>
        <w:t>可見他是同意朱熹對“伐善”的解釋的。我們認爲，朱熹把與“勞”對言的“善”解釋爲“有能”，要比一般將“善”籠統地理解爲“長處、好處”更好。關於《少儀》的“問道藝”的“子善於某乎”之語，後面還要加以討論</w:t>
      </w:r>
      <w:r w:rsidRPr="0055724E">
        <w:rPr>
          <w:rFonts w:cs="宋体"/>
          <w:b/>
          <w:bCs/>
          <w:color w:val="A0A0A0"/>
          <w:kern w:val="0"/>
          <w:sz w:val="28"/>
          <w:szCs w:val="23"/>
        </w:rPr>
        <w:t>[見二（三）例（3）]</w:t>
      </w:r>
      <w:r w:rsidRPr="0055724E">
        <w:rPr>
          <w:rFonts w:cs="宋体"/>
          <w:kern w:val="0"/>
          <w:sz w:val="28"/>
          <w:szCs w:val="23"/>
        </w:rPr>
        <w:t>。</w:t>
      </w:r>
    </w:p>
    <w:p w14:paraId="1A8D253A" w14:textId="747D2D34"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3"/>
        </w:rPr>
        <w:t>（2）《詩·邶風·凱風》用兒子的口吻</w:t>
      </w:r>
      <w:r w:rsidRPr="0055724E">
        <w:rPr>
          <w:rFonts w:cs="宋体"/>
          <w:color w:val="000000"/>
          <w:kern w:val="0"/>
          <w:sz w:val="28"/>
          <w:szCs w:val="23"/>
        </w:rPr>
        <w:t>説</w:t>
      </w:r>
      <w:r w:rsidRPr="0055724E">
        <w:rPr>
          <w:rFonts w:cs="宋体"/>
          <w:kern w:val="0"/>
          <w:sz w:val="28"/>
          <w:szCs w:val="23"/>
        </w:rPr>
        <w:t>“母氏</w:t>
      </w:r>
      <w:r w:rsidRPr="0055724E">
        <w:rPr>
          <w:rFonts w:cs="宋体"/>
          <w:b/>
          <w:bCs/>
          <w:kern w:val="0"/>
          <w:sz w:val="28"/>
          <w:szCs w:val="23"/>
          <w:u w:val="single"/>
        </w:rPr>
        <w:t>聖善</w:t>
      </w:r>
      <w:r w:rsidRPr="0055724E">
        <w:rPr>
          <w:rFonts w:cs="宋体"/>
          <w:kern w:val="0"/>
          <w:sz w:val="28"/>
          <w:szCs w:val="23"/>
        </w:rPr>
        <w:t>，我無令人”。“聖善”之“聖”意爲“聰明、通達”。</w:t>
      </w:r>
      <w:r w:rsidRPr="00965627">
        <w:rPr>
          <w:rStyle w:val="ae"/>
          <w:rFonts w:cs="宋体"/>
          <w:kern w:val="0"/>
          <w:sz w:val="28"/>
          <w:szCs w:val="23"/>
        </w:rPr>
        <w:endnoteReference w:id="65"/>
      </w:r>
      <w:r w:rsidRPr="0055724E">
        <w:rPr>
          <w:rFonts w:cs="宋体"/>
          <w:kern w:val="0"/>
          <w:sz w:val="28"/>
          <w:szCs w:val="23"/>
        </w:rPr>
        <w:t>“善”一般籠統地認爲指“有美德”，並不恰當。西周中期前段的</w:t>
      </w:r>
      <w:r w:rsidR="00AB1FCD">
        <w:rPr>
          <w:noProof/>
        </w:rPr>
        <w:drawing>
          <wp:inline distT="0" distB="0" distL="0" distR="0" wp14:anchorId="63BF8540" wp14:editId="0B1ED5D8">
            <wp:extent cx="161925" cy="211207"/>
            <wp:effectExtent l="0" t="0" r="0" b="0"/>
            <wp:docPr id="85" name="图片 85"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图片"/>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927" cy="212514"/>
                    </a:xfrm>
                    <a:prstGeom prst="rect">
                      <a:avLst/>
                    </a:prstGeom>
                    <a:noFill/>
                    <a:ln>
                      <a:noFill/>
                    </a:ln>
                  </pic:spPr>
                </pic:pic>
              </a:graphicData>
            </a:graphic>
          </wp:inline>
        </w:drawing>
      </w:r>
      <w:r w:rsidRPr="0055724E">
        <w:rPr>
          <w:rFonts w:cs="宋体"/>
          <w:kern w:val="0"/>
          <w:sz w:val="28"/>
          <w:szCs w:val="23"/>
        </w:rPr>
        <w:t>簋銘文中稱頌其母</w:t>
      </w:r>
      <w:r w:rsidRPr="0055724E">
        <w:rPr>
          <w:rFonts w:cs="宋体"/>
          <w:kern w:val="0"/>
          <w:sz w:val="28"/>
          <w:szCs w:val="23"/>
        </w:rPr>
        <w:lastRenderedPageBreak/>
        <w:t>曰“朕文母競敏</w:t>
      </w:r>
      <w:r>
        <w:rPr>
          <w:noProof/>
          <w:szCs w:val="24"/>
        </w:rPr>
        <w:drawing>
          <wp:inline distT="0" distB="0" distL="0" distR="0" wp14:anchorId="52627BEB" wp14:editId="2738D950">
            <wp:extent cx="146685" cy="150495"/>
            <wp:effectExtent l="0" t="0" r="5715" b="1905"/>
            <wp:docPr id="30" name="图片 30" descr="C:\Users\Think\AppData\Local\Temp\WeChat Files\3462169054621949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C:\Users\Think\AppData\Local\Temp\WeChat Files\34621690546219493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57108" cy="160789"/>
                    </a:xfrm>
                    <a:prstGeom prst="rect">
                      <a:avLst/>
                    </a:prstGeom>
                    <a:noFill/>
                    <a:ln>
                      <a:noFill/>
                    </a:ln>
                  </pic:spPr>
                </pic:pic>
              </a:graphicData>
            </a:graphic>
          </wp:inline>
        </w:drawing>
      </w:r>
      <w:r w:rsidRPr="0055724E">
        <w:rPr>
          <w:rFonts w:cs="宋体"/>
          <w:kern w:val="0"/>
          <w:sz w:val="28"/>
          <w:szCs w:val="23"/>
        </w:rPr>
        <w:fldChar w:fldCharType="begin"/>
      </w:r>
      <w:r w:rsidRPr="0055724E">
        <w:rPr>
          <w:rFonts w:cs="宋体"/>
          <w:kern w:val="0"/>
          <w:sz w:val="28"/>
          <w:szCs w:val="23"/>
        </w:rPr>
        <w:instrText xml:space="preserve"> INCLUDEPICTURE "/Users/yadomimac/Library/Group Containers/UBF8T346G9.ms/WebArchiveCopyPasteTempFiles/com.microsoft.Word/svg%3E" \* MERGEFORMATINET </w:instrText>
      </w:r>
      <w:r w:rsidRPr="0055724E">
        <w:rPr>
          <w:rFonts w:cs="宋体"/>
          <w:kern w:val="0"/>
          <w:sz w:val="28"/>
          <w:szCs w:val="23"/>
        </w:rPr>
        <w:fldChar w:fldCharType="end"/>
      </w:r>
      <w:r w:rsidRPr="0055724E">
        <w:rPr>
          <w:rFonts w:cs="宋体"/>
          <w:kern w:val="0"/>
          <w:sz w:val="28"/>
          <w:szCs w:val="23"/>
        </w:rPr>
        <w:t>行，休宕氒</w:t>
      </w:r>
      <w:r w:rsidRPr="0055724E">
        <w:rPr>
          <w:rFonts w:cs="宋体"/>
          <w:b/>
          <w:bCs/>
          <w:color w:val="A0A0A0"/>
          <w:kern w:val="0"/>
          <w:sz w:val="28"/>
          <w:szCs w:val="23"/>
        </w:rPr>
        <w:t>（即指</w:t>
      </w:r>
      <w:r w:rsidR="00AB1FCD">
        <w:rPr>
          <w:rFonts w:ascii="Helvetica Neue" w:hAnsi="Helvetica Neue"/>
          <w:b/>
          <w:bCs/>
          <w:noProof/>
          <w:color w:val="000000"/>
          <w:spacing w:val="8"/>
          <w:sz w:val="23"/>
          <w:szCs w:val="23"/>
          <w:shd w:val="clear" w:color="auto" w:fill="FFFFFF"/>
        </w:rPr>
        <w:drawing>
          <wp:inline distT="0" distB="0" distL="0" distR="0" wp14:anchorId="438C8B26" wp14:editId="32E093AF">
            <wp:extent cx="160655" cy="209550"/>
            <wp:effectExtent l="0" t="0" r="0" b="0"/>
            <wp:docPr id="72" name="图片 7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图片"/>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137" cy="212787"/>
                    </a:xfrm>
                    <a:prstGeom prst="rect">
                      <a:avLst/>
                    </a:prstGeom>
                    <a:noFill/>
                    <a:ln>
                      <a:noFill/>
                    </a:ln>
                  </pic:spPr>
                </pic:pic>
              </a:graphicData>
            </a:graphic>
          </wp:inline>
        </w:drawing>
      </w:r>
      <w:r w:rsidRPr="0055724E">
        <w:rPr>
          <w:rFonts w:cs="宋体"/>
          <w:b/>
          <w:bCs/>
          <w:kern w:val="0"/>
          <w:sz w:val="28"/>
          <w:szCs w:val="23"/>
        </w:rPr>
        <w:fldChar w:fldCharType="begin"/>
      </w:r>
      <w:r w:rsidRPr="0055724E">
        <w:rPr>
          <w:rFonts w:cs="宋体"/>
          <w:b/>
          <w:bCs/>
          <w:kern w:val="0"/>
          <w:sz w:val="28"/>
          <w:szCs w:val="23"/>
        </w:rPr>
        <w:instrText xml:space="preserve"> INCLUDEPICTURE "/Users/yadomimac/Library/Group Containers/UBF8T346G9.ms/WebArchiveCopyPasteTempFiles/com.microsoft.Word/svg%3E" \* MERGEFORMATINET </w:instrText>
      </w:r>
      <w:r w:rsidRPr="0055724E">
        <w:rPr>
          <w:rFonts w:cs="宋体"/>
          <w:b/>
          <w:bCs/>
          <w:kern w:val="0"/>
          <w:sz w:val="28"/>
          <w:szCs w:val="23"/>
        </w:rPr>
        <w:fldChar w:fldCharType="end"/>
      </w:r>
      <w:r w:rsidRPr="0055724E">
        <w:rPr>
          <w:rFonts w:cs="宋体"/>
          <w:b/>
          <w:bCs/>
          <w:color w:val="A0A0A0"/>
          <w:kern w:val="0"/>
          <w:sz w:val="28"/>
          <w:szCs w:val="23"/>
        </w:rPr>
        <w:t>自己，下同）</w:t>
      </w:r>
      <w:r w:rsidRPr="0055724E">
        <w:rPr>
          <w:rFonts w:cs="宋体"/>
          <w:kern w:val="0"/>
          <w:sz w:val="28"/>
          <w:szCs w:val="23"/>
        </w:rPr>
        <w:t>心，永襲氒身”，</w:t>
      </w:r>
      <w:r w:rsidRPr="00965627">
        <w:rPr>
          <w:rStyle w:val="ae"/>
          <w:sz w:val="28"/>
          <w:szCs w:val="24"/>
          <w:lang w:eastAsia="zh-TW"/>
        </w:rPr>
        <w:endnoteReference w:id="66"/>
      </w:r>
      <w:r w:rsidRPr="0055724E">
        <w:rPr>
          <w:rFonts w:cs="宋体"/>
          <w:kern w:val="0"/>
          <w:sz w:val="28"/>
          <w:szCs w:val="23"/>
        </w:rPr>
        <w:t>“競敏”一般認爲是“</w:t>
      </w:r>
      <w:r w:rsidRPr="0055724E">
        <w:rPr>
          <w:rFonts w:cs="宋体"/>
          <w:color w:val="000000"/>
          <w:kern w:val="0"/>
          <w:sz w:val="28"/>
          <w:szCs w:val="23"/>
        </w:rPr>
        <w:t>强</w:t>
      </w:r>
      <w:r w:rsidRPr="0055724E">
        <w:rPr>
          <w:rFonts w:cs="宋体"/>
          <w:kern w:val="0"/>
          <w:sz w:val="28"/>
          <w:szCs w:val="23"/>
        </w:rPr>
        <w:t>幹敏捷”的意思，</w:t>
      </w:r>
      <w:r w:rsidRPr="00965627">
        <w:rPr>
          <w:rStyle w:val="ae"/>
          <w:rFonts w:cs="宋体"/>
          <w:kern w:val="0"/>
          <w:sz w:val="28"/>
          <w:szCs w:val="23"/>
        </w:rPr>
        <w:endnoteReference w:id="67"/>
      </w:r>
      <w:r w:rsidRPr="0055724E">
        <w:rPr>
          <w:rFonts w:cs="宋体"/>
          <w:kern w:val="0"/>
          <w:sz w:val="28"/>
          <w:szCs w:val="23"/>
        </w:rPr>
        <w:t>大致可信。可見，古人稱頌母親時往往很重視她具體的才能，並不一定要頌揚比較抽象的道德。《凱風》接在“母氏聖善”後</w:t>
      </w:r>
      <w:r w:rsidRPr="0055724E">
        <w:rPr>
          <w:rFonts w:cs="宋体"/>
          <w:color w:val="000000"/>
          <w:kern w:val="0"/>
          <w:sz w:val="28"/>
          <w:szCs w:val="23"/>
        </w:rPr>
        <w:t>説</w:t>
      </w:r>
      <w:r w:rsidRPr="0055724E">
        <w:rPr>
          <w:rFonts w:cs="宋体"/>
          <w:kern w:val="0"/>
          <w:sz w:val="28"/>
          <w:szCs w:val="23"/>
        </w:rPr>
        <w:t>的“我無令人”句，鄭箋釋爲“我七子無善人能報之者”，段玉裁《</w:t>
      </w:r>
      <w:r w:rsidRPr="0055724E">
        <w:rPr>
          <w:rFonts w:cs="宋体"/>
          <w:color w:val="000000"/>
          <w:kern w:val="0"/>
          <w:sz w:val="28"/>
          <w:szCs w:val="23"/>
        </w:rPr>
        <w:t>説</w:t>
      </w:r>
      <w:r w:rsidRPr="0055724E">
        <w:rPr>
          <w:rFonts w:cs="宋体"/>
          <w:kern w:val="0"/>
          <w:sz w:val="28"/>
          <w:szCs w:val="23"/>
        </w:rPr>
        <w:t>文解字》“令”字注已指出：“《詩》箋曰：‘令，善也。’按：《詩》多言‘令’，毛無傳。……凡令訓善者，靈之假借字也。”</w:t>
      </w:r>
      <w:r w:rsidRPr="00965627">
        <w:rPr>
          <w:rStyle w:val="ae"/>
          <w:rFonts w:cs="宋体"/>
          <w:kern w:val="0"/>
          <w:sz w:val="28"/>
          <w:szCs w:val="23"/>
        </w:rPr>
        <w:endnoteReference w:id="68"/>
      </w:r>
      <w:r w:rsidRPr="0055724E">
        <w:rPr>
          <w:rFonts w:cs="宋体"/>
          <w:kern w:val="0"/>
          <w:sz w:val="28"/>
          <w:szCs w:val="23"/>
        </w:rPr>
        <w:t>程俊英等《詩經注析》解釋《凱風》“我無令人”</w:t>
      </w:r>
      <w:r w:rsidRPr="0055724E">
        <w:rPr>
          <w:rFonts w:cs="宋体"/>
          <w:color w:val="000000"/>
          <w:kern w:val="0"/>
          <w:sz w:val="28"/>
          <w:szCs w:val="23"/>
        </w:rPr>
        <w:t>説</w:t>
      </w:r>
      <w:r w:rsidRPr="0055724E">
        <w:rPr>
          <w:rFonts w:cs="宋体"/>
          <w:kern w:val="0"/>
          <w:sz w:val="28"/>
          <w:szCs w:val="23"/>
        </w:rPr>
        <w:t>：“令，靈的假借字，善。這句是反躬自責的話，意爲兒子没有一個成材。”</w:t>
      </w:r>
      <w:r w:rsidRPr="00965627">
        <w:rPr>
          <w:rStyle w:val="ae"/>
          <w:rFonts w:cs="宋体"/>
          <w:kern w:val="0"/>
          <w:sz w:val="28"/>
          <w:szCs w:val="23"/>
        </w:rPr>
        <w:endnoteReference w:id="69"/>
      </w:r>
      <w:r w:rsidRPr="0055724E">
        <w:rPr>
          <w:rFonts w:cs="宋体"/>
          <w:kern w:val="0"/>
          <w:sz w:val="28"/>
          <w:szCs w:val="23"/>
        </w:rPr>
        <w:t>其</w:t>
      </w:r>
      <w:r w:rsidRPr="0055724E">
        <w:rPr>
          <w:rFonts w:cs="宋体"/>
          <w:color w:val="000000"/>
          <w:kern w:val="0"/>
          <w:sz w:val="28"/>
          <w:szCs w:val="23"/>
        </w:rPr>
        <w:t>説</w:t>
      </w:r>
      <w:r w:rsidRPr="0055724E">
        <w:rPr>
          <w:rFonts w:cs="宋体"/>
          <w:kern w:val="0"/>
          <w:sz w:val="28"/>
          <w:szCs w:val="23"/>
        </w:rPr>
        <w:t>大體可取。需要</w:t>
      </w:r>
      <w:r w:rsidRPr="0055724E">
        <w:rPr>
          <w:rFonts w:cs="宋体"/>
          <w:color w:val="000000"/>
          <w:kern w:val="0"/>
          <w:sz w:val="28"/>
          <w:szCs w:val="23"/>
        </w:rPr>
        <w:t>説</w:t>
      </w:r>
      <w:r w:rsidRPr="0055724E">
        <w:rPr>
          <w:rFonts w:cs="宋体"/>
          <w:kern w:val="0"/>
          <w:sz w:val="28"/>
          <w:szCs w:val="23"/>
        </w:rPr>
        <w:t>明的是，“靈”本有“聰明，通曉”一類意思，</w:t>
      </w:r>
      <w:r w:rsidRPr="00965627">
        <w:rPr>
          <w:rStyle w:val="ae"/>
          <w:rFonts w:cs="宋体"/>
          <w:kern w:val="0"/>
          <w:sz w:val="28"/>
          <w:szCs w:val="23"/>
        </w:rPr>
        <w:endnoteReference w:id="70"/>
      </w:r>
      <w:r w:rsidRPr="0055724E">
        <w:rPr>
          <w:rFonts w:cs="宋体"/>
          <w:kern w:val="0"/>
          <w:sz w:val="28"/>
          <w:szCs w:val="23"/>
        </w:rPr>
        <w:t>“我無令（靈）人”的“令（靈）”不宜籠統地訓爲“善”，而應理解爲“聰明，通曉”。“無令”正與母氏的“聖善”相對。顧頡剛早在1979年發表的《聖、賢觀念和字義的演變》一文中就已把“母氏聖善”的“聖善”解釋爲“聰明能幹”，</w:t>
      </w:r>
      <w:r w:rsidRPr="00965627">
        <w:rPr>
          <w:rStyle w:val="ae"/>
          <w:rFonts w:cs="宋体"/>
          <w:kern w:val="0"/>
          <w:sz w:val="28"/>
          <w:szCs w:val="23"/>
        </w:rPr>
        <w:endnoteReference w:id="71"/>
      </w:r>
      <w:r w:rsidRPr="0055724E">
        <w:rPr>
          <w:rFonts w:cs="宋体"/>
          <w:kern w:val="0"/>
          <w:sz w:val="28"/>
          <w:szCs w:val="23"/>
        </w:rPr>
        <w:t>這是很正確的，只不過顧氏</w:t>
      </w:r>
      <w:r w:rsidRPr="0055724E">
        <w:rPr>
          <w:rFonts w:cs="宋体"/>
          <w:color w:val="000000"/>
          <w:kern w:val="0"/>
          <w:sz w:val="28"/>
          <w:szCs w:val="23"/>
        </w:rPr>
        <w:t>没</w:t>
      </w:r>
      <w:r w:rsidRPr="0055724E">
        <w:rPr>
          <w:rFonts w:cs="宋体"/>
          <w:kern w:val="0"/>
          <w:sz w:val="28"/>
          <w:szCs w:val="23"/>
        </w:rPr>
        <w:t>有對把“善”解釋爲“能幹”的道理專門加以</w:t>
      </w:r>
      <w:r w:rsidRPr="0055724E">
        <w:rPr>
          <w:rFonts w:cs="宋体"/>
          <w:color w:val="000000"/>
          <w:kern w:val="0"/>
          <w:sz w:val="28"/>
          <w:szCs w:val="23"/>
        </w:rPr>
        <w:t>説</w:t>
      </w:r>
      <w:r w:rsidRPr="0055724E">
        <w:rPr>
          <w:rFonts w:cs="宋体"/>
          <w:kern w:val="0"/>
          <w:sz w:val="28"/>
          <w:szCs w:val="23"/>
        </w:rPr>
        <w:t>明而已。</w:t>
      </w:r>
    </w:p>
    <w:p w14:paraId="4689118A"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3"/>
        </w:rPr>
        <w:t>（3）《左傳·僖公九年》記</w:t>
      </w:r>
      <w:r w:rsidRPr="0055724E">
        <w:rPr>
          <w:rFonts w:cs="宋体"/>
          <w:color w:val="000000"/>
          <w:kern w:val="0"/>
          <w:sz w:val="28"/>
          <w:szCs w:val="23"/>
        </w:rPr>
        <w:t>晋</w:t>
      </w:r>
      <w:r w:rsidRPr="0055724E">
        <w:rPr>
          <w:rFonts w:cs="宋体"/>
          <w:kern w:val="0"/>
          <w:sz w:val="28"/>
          <w:szCs w:val="23"/>
        </w:rPr>
        <w:t>獻公臨死將其愛子奚齊託付給荀息，荀息答應獻公忠心輔佐奚齊，如果做不到，就犧牲自己的生命。里克準備作亂殺死奚齊，事先告訴荀息。荀息表示他無力保護奚齊，</w:t>
      </w:r>
      <w:r w:rsidRPr="0055724E">
        <w:rPr>
          <w:rFonts w:cs="宋体"/>
          <w:kern w:val="0"/>
          <w:sz w:val="28"/>
          <w:szCs w:val="23"/>
        </w:rPr>
        <w:lastRenderedPageBreak/>
        <w:t>只有以死來履行自己對獻公的承諾。他</w:t>
      </w:r>
      <w:r w:rsidRPr="0055724E">
        <w:rPr>
          <w:rFonts w:cs="宋体"/>
          <w:color w:val="000000"/>
          <w:kern w:val="0"/>
          <w:sz w:val="28"/>
          <w:szCs w:val="23"/>
        </w:rPr>
        <w:t>説</w:t>
      </w:r>
      <w:r w:rsidRPr="0055724E">
        <w:rPr>
          <w:rFonts w:cs="宋体"/>
          <w:kern w:val="0"/>
          <w:sz w:val="28"/>
          <w:szCs w:val="23"/>
        </w:rPr>
        <w:t>：“……且人之欲</w:t>
      </w:r>
      <w:r w:rsidRPr="0055724E">
        <w:rPr>
          <w:rFonts w:cs="宋体"/>
          <w:b/>
          <w:bCs/>
          <w:kern w:val="0"/>
          <w:sz w:val="28"/>
          <w:szCs w:val="23"/>
          <w:u w:val="single"/>
        </w:rPr>
        <w:t>善</w:t>
      </w:r>
      <w:r w:rsidRPr="0055724E">
        <w:rPr>
          <w:rFonts w:cs="宋体"/>
          <w:kern w:val="0"/>
          <w:sz w:val="28"/>
          <w:szCs w:val="23"/>
        </w:rPr>
        <w:t>，誰不如我？我欲無貳，而能謂人已乎？”“人之欲善”意思是</w:t>
      </w:r>
      <w:r w:rsidRPr="0055724E">
        <w:rPr>
          <w:rFonts w:cs="宋体"/>
          <w:color w:val="000000"/>
          <w:kern w:val="0"/>
          <w:sz w:val="28"/>
          <w:szCs w:val="23"/>
        </w:rPr>
        <w:t>説</w:t>
      </w:r>
      <w:r w:rsidRPr="0055724E">
        <w:rPr>
          <w:rFonts w:cs="宋体"/>
          <w:kern w:val="0"/>
          <w:sz w:val="28"/>
          <w:szCs w:val="23"/>
        </w:rPr>
        <w:t>人們都想把事做得很好，這裏是就爲人應履行自己的承諾而言的。沈玉成把“人之欲善”翻譯爲“人們要求上進”，</w:t>
      </w:r>
      <w:r w:rsidRPr="00965627">
        <w:rPr>
          <w:rStyle w:val="ae"/>
          <w:rFonts w:cs="宋体"/>
          <w:kern w:val="0"/>
          <w:sz w:val="28"/>
          <w:szCs w:val="23"/>
        </w:rPr>
        <w:endnoteReference w:id="72"/>
      </w:r>
      <w:r w:rsidRPr="0055724E">
        <w:rPr>
          <w:rFonts w:cs="宋体"/>
          <w:color w:val="000000"/>
          <w:kern w:val="0"/>
          <w:sz w:val="28"/>
          <w:szCs w:val="23"/>
        </w:rPr>
        <w:t>没</w:t>
      </w:r>
      <w:r w:rsidRPr="0055724E">
        <w:rPr>
          <w:rFonts w:cs="宋体"/>
          <w:kern w:val="0"/>
          <w:sz w:val="28"/>
          <w:szCs w:val="23"/>
        </w:rPr>
        <w:t>有像一般人那樣把“善”理解爲抽象的道德意義的“善”，其意近是。</w:t>
      </w:r>
    </w:p>
    <w:p w14:paraId="346A110D"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3"/>
        </w:rPr>
        <w:t>（4）《論語·衛靈公》：“子曰：知及之，仁不能守之，雖得之，必失之。知及之，仁能守之，不莊以涖之，則民不敬。知及之，仁能守之，莊以涖之，動之不以禮，未</w:t>
      </w:r>
      <w:r w:rsidRPr="0055724E">
        <w:rPr>
          <w:rFonts w:cs="宋体"/>
          <w:b/>
          <w:bCs/>
          <w:kern w:val="0"/>
          <w:sz w:val="28"/>
          <w:szCs w:val="23"/>
          <w:u w:val="single"/>
        </w:rPr>
        <w:t>善</w:t>
      </w:r>
      <w:r w:rsidRPr="0055724E">
        <w:rPr>
          <w:rFonts w:cs="宋体"/>
          <w:kern w:val="0"/>
          <w:sz w:val="28"/>
          <w:szCs w:val="23"/>
        </w:rPr>
        <w:t>也。”“未善”就是還</w:t>
      </w:r>
      <w:r w:rsidRPr="0055724E">
        <w:rPr>
          <w:rFonts w:cs="宋体"/>
          <w:color w:val="000000"/>
          <w:kern w:val="0"/>
          <w:sz w:val="28"/>
          <w:szCs w:val="23"/>
        </w:rPr>
        <w:t>没</w:t>
      </w:r>
      <w:r w:rsidRPr="0055724E">
        <w:rPr>
          <w:rFonts w:cs="宋体"/>
          <w:kern w:val="0"/>
          <w:sz w:val="28"/>
          <w:szCs w:val="23"/>
        </w:rPr>
        <w:t>有把事做得很好，“未善也”也可以理解爲還不算已經做得很完善了。</w:t>
      </w:r>
    </w:p>
    <w:p w14:paraId="439F5D84" w14:textId="0BBEBD9C" w:rsidR="009F4F5A" w:rsidRDefault="009F4F5A" w:rsidP="00AB1FCD">
      <w:pPr>
        <w:widowControl/>
        <w:spacing w:beforeLines="50" w:before="180" w:line="480" w:lineRule="auto"/>
        <w:ind w:firstLine="482"/>
        <w:jc w:val="left"/>
        <w:textAlignment w:val="center"/>
        <w:rPr>
          <w:rFonts w:cs="宋体"/>
          <w:kern w:val="0"/>
          <w:sz w:val="28"/>
          <w:szCs w:val="24"/>
        </w:rPr>
      </w:pPr>
      <w:r w:rsidRPr="0055724E">
        <w:rPr>
          <w:rFonts w:cs="宋体"/>
          <w:kern w:val="0"/>
          <w:sz w:val="28"/>
          <w:szCs w:val="23"/>
        </w:rPr>
        <w:t>（5）西周早期後段的員方鼎銘有“休善”之語：“唯正月既朢癸酉，王狩于眂</w:t>
      </w:r>
      <w:r w:rsidR="00AB1FCD">
        <w:rPr>
          <w:noProof/>
        </w:rPr>
        <w:drawing>
          <wp:inline distT="0" distB="0" distL="0" distR="0" wp14:anchorId="45B5638E" wp14:editId="21AC3D18">
            <wp:extent cx="177482" cy="204787"/>
            <wp:effectExtent l="0" t="0" r="0" b="5080"/>
            <wp:docPr id="86" name="图片 86"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图片"/>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9007" cy="206546"/>
                    </a:xfrm>
                    <a:prstGeom prst="rect">
                      <a:avLst/>
                    </a:prstGeom>
                    <a:noFill/>
                    <a:ln>
                      <a:noFill/>
                    </a:ln>
                  </pic:spPr>
                </pic:pic>
              </a:graphicData>
            </a:graphic>
          </wp:inline>
        </w:drawing>
      </w:r>
      <w:r w:rsidRPr="0055724E">
        <w:rPr>
          <w:rFonts w:cs="宋体"/>
          <w:kern w:val="0"/>
          <w:sz w:val="28"/>
          <w:szCs w:val="23"/>
        </w:rPr>
        <w:t>，王令員執犬，</w:t>
      </w:r>
      <w:r w:rsidRPr="0055724E">
        <w:rPr>
          <w:rFonts w:cs="宋体"/>
          <w:b/>
          <w:bCs/>
          <w:kern w:val="0"/>
          <w:sz w:val="28"/>
          <w:szCs w:val="23"/>
          <w:u w:val="single"/>
        </w:rPr>
        <w:t>休善</w:t>
      </w:r>
      <w:r w:rsidRPr="0055724E">
        <w:rPr>
          <w:rFonts w:cs="宋体"/>
          <w:kern w:val="0"/>
          <w:sz w:val="28"/>
          <w:szCs w:val="23"/>
        </w:rPr>
        <w:t>，用作父甲</w:t>
      </w:r>
      <w:r w:rsidR="00AB1FCD">
        <w:rPr>
          <w:noProof/>
        </w:rPr>
        <w:drawing>
          <wp:inline distT="0" distB="0" distL="0" distR="0" wp14:anchorId="32E5921A" wp14:editId="0F05C824">
            <wp:extent cx="171450" cy="214313"/>
            <wp:effectExtent l="0" t="0" r="0" b="0"/>
            <wp:docPr id="87" name="图片 87"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图片"/>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3328" cy="216660"/>
                    </a:xfrm>
                    <a:prstGeom prst="rect">
                      <a:avLst/>
                    </a:prstGeom>
                    <a:noFill/>
                    <a:ln>
                      <a:noFill/>
                    </a:ln>
                  </pic:spPr>
                </pic:pic>
              </a:graphicData>
            </a:graphic>
          </wp:inline>
        </w:drawing>
      </w:r>
      <w:r w:rsidRPr="0055724E">
        <w:rPr>
          <w:rFonts w:cs="宋体"/>
          <w:kern w:val="0"/>
          <w:sz w:val="28"/>
          <w:szCs w:val="23"/>
        </w:rPr>
        <w:fldChar w:fldCharType="begin"/>
      </w:r>
      <w:r w:rsidRPr="0055724E">
        <w:rPr>
          <w:rFonts w:cs="宋体"/>
          <w:kern w:val="0"/>
          <w:sz w:val="28"/>
          <w:szCs w:val="23"/>
        </w:rPr>
        <w:instrText xml:space="preserve"> INCLUDEPICTURE "/Users/yadomimac/Library/Group Containers/UBF8T346G9.ms/WebArchiveCopyPasteTempFiles/com.microsoft.Word/svg%3E" \* MERGEFORMATINET </w:instrText>
      </w:r>
      <w:r w:rsidRPr="0055724E">
        <w:rPr>
          <w:rFonts w:cs="宋体"/>
          <w:kern w:val="0"/>
          <w:sz w:val="28"/>
          <w:szCs w:val="23"/>
        </w:rPr>
        <w:fldChar w:fldCharType="end"/>
      </w:r>
      <w:r w:rsidRPr="0055724E">
        <w:rPr>
          <w:rFonts w:cs="宋体"/>
          <w:b/>
          <w:bCs/>
          <w:color w:val="A0A0A0"/>
          <w:kern w:val="0"/>
          <w:sz w:val="28"/>
          <w:szCs w:val="23"/>
        </w:rPr>
        <w:t>（陳劍讀爲‘肆’</w:t>
      </w:r>
      <w:r w:rsidRPr="007726F7">
        <w:rPr>
          <w:rStyle w:val="ae"/>
          <w:rFonts w:ascii="华文仿宋" w:eastAsia="华文仿宋" w:hAnsi="华文仿宋"/>
          <w:sz w:val="18"/>
          <w:szCs w:val="18"/>
        </w:rPr>
        <w:endnoteReference w:id="73"/>
      </w:r>
      <w:r w:rsidRPr="0055724E">
        <w:rPr>
          <w:rFonts w:cs="宋体"/>
          <w:b/>
          <w:bCs/>
          <w:color w:val="A0A0A0"/>
          <w:kern w:val="0"/>
          <w:sz w:val="28"/>
          <w:szCs w:val="23"/>
        </w:rPr>
        <w:t>）</w:t>
      </w:r>
      <w:r w:rsidRPr="0055724E">
        <w:rPr>
          <w:rFonts w:cs="宋体"/>
          <w:kern w:val="0"/>
          <w:sz w:val="28"/>
          <w:szCs w:val="23"/>
        </w:rPr>
        <w:t>彝。”張世超等《金文形義通解》“休”字條第五義項下引了史頌鼎“休有成事”、蔡侯申鍾“休有成慶”、中山王壺“休有成功”，</w:t>
      </w:r>
      <w:r w:rsidRPr="00965627">
        <w:rPr>
          <w:rStyle w:val="ae"/>
          <w:rFonts w:cs="宋体"/>
          <w:kern w:val="0"/>
          <w:sz w:val="28"/>
          <w:szCs w:val="23"/>
        </w:rPr>
        <w:endnoteReference w:id="74"/>
      </w:r>
      <w:r w:rsidRPr="0055724E">
        <w:rPr>
          <w:rFonts w:cs="宋体"/>
          <w:kern w:val="0"/>
          <w:sz w:val="28"/>
          <w:szCs w:val="23"/>
        </w:rPr>
        <w:t>按：西周中期的</w:t>
      </w:r>
      <w:r w:rsidR="00AB1FCD">
        <w:rPr>
          <w:noProof/>
        </w:rPr>
        <w:drawing>
          <wp:inline distT="0" distB="0" distL="0" distR="0" wp14:anchorId="27ED0315" wp14:editId="6ED2100D">
            <wp:extent cx="180975" cy="285750"/>
            <wp:effectExtent l="0" t="0" r="9525" b="0"/>
            <wp:docPr id="88" name="图片 88"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图片"/>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975" cy="285750"/>
                    </a:xfrm>
                    <a:prstGeom prst="rect">
                      <a:avLst/>
                    </a:prstGeom>
                    <a:noFill/>
                    <a:ln>
                      <a:noFill/>
                    </a:ln>
                  </pic:spPr>
                </pic:pic>
              </a:graphicData>
            </a:graphic>
          </wp:inline>
        </w:drawing>
      </w:r>
      <w:r w:rsidRPr="0055724E">
        <w:rPr>
          <w:rFonts w:cs="宋体"/>
          <w:kern w:val="0"/>
          <w:sz w:val="28"/>
          <w:szCs w:val="23"/>
        </w:rPr>
        <w:fldChar w:fldCharType="begin"/>
      </w:r>
      <w:r w:rsidRPr="0055724E">
        <w:rPr>
          <w:rFonts w:cs="宋体"/>
          <w:kern w:val="0"/>
          <w:sz w:val="28"/>
          <w:szCs w:val="23"/>
        </w:rPr>
        <w:instrText xml:space="preserve"> INCLUDEPICTURE "/Users/yadomimac/Library/Group Containers/UBF8T346G9.ms/WebArchiveCopyPasteTempFiles/com.microsoft.Word/svg%3E" \* MERGEFORMATINET </w:instrText>
      </w:r>
      <w:r w:rsidRPr="0055724E">
        <w:rPr>
          <w:rFonts w:cs="宋体"/>
          <w:kern w:val="0"/>
          <w:sz w:val="28"/>
          <w:szCs w:val="23"/>
        </w:rPr>
        <w:fldChar w:fldCharType="end"/>
      </w:r>
      <w:r w:rsidRPr="0055724E">
        <w:rPr>
          <w:rFonts w:cs="宋体"/>
          <w:kern w:val="0"/>
          <w:sz w:val="28"/>
          <w:szCs w:val="23"/>
        </w:rPr>
        <w:t>鼎、兌盆銘文中器主在講述他在戰爭中的功績時都用了“休有擒”的話，“休”字用法亦相類。但《通解》訓此“休”字爲“善”，認爲“休善”是“同義連文”，似不確。此種“休”字應與《詩·豳風·破斧》“亦孔之休”的“休”義近，楊寬《西周史》在講周公東征時引《破斧》在“休”字後括注“‘休’謂幸運”，</w:t>
      </w:r>
      <w:r w:rsidRPr="00965627">
        <w:rPr>
          <w:rStyle w:val="ae"/>
          <w:rFonts w:cs="宋体"/>
          <w:kern w:val="0"/>
          <w:sz w:val="28"/>
          <w:szCs w:val="23"/>
        </w:rPr>
        <w:endnoteReference w:id="75"/>
      </w:r>
      <w:r w:rsidRPr="0055724E">
        <w:rPr>
          <w:rFonts w:cs="宋体"/>
          <w:kern w:val="0"/>
          <w:sz w:val="28"/>
          <w:szCs w:val="23"/>
        </w:rPr>
        <w:t>近</w:t>
      </w:r>
      <w:r w:rsidRPr="0055724E">
        <w:rPr>
          <w:rFonts w:cs="宋体"/>
          <w:kern w:val="0"/>
          <w:sz w:val="28"/>
          <w:szCs w:val="23"/>
        </w:rPr>
        <w:lastRenderedPageBreak/>
        <w:t>是。“休善”的“善”就應該當“把事做得很好”講，在員方鼎銘中當然是指把王命他做的“執犬”之事做得很好。</w:t>
      </w:r>
    </w:p>
    <w:p w14:paraId="6ECEF545" w14:textId="77777777" w:rsidR="009F4F5A" w:rsidRDefault="009F4F5A" w:rsidP="00445DA3">
      <w:pPr>
        <w:widowControl/>
        <w:spacing w:beforeLines="50" w:before="180" w:line="480" w:lineRule="auto"/>
        <w:jc w:val="left"/>
        <w:rPr>
          <w:rFonts w:cs="宋体"/>
          <w:kern w:val="0"/>
          <w:sz w:val="28"/>
          <w:szCs w:val="24"/>
        </w:rPr>
      </w:pPr>
      <w:r w:rsidRPr="0055724E">
        <w:rPr>
          <w:rFonts w:cs="宋体"/>
          <w:b/>
          <w:bCs/>
          <w:kern w:val="0"/>
          <w:sz w:val="28"/>
          <w:szCs w:val="24"/>
        </w:rPr>
        <w:t>（二）關於此類“善”字的否定用法</w:t>
      </w:r>
    </w:p>
    <w:p w14:paraId="00ACF74D"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與這種“善”相對的“不善”往往出現在要求對方把事做好的言辭中，其上多加否定詞，表示必須把事做好。西周中晚期青銅器銘文中屢見其例。</w:t>
      </w:r>
    </w:p>
    <w:p w14:paraId="147D0F21" w14:textId="7D6A3F2A" w:rsidR="009F4F5A" w:rsidRPr="0055724E" w:rsidRDefault="009F4F5A" w:rsidP="00AB1FCD">
      <w:pPr>
        <w:widowControl/>
        <w:spacing w:beforeLines="50" w:before="180" w:line="480" w:lineRule="auto"/>
        <w:ind w:firstLine="482"/>
        <w:jc w:val="left"/>
        <w:textAlignment w:val="center"/>
        <w:rPr>
          <w:rFonts w:cs="宋体"/>
          <w:kern w:val="0"/>
          <w:sz w:val="28"/>
          <w:szCs w:val="24"/>
          <w:lang w:eastAsia="zh-TW"/>
        </w:rPr>
      </w:pPr>
      <w:r w:rsidRPr="0055724E">
        <w:rPr>
          <w:rFonts w:cs="宋体"/>
          <w:kern w:val="0"/>
          <w:sz w:val="28"/>
          <w:szCs w:val="24"/>
        </w:rPr>
        <w:t>西周中期前段的聞尊銘記：“師多父命聞于周，曰：‘余學事汝，</w:t>
      </w:r>
      <w:r w:rsidRPr="0055724E">
        <w:rPr>
          <w:rFonts w:cs="宋体"/>
          <w:b/>
          <w:bCs/>
          <w:kern w:val="0"/>
          <w:sz w:val="28"/>
          <w:szCs w:val="24"/>
          <w:u w:val="single"/>
        </w:rPr>
        <w:t>毋不善</w:t>
      </w:r>
      <w:r w:rsidRPr="0055724E">
        <w:rPr>
          <w:rFonts w:cs="宋体"/>
          <w:kern w:val="0"/>
          <w:sz w:val="28"/>
          <w:szCs w:val="24"/>
        </w:rPr>
        <w:t>，</w:t>
      </w:r>
      <w:r w:rsidRPr="00174FDC">
        <w:rPr>
          <w:rFonts w:ascii="金文宋體" w:eastAsia="金文宋體" w:hAnsi="Malgun Gothic" w:cs="Malgun Gothic" w:hint="eastAsia"/>
          <w:noProof/>
          <w:kern w:val="0"/>
          <w:szCs w:val="24"/>
        </w:rPr>
        <w:drawing>
          <wp:inline distT="0" distB="0" distL="0" distR="0" wp14:anchorId="543BAE21" wp14:editId="10940E91">
            <wp:extent cx="177800" cy="1778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55724E">
        <w:rPr>
          <w:rFonts w:cs="宋体"/>
          <w:kern w:val="0"/>
          <w:sz w:val="28"/>
          <w:szCs w:val="24"/>
        </w:rPr>
        <w:t>朕采</w:t>
      </w:r>
      <w:r w:rsidRPr="00985A43">
        <w:rPr>
          <w:rFonts w:hint="eastAsia"/>
          <w:noProof/>
        </w:rPr>
        <w:drawing>
          <wp:inline distT="0" distB="0" distL="0" distR="0" wp14:anchorId="22DDACFD" wp14:editId="2D422E11">
            <wp:extent cx="193675" cy="222885"/>
            <wp:effectExtent l="0" t="0" r="0" b="5715"/>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3675" cy="222885"/>
                    </a:xfrm>
                    <a:prstGeom prst="rect">
                      <a:avLst/>
                    </a:prstGeom>
                    <a:noFill/>
                    <a:ln>
                      <a:noFill/>
                    </a:ln>
                  </pic:spPr>
                </pic:pic>
              </a:graphicData>
            </a:graphic>
          </wp:inline>
        </w:drawing>
      </w:r>
      <w:r w:rsidRPr="0055724E">
        <w:rPr>
          <w:rFonts w:cs="宋体"/>
          <w:kern w:val="0"/>
          <w:sz w:val="28"/>
          <w:szCs w:val="24"/>
        </w:rPr>
        <w:t>田外臣僕，汝毋又（有）一不聞</w:t>
      </w:r>
      <w:r w:rsidRPr="00965627">
        <w:rPr>
          <w:rStyle w:val="ae"/>
          <w:rFonts w:cs="宋体"/>
          <w:kern w:val="0"/>
          <w:sz w:val="28"/>
          <w:szCs w:val="24"/>
        </w:rPr>
        <w:endnoteReference w:id="76"/>
      </w:r>
      <w:r w:rsidRPr="0055724E">
        <w:rPr>
          <w:rFonts w:cs="宋体"/>
          <w:kern w:val="0"/>
          <w:sz w:val="28"/>
          <w:szCs w:val="24"/>
        </w:rPr>
        <w:t>。’”一般認爲此銘中的師多父是器主聞的上司，銘文下文聞稱師多父爲“朕皇尹”，陳英傑認爲“皇尹”的“尹”應讀爲“君”，“聞是師多父的家臣”。</w:t>
      </w:r>
      <w:r w:rsidRPr="00965627">
        <w:rPr>
          <w:rStyle w:val="ae"/>
          <w:rFonts w:cs="宋体"/>
          <w:kern w:val="0"/>
          <w:sz w:val="28"/>
          <w:szCs w:val="24"/>
        </w:rPr>
        <w:endnoteReference w:id="77"/>
      </w:r>
      <w:r w:rsidRPr="0055724E">
        <w:rPr>
          <w:rFonts w:cs="宋体"/>
          <w:kern w:val="0"/>
          <w:sz w:val="28"/>
          <w:szCs w:val="24"/>
        </w:rPr>
        <w:t>陳氏讀“尹”爲“君”可從，但從師多父對聞講話的口氣看，聞有可能是師多父的宗人，宗人可以稱其宗主爲“君”，六年琱生簋銘中器主琱生即稱其大宗宗子召伯虎爲“朕宗君”。“余學事汝”的“學事”可能有人會讀爲“教使”，我們認爲“學事”應即“學做事”或“學著做事”的意思，在此用爲使動詞，“余學事汝”意即“我讓你學做事/學著做事”，師多父可能認爲</w:t>
      </w:r>
      <w:r w:rsidRPr="0055724E">
        <w:rPr>
          <w:rFonts w:cs="宋体"/>
          <w:color w:val="000000"/>
          <w:kern w:val="0"/>
          <w:sz w:val="28"/>
          <w:szCs w:val="23"/>
        </w:rPr>
        <w:t>説</w:t>
      </w:r>
      <w:r w:rsidRPr="0055724E">
        <w:rPr>
          <w:rFonts w:cs="宋体"/>
          <w:kern w:val="0"/>
          <w:sz w:val="28"/>
          <w:szCs w:val="24"/>
        </w:rPr>
        <w:t>“令汝學事”太過鄭重，所以採取了使動用法。“毋不善”的主語也應該是“汝”，由於上句的</w:t>
      </w:r>
      <w:r w:rsidRPr="0055724E">
        <w:rPr>
          <w:rFonts w:cs="宋体"/>
          <w:kern w:val="0"/>
          <w:sz w:val="28"/>
          <w:szCs w:val="24"/>
        </w:rPr>
        <w:lastRenderedPageBreak/>
        <w:t>賓語就是“汝”，所以省去未</w:t>
      </w:r>
      <w:r w:rsidRPr="0055724E">
        <w:rPr>
          <w:rFonts w:cs="宋体"/>
          <w:color w:val="000000"/>
          <w:kern w:val="0"/>
          <w:sz w:val="28"/>
          <w:szCs w:val="23"/>
        </w:rPr>
        <w:t>説</w:t>
      </w:r>
      <w:r w:rsidRPr="0055724E">
        <w:rPr>
          <w:rFonts w:cs="宋体"/>
          <w:kern w:val="0"/>
          <w:sz w:val="28"/>
          <w:szCs w:val="24"/>
        </w:rPr>
        <w:t>。先秦文獻中這種現象屢見，六年琱生簋銘有“今余既一名典，獻伯氏。則報璧”之語，“則報璧”的主語應即伯氏，因上句的賓語就是“伯氏”而省去。西周晚期的師</w:t>
      </w:r>
      <w:r w:rsidR="00AB1FCD">
        <w:rPr>
          <w:noProof/>
        </w:rPr>
        <w:drawing>
          <wp:inline distT="0" distB="0" distL="0" distR="0" wp14:anchorId="15676AF0" wp14:editId="3B7E3C19">
            <wp:extent cx="170259" cy="209550"/>
            <wp:effectExtent l="0" t="0" r="1270" b="0"/>
            <wp:docPr id="77" name="图片 77"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图片"/>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4880" cy="215238"/>
                    </a:xfrm>
                    <a:prstGeom prst="rect">
                      <a:avLst/>
                    </a:prstGeom>
                    <a:noFill/>
                    <a:ln>
                      <a:noFill/>
                    </a:ln>
                  </pic:spPr>
                </pic:pic>
              </a:graphicData>
            </a:graphic>
          </wp:inline>
        </w:drawing>
      </w:r>
      <w:r w:rsidRPr="0055724E">
        <w:rPr>
          <w:rFonts w:cs="宋体"/>
          <w:kern w:val="0"/>
          <w:sz w:val="28"/>
          <w:szCs w:val="24"/>
        </w:rPr>
        <w:t>簋銘載周王命辭開頭説“師</w:t>
      </w:r>
      <w:r w:rsidR="00AB1FCD">
        <w:rPr>
          <w:noProof/>
        </w:rPr>
        <w:drawing>
          <wp:inline distT="0" distB="0" distL="0" distR="0" wp14:anchorId="60F7024E" wp14:editId="32753A60">
            <wp:extent cx="170259" cy="209550"/>
            <wp:effectExtent l="0" t="0" r="1270" b="0"/>
            <wp:docPr id="75" name="图片 75"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图片"/>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4880" cy="215238"/>
                    </a:xfrm>
                    <a:prstGeom prst="rect">
                      <a:avLst/>
                    </a:prstGeom>
                    <a:noFill/>
                    <a:ln>
                      <a:noFill/>
                    </a:ln>
                  </pic:spPr>
                </pic:pic>
              </a:graphicData>
            </a:graphic>
          </wp:inline>
        </w:drawing>
      </w:r>
      <w:r w:rsidRPr="0055724E">
        <w:rPr>
          <w:rFonts w:cs="宋体"/>
          <w:kern w:val="0"/>
          <w:sz w:val="28"/>
          <w:szCs w:val="24"/>
        </w:rPr>
        <w:t>，在昔先王小學汝，汝敏可事”，郭沫若在《輔師</w:t>
      </w:r>
      <w:r w:rsidR="00AB1FCD">
        <w:rPr>
          <w:noProof/>
        </w:rPr>
        <w:drawing>
          <wp:inline distT="0" distB="0" distL="0" distR="0" wp14:anchorId="5A1218CB" wp14:editId="034E0455">
            <wp:extent cx="170259" cy="209550"/>
            <wp:effectExtent l="0" t="0" r="1270" b="0"/>
            <wp:docPr id="78" name="图片 78"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图片"/>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4880" cy="215238"/>
                    </a:xfrm>
                    <a:prstGeom prst="rect">
                      <a:avLst/>
                    </a:prstGeom>
                    <a:noFill/>
                    <a:ln>
                      <a:noFill/>
                    </a:ln>
                  </pic:spPr>
                </pic:pic>
              </a:graphicData>
            </a:graphic>
          </wp:inline>
        </w:drawing>
      </w:r>
      <w:r w:rsidRPr="0055724E">
        <w:rPr>
          <w:rFonts w:cs="宋体"/>
          <w:kern w:val="0"/>
          <w:sz w:val="28"/>
          <w:szCs w:val="24"/>
        </w:rPr>
        <w:t>簋考釋》中引師</w:t>
      </w:r>
      <w:r w:rsidR="00AB1FCD">
        <w:rPr>
          <w:noProof/>
        </w:rPr>
        <w:drawing>
          <wp:inline distT="0" distB="0" distL="0" distR="0" wp14:anchorId="67094B49" wp14:editId="6A9A20A9">
            <wp:extent cx="170259" cy="209550"/>
            <wp:effectExtent l="0" t="0" r="1270" b="0"/>
            <wp:docPr id="76" name="图片 76"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图片"/>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4880" cy="215238"/>
                    </a:xfrm>
                    <a:prstGeom prst="rect">
                      <a:avLst/>
                    </a:prstGeom>
                    <a:noFill/>
                    <a:ln>
                      <a:noFill/>
                    </a:ln>
                  </pic:spPr>
                </pic:pic>
              </a:graphicData>
            </a:graphic>
          </wp:inline>
        </w:drawing>
      </w:r>
      <w:r w:rsidRPr="0055724E">
        <w:rPr>
          <w:rFonts w:cs="宋体"/>
          <w:kern w:val="0"/>
          <w:sz w:val="28"/>
          <w:szCs w:val="24"/>
        </w:rPr>
        <w:t>簋此文時在“學”字後括注“教”，將“事”直接釋讀爲“使”。</w:t>
      </w:r>
      <w:r w:rsidRPr="00965627">
        <w:rPr>
          <w:rStyle w:val="ae"/>
          <w:rFonts w:asciiTheme="minorEastAsia" w:hAnsiTheme="minorEastAsia"/>
          <w:sz w:val="28"/>
          <w:szCs w:val="24"/>
          <w:lang w:eastAsia="zh-TW"/>
        </w:rPr>
        <w:endnoteReference w:id="78"/>
      </w:r>
      <w:r w:rsidRPr="0055724E">
        <w:rPr>
          <w:rFonts w:cs="宋体"/>
          <w:kern w:val="0"/>
          <w:sz w:val="28"/>
          <w:szCs w:val="24"/>
        </w:rPr>
        <w:t>黃天樹在討論甲骨金文中“小”作爲程度副詞的用法時引師</w:t>
      </w:r>
      <w:r w:rsidR="00AB1FCD">
        <w:rPr>
          <w:noProof/>
        </w:rPr>
        <w:drawing>
          <wp:inline distT="0" distB="0" distL="0" distR="0" wp14:anchorId="0FE32B4B" wp14:editId="1900A4A2">
            <wp:extent cx="170259" cy="209550"/>
            <wp:effectExtent l="0" t="0" r="1270" b="0"/>
            <wp:docPr id="80" name="图片 80"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图片"/>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4880" cy="215238"/>
                    </a:xfrm>
                    <a:prstGeom prst="rect">
                      <a:avLst/>
                    </a:prstGeom>
                    <a:noFill/>
                    <a:ln>
                      <a:noFill/>
                    </a:ln>
                  </pic:spPr>
                </pic:pic>
              </a:graphicData>
            </a:graphic>
          </wp:inline>
        </w:drawing>
      </w:r>
      <w:r w:rsidRPr="0055724E">
        <w:rPr>
          <w:rFonts w:cs="宋体"/>
          <w:kern w:val="0"/>
          <w:sz w:val="28"/>
          <w:szCs w:val="24"/>
        </w:rPr>
        <w:t>簋此文也在“學”後括注“教”，並解釋此文之意説“過去先王稍稍地教育你，你才識敏達，可任以職事”。</w:t>
      </w:r>
      <w:r w:rsidRPr="00965627">
        <w:rPr>
          <w:rStyle w:val="ae"/>
          <w:rFonts w:cs="宋体"/>
          <w:kern w:val="0"/>
          <w:sz w:val="28"/>
          <w:szCs w:val="24"/>
        </w:rPr>
        <w:endnoteReference w:id="79"/>
      </w:r>
      <w:r w:rsidRPr="0055724E">
        <w:rPr>
          <w:rFonts w:cs="宋体"/>
          <w:kern w:val="0"/>
          <w:sz w:val="28"/>
          <w:szCs w:val="24"/>
        </w:rPr>
        <w:t>他把“小”字之義理解爲“少（稍稍）”是可取的，但“學”字似不必讀爲“教”。我們懷疑師</w:t>
      </w:r>
      <w:r w:rsidR="00AB1FCD">
        <w:rPr>
          <w:noProof/>
        </w:rPr>
        <w:drawing>
          <wp:inline distT="0" distB="0" distL="0" distR="0" wp14:anchorId="70063919" wp14:editId="39C96440">
            <wp:extent cx="170259" cy="209550"/>
            <wp:effectExtent l="0" t="0" r="1270" b="0"/>
            <wp:docPr id="81" name="图片 8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图片"/>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4880" cy="215238"/>
                    </a:xfrm>
                    <a:prstGeom prst="rect">
                      <a:avLst/>
                    </a:prstGeom>
                    <a:noFill/>
                    <a:ln>
                      <a:noFill/>
                    </a:ln>
                  </pic:spPr>
                </pic:pic>
              </a:graphicData>
            </a:graphic>
          </wp:inline>
        </w:drawing>
      </w:r>
      <w:r w:rsidRPr="0055724E">
        <w:rPr>
          <w:rFonts w:cs="宋体"/>
          <w:kern w:val="0"/>
          <w:sz w:val="28"/>
          <w:szCs w:val="24"/>
        </w:rPr>
        <w:t>簋的“學”也是用作使動詞的，從下句“敏可事（使）”看，這裏的“學”説的也應該是“學事”。“在昔先王小學汝，汝敏可使”句之意是説“以前先王曾稍讓你學著做點事，你靈敏可用”。聞尊“余學事汝，毋不善”意思就是“我讓你學著做事，你不要把事做得不够好”，“不够好”也就是“不完善”的意思。銘文接著説的就是師多父要讓聞做的事。將</w:t>
      </w:r>
      <w:r w:rsidRPr="00965627">
        <w:rPr>
          <w:rFonts w:asciiTheme="minorEastAsia" w:hAnsiTheme="minorEastAsia" w:hint="eastAsia"/>
          <w:sz w:val="28"/>
          <w:szCs w:val="24"/>
          <w:lang w:eastAsia="zh-TW"/>
        </w:rPr>
        <w:t>“</w:t>
      </w:r>
      <w:r w:rsidRPr="00965627">
        <w:rPr>
          <w:rFonts w:ascii="金文宋體" w:eastAsia="金文宋體" w:hAnsi="Malgun Gothic" w:cs="Malgun Gothic" w:hint="eastAsia"/>
          <w:noProof/>
          <w:kern w:val="0"/>
          <w:sz w:val="28"/>
          <w:szCs w:val="24"/>
        </w:rPr>
        <w:drawing>
          <wp:inline distT="0" distB="0" distL="0" distR="0" wp14:anchorId="19DC88D7" wp14:editId="3C7A6A49">
            <wp:extent cx="177800" cy="1778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965627">
        <w:rPr>
          <w:rFonts w:ascii="华文楷体" w:eastAsia="华文楷体" w:hAnsi="华文楷体" w:cs="宋体" w:hint="eastAsia"/>
          <w:kern w:val="0"/>
          <w:sz w:val="28"/>
          <w:szCs w:val="24"/>
          <w:lang w:eastAsia="zh-TW"/>
        </w:rPr>
        <w:t>朕采</w:t>
      </w:r>
      <w:r w:rsidRPr="00965627">
        <w:rPr>
          <w:rFonts w:hint="eastAsia"/>
          <w:noProof/>
          <w:sz w:val="28"/>
        </w:rPr>
        <w:drawing>
          <wp:inline distT="0" distB="0" distL="0" distR="0" wp14:anchorId="3F4C459E" wp14:editId="6C1782BB">
            <wp:extent cx="193675" cy="222885"/>
            <wp:effectExtent l="0" t="0" r="0" b="5715"/>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3675" cy="222885"/>
                    </a:xfrm>
                    <a:prstGeom prst="rect">
                      <a:avLst/>
                    </a:prstGeom>
                    <a:noFill/>
                    <a:ln>
                      <a:noFill/>
                    </a:ln>
                  </pic:spPr>
                </pic:pic>
              </a:graphicData>
            </a:graphic>
          </wp:inline>
        </w:drawing>
      </w:r>
      <w:r w:rsidRPr="00965627">
        <w:rPr>
          <w:rFonts w:ascii="华文楷体" w:eastAsia="华文楷体" w:hAnsi="华文楷体" w:cs="宋体" w:hint="eastAsia"/>
          <w:kern w:val="0"/>
          <w:sz w:val="28"/>
          <w:szCs w:val="24"/>
          <w:lang w:eastAsia="zh-TW"/>
        </w:rPr>
        <w:t>田外臣僕</w:t>
      </w:r>
      <w:r w:rsidRPr="00965627">
        <w:rPr>
          <w:rFonts w:asciiTheme="minorEastAsia" w:hAnsiTheme="minorEastAsia" w:hint="eastAsia"/>
          <w:sz w:val="28"/>
          <w:szCs w:val="24"/>
          <w:lang w:eastAsia="zh-TW"/>
        </w:rPr>
        <w:t>”</w:t>
      </w:r>
      <w:r w:rsidRPr="0055724E">
        <w:rPr>
          <w:rFonts w:cs="宋体"/>
          <w:kern w:val="0"/>
          <w:sz w:val="28"/>
          <w:szCs w:val="24"/>
        </w:rPr>
        <w:t>讀爲一句，從蔣書紅《聞尊銘文考釋》説，他把這一句解釋爲“監管（那些居住在）我的食采</w:t>
      </w:r>
      <w:r w:rsidRPr="00965627">
        <w:rPr>
          <w:rFonts w:hint="eastAsia"/>
          <w:noProof/>
          <w:sz w:val="28"/>
        </w:rPr>
        <w:drawing>
          <wp:inline distT="0" distB="0" distL="0" distR="0" wp14:anchorId="3F3338BB" wp14:editId="2B143035">
            <wp:extent cx="193675" cy="222885"/>
            <wp:effectExtent l="0" t="0" r="0" b="5715"/>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3675" cy="222885"/>
                    </a:xfrm>
                    <a:prstGeom prst="rect">
                      <a:avLst/>
                    </a:prstGeom>
                    <a:noFill/>
                    <a:ln>
                      <a:noFill/>
                    </a:ln>
                  </pic:spPr>
                </pic:pic>
              </a:graphicData>
            </a:graphic>
          </wp:inline>
        </w:drawing>
      </w:r>
      <w:r w:rsidRPr="0055724E">
        <w:rPr>
          <w:rFonts w:cs="宋体"/>
          <w:kern w:val="0"/>
          <w:sz w:val="28"/>
          <w:szCs w:val="24"/>
        </w:rPr>
        <w:t>田外圍的臣僕”，</w:t>
      </w:r>
      <w:r w:rsidRPr="00965627">
        <w:rPr>
          <w:rStyle w:val="ae"/>
          <w:rFonts w:cs="宋体"/>
          <w:kern w:val="0"/>
          <w:sz w:val="28"/>
          <w:szCs w:val="24"/>
        </w:rPr>
        <w:endnoteReference w:id="80"/>
      </w:r>
      <w:r w:rsidRPr="0055724E">
        <w:rPr>
          <w:rFonts w:cs="宋体"/>
          <w:kern w:val="0"/>
          <w:sz w:val="28"/>
          <w:szCs w:val="24"/>
        </w:rPr>
        <w:t>大意亦可取。但他從董珊讀“</w:t>
      </w:r>
      <w:r w:rsidRPr="00D170A7">
        <w:rPr>
          <w:rFonts w:asciiTheme="minorEastAsia" w:hAnsiTheme="minorEastAsia" w:hint="eastAsia"/>
          <w:noProof/>
          <w:szCs w:val="24"/>
        </w:rPr>
        <w:drawing>
          <wp:inline distT="0" distB="0" distL="0" distR="0" wp14:anchorId="1538B73A" wp14:editId="3BD9E970">
            <wp:extent cx="182880" cy="182880"/>
            <wp:effectExtent l="0" t="0" r="7620"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55724E">
        <w:rPr>
          <w:rFonts w:cs="宋体"/>
          <w:kern w:val="0"/>
          <w:sz w:val="28"/>
          <w:szCs w:val="24"/>
        </w:rPr>
        <w:t>”字爲“胥”，</w:t>
      </w:r>
      <w:r w:rsidRPr="00965627">
        <w:rPr>
          <w:rStyle w:val="ae"/>
          <w:rFonts w:cs="宋体"/>
          <w:kern w:val="0"/>
          <w:sz w:val="28"/>
          <w:szCs w:val="24"/>
        </w:rPr>
        <w:endnoteReference w:id="81"/>
      </w:r>
      <w:r w:rsidRPr="0055724E">
        <w:rPr>
          <w:rFonts w:cs="宋体"/>
          <w:kern w:val="0"/>
          <w:sz w:val="28"/>
          <w:szCs w:val="24"/>
        </w:rPr>
        <w:t>則不妥。張崇禮同意蔣氏釋“</w:t>
      </w:r>
      <w:r w:rsidRPr="00D170A7">
        <w:rPr>
          <w:rFonts w:asciiTheme="minorEastAsia" w:hAnsiTheme="minorEastAsia" w:hint="eastAsia"/>
          <w:noProof/>
          <w:szCs w:val="24"/>
        </w:rPr>
        <w:drawing>
          <wp:inline distT="0" distB="0" distL="0" distR="0" wp14:anchorId="4C0FAFFF" wp14:editId="10DFA3EE">
            <wp:extent cx="182880" cy="182880"/>
            <wp:effectExtent l="0" t="0" r="7620" b="762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55724E">
        <w:rPr>
          <w:rFonts w:cs="宋体"/>
          <w:kern w:val="0"/>
          <w:sz w:val="28"/>
          <w:szCs w:val="24"/>
        </w:rPr>
        <w:t>”字之義爲</w:t>
      </w:r>
      <w:r w:rsidRPr="0055724E">
        <w:rPr>
          <w:rFonts w:cs="宋体"/>
          <w:kern w:val="0"/>
          <w:sz w:val="28"/>
          <w:szCs w:val="24"/>
        </w:rPr>
        <w:lastRenderedPageBreak/>
        <w:t>監管的意見，但指出他仍讀此字爲“胥”與監管之義並不相合，張氏認爲此字从“戶”聲，“戶”“護”古音相近，“護”且爲“戶”之聲訓字，舉證頗詳，並引《史記》《漢書》“護”字用例證明其有“監督、統轄”之義。</w:t>
      </w:r>
      <w:r w:rsidRPr="00965627">
        <w:rPr>
          <w:rStyle w:val="ae"/>
          <w:rFonts w:asciiTheme="minorEastAsia" w:hAnsiTheme="minorEastAsia"/>
          <w:sz w:val="28"/>
          <w:szCs w:val="24"/>
        </w:rPr>
        <w:endnoteReference w:id="82"/>
      </w:r>
      <w:r w:rsidRPr="0055724E">
        <w:rPr>
          <w:rFonts w:cs="宋体"/>
          <w:kern w:val="0"/>
          <w:sz w:val="28"/>
          <w:szCs w:val="24"/>
        </w:rPr>
        <w:t>這些意見都是很好的。漢官有“護軍”、“護工卒使”</w:t>
      </w:r>
      <w:r w:rsidRPr="0055724E">
        <w:rPr>
          <w:rFonts w:cs="宋体"/>
          <w:b/>
          <w:bCs/>
          <w:color w:val="A0A0A0"/>
          <w:kern w:val="0"/>
          <w:sz w:val="21"/>
          <w:szCs w:val="21"/>
        </w:rPr>
        <w:t>（後者屢見於漢代工官製品的刻銘中）</w:t>
      </w:r>
      <w:r w:rsidRPr="0055724E">
        <w:rPr>
          <w:rFonts w:cs="宋体"/>
          <w:kern w:val="0"/>
          <w:sz w:val="28"/>
          <w:szCs w:val="24"/>
        </w:rPr>
        <w:t>，所用“護”字也表示監管一類意思。</w:t>
      </w:r>
      <w:r w:rsidRPr="00965627">
        <w:rPr>
          <w:rFonts w:asciiTheme="minorEastAsia" w:hAnsiTheme="minorEastAsia" w:hint="eastAsia"/>
          <w:sz w:val="28"/>
          <w:szCs w:val="24"/>
          <w:lang w:eastAsia="zh-TW"/>
        </w:rPr>
        <w:t>蔣氏以“外臣僕”爲居住在師多父采地</w:t>
      </w:r>
      <w:r w:rsidRPr="00965627">
        <w:rPr>
          <w:rFonts w:hint="eastAsia"/>
          <w:noProof/>
          <w:sz w:val="28"/>
        </w:rPr>
        <w:drawing>
          <wp:inline distT="0" distB="0" distL="0" distR="0" wp14:anchorId="47E7230B" wp14:editId="09382827">
            <wp:extent cx="193675" cy="222885"/>
            <wp:effectExtent l="0" t="0" r="0" b="5715"/>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3675" cy="222885"/>
                    </a:xfrm>
                    <a:prstGeom prst="rect">
                      <a:avLst/>
                    </a:prstGeom>
                    <a:noFill/>
                    <a:ln>
                      <a:noFill/>
                    </a:ln>
                  </pic:spPr>
                </pic:pic>
              </a:graphicData>
            </a:graphic>
          </wp:inline>
        </w:drawing>
      </w:r>
      <w:r w:rsidRPr="00965627">
        <w:rPr>
          <w:rFonts w:asciiTheme="minorEastAsia" w:hAnsiTheme="minorEastAsia" w:hint="eastAsia"/>
          <w:sz w:val="28"/>
          <w:szCs w:val="24"/>
          <w:lang w:eastAsia="zh-TW"/>
        </w:rPr>
        <w:t>田外圍的臣僕，恐不一定正確。師多父的采地</w:t>
      </w:r>
      <w:r w:rsidRPr="00965627">
        <w:rPr>
          <w:rFonts w:hint="eastAsia"/>
          <w:noProof/>
          <w:sz w:val="28"/>
        </w:rPr>
        <w:drawing>
          <wp:inline distT="0" distB="0" distL="0" distR="0" wp14:anchorId="4A691AC3" wp14:editId="3D348654">
            <wp:extent cx="193675" cy="222885"/>
            <wp:effectExtent l="0" t="0" r="0" b="5715"/>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3675" cy="222885"/>
                    </a:xfrm>
                    <a:prstGeom prst="rect">
                      <a:avLst/>
                    </a:prstGeom>
                    <a:noFill/>
                    <a:ln>
                      <a:noFill/>
                    </a:ln>
                  </pic:spPr>
                </pic:pic>
              </a:graphicData>
            </a:graphic>
          </wp:inline>
        </w:drawing>
      </w:r>
      <w:r w:rsidRPr="00965627">
        <w:rPr>
          <w:rFonts w:asciiTheme="minorEastAsia" w:hAnsiTheme="minorEastAsia" w:hint="eastAsia"/>
          <w:sz w:val="28"/>
          <w:szCs w:val="24"/>
          <w:lang w:eastAsia="zh-TW"/>
        </w:rPr>
        <w:t>田當與師多父居邑有相當遠的距離，“外臣僕”當指采地</w:t>
      </w:r>
      <w:r w:rsidRPr="00965627">
        <w:rPr>
          <w:rFonts w:hint="eastAsia"/>
          <w:noProof/>
          <w:sz w:val="28"/>
        </w:rPr>
        <w:drawing>
          <wp:inline distT="0" distB="0" distL="0" distR="0" wp14:anchorId="2312160A" wp14:editId="07E44917">
            <wp:extent cx="193675" cy="222885"/>
            <wp:effectExtent l="0" t="0" r="0" b="5715"/>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3675" cy="222885"/>
                    </a:xfrm>
                    <a:prstGeom prst="rect">
                      <a:avLst/>
                    </a:prstGeom>
                    <a:noFill/>
                    <a:ln>
                      <a:noFill/>
                    </a:ln>
                  </pic:spPr>
                </pic:pic>
              </a:graphicData>
            </a:graphic>
          </wp:inline>
        </w:drawing>
      </w:r>
      <w:r w:rsidRPr="00965627">
        <w:rPr>
          <w:rFonts w:asciiTheme="minorEastAsia" w:hAnsiTheme="minorEastAsia" w:hint="eastAsia"/>
          <w:sz w:val="28"/>
          <w:szCs w:val="24"/>
          <w:lang w:eastAsia="zh-TW"/>
        </w:rPr>
        <w:t>田上可以被師多父當作臣僕役使的那部分人，稱“外”大概是爲了區別於居住在師多父家中及其居邑中的那些臣僕。“汝毋有一不聞”句與上文“毋不善”句相應，意即“你不要有一件事遺漏不報告”。</w:t>
      </w:r>
    </w:p>
    <w:p w14:paraId="0FFABBC1"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西周晚期諫簋銘載周王命諫之辭</w:t>
      </w:r>
      <w:r w:rsidRPr="0055724E">
        <w:rPr>
          <w:rFonts w:cs="宋体"/>
          <w:color w:val="000000"/>
          <w:kern w:val="0"/>
          <w:sz w:val="28"/>
          <w:szCs w:val="23"/>
        </w:rPr>
        <w:t>説</w:t>
      </w:r>
      <w:r w:rsidRPr="0055724E">
        <w:rPr>
          <w:rFonts w:cs="宋体"/>
          <w:kern w:val="0"/>
          <w:sz w:val="28"/>
          <w:szCs w:val="24"/>
        </w:rPr>
        <w:t>：“先王既命汝</w:t>
      </w:r>
      <w:r w:rsidRPr="00935B13">
        <w:rPr>
          <w:rFonts w:ascii="华文楷体" w:eastAsia="华文楷体" w:hAnsi="华文楷体"/>
          <w:noProof/>
        </w:rPr>
        <w:drawing>
          <wp:inline distT="0" distB="0" distL="0" distR="0" wp14:anchorId="7AD3AB1F" wp14:editId="2558BF4C">
            <wp:extent cx="219075" cy="188595"/>
            <wp:effectExtent l="0" t="0" r="0" b="1905"/>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21"/>
                    <a:stretch>
                      <a:fillRect/>
                    </a:stretch>
                  </pic:blipFill>
                  <pic:spPr>
                    <a:xfrm>
                      <a:off x="0" y="0"/>
                      <a:ext cx="219075" cy="188595"/>
                    </a:xfrm>
                    <a:prstGeom prst="rect">
                      <a:avLst/>
                    </a:prstGeom>
                  </pic:spPr>
                </pic:pic>
              </a:graphicData>
            </a:graphic>
          </wp:inline>
        </w:drawing>
      </w:r>
      <w:r w:rsidRPr="0055724E">
        <w:rPr>
          <w:rFonts w:cs="宋体"/>
          <w:kern w:val="0"/>
          <w:sz w:val="28"/>
          <w:szCs w:val="24"/>
        </w:rPr>
        <w:fldChar w:fldCharType="begin"/>
      </w:r>
      <w:r w:rsidRPr="0055724E">
        <w:rPr>
          <w:rFonts w:cs="宋体"/>
          <w:kern w:val="0"/>
          <w:sz w:val="28"/>
          <w:szCs w:val="24"/>
        </w:rPr>
        <w:instrText xml:space="preserve"> INCLUDEPICTURE "/Users/yadomimac/Library/Group Containers/UBF8T346G9.ms/WebArchiveCopyPasteTempFiles/com.microsoft.Word/svg%3E" \* MERGEFORMATINET </w:instrText>
      </w:r>
      <w:r w:rsidRPr="0055724E">
        <w:rPr>
          <w:rFonts w:cs="宋体"/>
          <w:kern w:val="0"/>
          <w:sz w:val="28"/>
          <w:szCs w:val="24"/>
        </w:rPr>
        <w:fldChar w:fldCharType="end"/>
      </w:r>
      <w:r w:rsidRPr="0055724E">
        <w:rPr>
          <w:rFonts w:cs="宋体"/>
          <w:kern w:val="0"/>
          <w:sz w:val="28"/>
          <w:szCs w:val="24"/>
        </w:rPr>
        <w:t>司王宥（囿），汝某</w:t>
      </w:r>
      <w:r w:rsidRPr="0055724E">
        <w:rPr>
          <w:rFonts w:cs="宋体"/>
          <w:b/>
          <w:bCs/>
          <w:color w:val="A0A0A0"/>
          <w:kern w:val="0"/>
          <w:sz w:val="21"/>
          <w:szCs w:val="21"/>
        </w:rPr>
        <w:t>（一般認爲此字音義應近於‘毋’）</w:t>
      </w:r>
      <w:r w:rsidRPr="0055724E">
        <w:rPr>
          <w:rFonts w:cs="宋体"/>
          <w:kern w:val="0"/>
          <w:sz w:val="28"/>
          <w:szCs w:val="24"/>
        </w:rPr>
        <w:t>不有聞，毋敢不善。”“毋敢不善”句前有“汝某不有聞”句，其意與上引聞尊的“毋有一不聞”極近。“毋敢不善”的語氣較“毋不善”爲重，可以理解爲不許把管理王囿的事情做得不妥善，也就是必須把管理王囿的事做得很完善的意思。</w:t>
      </w:r>
    </w:p>
    <w:p w14:paraId="551C7B37"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lastRenderedPageBreak/>
        <w:t>西周中期虎簋蓋銘載周王命辭在</w:t>
      </w:r>
      <w:r w:rsidRPr="0055724E">
        <w:rPr>
          <w:rFonts w:cs="宋体"/>
          <w:color w:val="000000"/>
          <w:kern w:val="0"/>
          <w:sz w:val="28"/>
          <w:szCs w:val="23"/>
        </w:rPr>
        <w:t>説</w:t>
      </w:r>
      <w:r w:rsidRPr="0055724E">
        <w:rPr>
          <w:rFonts w:cs="宋体"/>
          <w:kern w:val="0"/>
          <w:sz w:val="28"/>
          <w:szCs w:val="24"/>
        </w:rPr>
        <w:t>了讓虎掌管的職事之後，</w:t>
      </w:r>
      <w:r w:rsidRPr="0055724E">
        <w:rPr>
          <w:rFonts w:cs="宋体"/>
          <w:color w:val="000000"/>
          <w:kern w:val="0"/>
          <w:sz w:val="28"/>
          <w:szCs w:val="23"/>
        </w:rPr>
        <w:t>説</w:t>
      </w:r>
      <w:r w:rsidRPr="0055724E">
        <w:rPr>
          <w:rFonts w:cs="宋体"/>
          <w:kern w:val="0"/>
          <w:sz w:val="28"/>
          <w:szCs w:val="24"/>
        </w:rPr>
        <w:t>“汝毋敢不善于乃政”，意即“你必須把你負責的政務處理得很完善”。</w:t>
      </w:r>
    </w:p>
    <w:p w14:paraId="32937627" w14:textId="3FA67EBF" w:rsidR="009F4F5A" w:rsidRDefault="009F4F5A" w:rsidP="00AB1FCD">
      <w:pPr>
        <w:spacing w:beforeLines="50" w:before="180" w:line="480" w:lineRule="auto"/>
        <w:ind w:firstLineChars="200" w:firstLine="560"/>
        <w:textAlignment w:val="center"/>
        <w:rPr>
          <w:rFonts w:asciiTheme="minorEastAsia" w:hAnsiTheme="minorEastAsia"/>
          <w:sz w:val="28"/>
          <w:szCs w:val="24"/>
          <w:lang w:eastAsia="zh-TW"/>
        </w:rPr>
      </w:pPr>
      <w:r w:rsidRPr="00965627">
        <w:rPr>
          <w:rFonts w:asciiTheme="minorEastAsia" w:hAnsiTheme="minorEastAsia" w:hint="eastAsia"/>
          <w:sz w:val="28"/>
          <w:szCs w:val="24"/>
          <w:lang w:eastAsia="zh-TW"/>
        </w:rPr>
        <w:t>西周中期卯簋蓋銘載榮伯命卯之辭有“</w:t>
      </w:r>
      <w:r w:rsidRPr="00965627">
        <w:rPr>
          <w:rFonts w:ascii="华文楷体" w:eastAsia="华文楷体" w:hAnsi="华文楷体" w:hint="eastAsia"/>
          <w:sz w:val="28"/>
          <w:szCs w:val="24"/>
          <w:lang w:eastAsia="zh-TW"/>
        </w:rPr>
        <w:t>今余唯命汝尸</w:t>
      </w:r>
      <w:r w:rsidRPr="00965627">
        <w:rPr>
          <w:rFonts w:ascii="华文楷体" w:eastAsia="华文楷体" w:hAnsi="华文楷体" w:cs="宋体" w:hint="eastAsia"/>
          <w:sz w:val="28"/>
          <w:szCs w:val="24"/>
          <w:lang w:eastAsia="zh-TW"/>
        </w:rPr>
        <w:t>司</w:t>
      </w:r>
      <w:r w:rsidR="00AB1FCD">
        <w:rPr>
          <w:noProof/>
        </w:rPr>
        <w:drawing>
          <wp:inline distT="0" distB="0" distL="0" distR="0" wp14:anchorId="23AF58F4" wp14:editId="1A44C9E7">
            <wp:extent cx="219075" cy="285750"/>
            <wp:effectExtent l="0" t="0" r="9525" b="0"/>
            <wp:docPr id="89" name="图片 89"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图片"/>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9754" cy="286636"/>
                    </a:xfrm>
                    <a:prstGeom prst="rect">
                      <a:avLst/>
                    </a:prstGeom>
                    <a:noFill/>
                    <a:ln>
                      <a:noFill/>
                    </a:ln>
                  </pic:spPr>
                </pic:pic>
              </a:graphicData>
            </a:graphic>
          </wp:inline>
        </w:drawing>
      </w:r>
      <w:r w:rsidRPr="00965627">
        <w:rPr>
          <w:rFonts w:ascii="华文楷体" w:eastAsia="华文楷体" w:hAnsi="华文楷体" w:cs="宋体" w:hint="eastAsia"/>
          <w:sz w:val="28"/>
          <w:szCs w:val="24"/>
          <w:lang w:eastAsia="zh-TW"/>
        </w:rPr>
        <w:t>宮、</w:t>
      </w:r>
      <w:r w:rsidR="00AB1FCD">
        <w:rPr>
          <w:noProof/>
        </w:rPr>
        <w:drawing>
          <wp:inline distT="0" distB="0" distL="0" distR="0" wp14:anchorId="57C7429F" wp14:editId="1253C281">
            <wp:extent cx="219075" cy="285750"/>
            <wp:effectExtent l="0" t="0" r="9525" b="0"/>
            <wp:docPr id="90" name="图片 90"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图片"/>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9754" cy="286636"/>
                    </a:xfrm>
                    <a:prstGeom prst="rect">
                      <a:avLst/>
                    </a:prstGeom>
                    <a:noFill/>
                    <a:ln>
                      <a:noFill/>
                    </a:ln>
                  </pic:spPr>
                </pic:pic>
              </a:graphicData>
            </a:graphic>
          </wp:inline>
        </w:drawing>
      </w:r>
      <w:r w:rsidRPr="00965627">
        <w:rPr>
          <w:rFonts w:ascii="华文楷体" w:eastAsia="华文楷体" w:hAnsi="华文楷体" w:cs="宋体" w:hint="eastAsia"/>
          <w:sz w:val="28"/>
          <w:szCs w:val="24"/>
          <w:lang w:eastAsia="zh-TW"/>
        </w:rPr>
        <w:t>人</w:t>
      </w:r>
      <w:r w:rsidRPr="00965627">
        <w:rPr>
          <w:rFonts w:ascii="华文楷体" w:eastAsia="华文楷体" w:hAnsi="华文楷体" w:hint="eastAsia"/>
          <w:sz w:val="28"/>
          <w:szCs w:val="24"/>
          <w:lang w:eastAsia="zh-TW"/>
        </w:rPr>
        <w:t>，汝毋敢不善</w:t>
      </w:r>
      <w:r w:rsidRPr="00965627">
        <w:rPr>
          <w:rFonts w:asciiTheme="minorEastAsia" w:hAnsiTheme="minorEastAsia" w:hint="eastAsia"/>
          <w:sz w:val="28"/>
          <w:szCs w:val="24"/>
          <w:lang w:eastAsia="zh-TW"/>
        </w:rPr>
        <w:t>”語，“汝毋敢不善”的意思就是要卯必須把管理</w:t>
      </w:r>
      <w:r w:rsidR="00AB1FCD">
        <w:rPr>
          <w:noProof/>
        </w:rPr>
        <w:drawing>
          <wp:inline distT="0" distB="0" distL="0" distR="0" wp14:anchorId="715944FE" wp14:editId="08B8BBCA">
            <wp:extent cx="219075" cy="285750"/>
            <wp:effectExtent l="0" t="0" r="9525" b="0"/>
            <wp:docPr id="92" name="图片 9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图片"/>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9754" cy="286636"/>
                    </a:xfrm>
                    <a:prstGeom prst="rect">
                      <a:avLst/>
                    </a:prstGeom>
                    <a:noFill/>
                    <a:ln>
                      <a:noFill/>
                    </a:ln>
                  </pic:spPr>
                </pic:pic>
              </a:graphicData>
            </a:graphic>
          </wp:inline>
        </w:drawing>
      </w:r>
      <w:r w:rsidRPr="00965627">
        <w:rPr>
          <w:rFonts w:cs="宋体" w:hint="eastAsia"/>
          <w:sz w:val="28"/>
          <w:szCs w:val="24"/>
          <w:lang w:eastAsia="zh-TW"/>
        </w:rPr>
        <w:t>宮、</w:t>
      </w:r>
      <w:r w:rsidR="00AB1FCD">
        <w:rPr>
          <w:noProof/>
        </w:rPr>
        <w:drawing>
          <wp:inline distT="0" distB="0" distL="0" distR="0" wp14:anchorId="0C87DD64" wp14:editId="5345102E">
            <wp:extent cx="219075" cy="285750"/>
            <wp:effectExtent l="0" t="0" r="9525" b="0"/>
            <wp:docPr id="91" name="图片 9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图片"/>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9754" cy="286636"/>
                    </a:xfrm>
                    <a:prstGeom prst="rect">
                      <a:avLst/>
                    </a:prstGeom>
                    <a:noFill/>
                    <a:ln>
                      <a:noFill/>
                    </a:ln>
                  </pic:spPr>
                </pic:pic>
              </a:graphicData>
            </a:graphic>
          </wp:inline>
        </w:drawing>
      </w:r>
      <w:r w:rsidRPr="00965627">
        <w:rPr>
          <w:rFonts w:cs="宋体" w:hint="eastAsia"/>
          <w:sz w:val="28"/>
          <w:szCs w:val="24"/>
          <w:lang w:eastAsia="zh-TW"/>
        </w:rPr>
        <w:t>人的事做得很完善。</w:t>
      </w:r>
    </w:p>
    <w:p w14:paraId="5232908A" w14:textId="733AF3A6" w:rsidR="009F4F5A" w:rsidRDefault="009F4F5A" w:rsidP="00AB1FCD">
      <w:pPr>
        <w:widowControl/>
        <w:spacing w:beforeLines="50" w:before="180" w:line="480" w:lineRule="auto"/>
        <w:ind w:firstLine="482"/>
        <w:jc w:val="left"/>
        <w:textAlignment w:val="center"/>
        <w:rPr>
          <w:rFonts w:cs="宋体"/>
          <w:kern w:val="0"/>
          <w:sz w:val="28"/>
          <w:szCs w:val="24"/>
        </w:rPr>
      </w:pPr>
      <w:r w:rsidRPr="0055724E">
        <w:rPr>
          <w:rFonts w:cs="宋体"/>
          <w:kern w:val="0"/>
          <w:sz w:val="28"/>
          <w:szCs w:val="24"/>
        </w:rPr>
        <w:t>西周晚期膳夫山鼎載周王命辭在舉出讓膳掌管的職事之後</w:t>
      </w:r>
      <w:r w:rsidRPr="0055724E">
        <w:rPr>
          <w:rFonts w:cs="宋体"/>
          <w:color w:val="000000"/>
          <w:kern w:val="0"/>
          <w:sz w:val="28"/>
          <w:szCs w:val="23"/>
        </w:rPr>
        <w:t>説</w:t>
      </w:r>
      <w:r w:rsidRPr="0055724E">
        <w:rPr>
          <w:rFonts w:cs="宋体"/>
          <w:kern w:val="0"/>
          <w:sz w:val="28"/>
          <w:szCs w:val="24"/>
        </w:rPr>
        <w:t>“毋敢不善”，西周晚期師</w:t>
      </w:r>
      <w:r w:rsidR="00AB1FCD">
        <w:rPr>
          <w:noProof/>
        </w:rPr>
        <w:drawing>
          <wp:inline distT="0" distB="0" distL="0" distR="0" wp14:anchorId="230E84FB" wp14:editId="4FBEF4BB">
            <wp:extent cx="194469" cy="233363"/>
            <wp:effectExtent l="0" t="0" r="0" b="0"/>
            <wp:docPr id="93" name="图片 9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图片"/>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5047" cy="234057"/>
                    </a:xfrm>
                    <a:prstGeom prst="rect">
                      <a:avLst/>
                    </a:prstGeom>
                    <a:noFill/>
                    <a:ln>
                      <a:noFill/>
                    </a:ln>
                  </pic:spPr>
                </pic:pic>
              </a:graphicData>
            </a:graphic>
          </wp:inline>
        </w:drawing>
      </w:r>
      <w:r w:rsidRPr="0055724E">
        <w:rPr>
          <w:rFonts w:cs="宋体"/>
          <w:kern w:val="0"/>
          <w:sz w:val="28"/>
          <w:szCs w:val="24"/>
        </w:rPr>
        <w:t>簋載伯龢父命辭在列舉了要</w:t>
      </w:r>
      <w:r w:rsidR="00AB1FCD">
        <w:rPr>
          <w:noProof/>
        </w:rPr>
        <w:drawing>
          <wp:inline distT="0" distB="0" distL="0" distR="0" wp14:anchorId="37A22CAE" wp14:editId="6398CEF9">
            <wp:extent cx="194469" cy="233363"/>
            <wp:effectExtent l="0" t="0" r="0" b="0"/>
            <wp:docPr id="94" name="图片 9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图片"/>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5047" cy="234057"/>
                    </a:xfrm>
                    <a:prstGeom prst="rect">
                      <a:avLst/>
                    </a:prstGeom>
                    <a:noFill/>
                    <a:ln>
                      <a:noFill/>
                    </a:ln>
                  </pic:spPr>
                </pic:pic>
              </a:graphicData>
            </a:graphic>
          </wp:inline>
        </w:drawing>
      </w:r>
      <w:r w:rsidRPr="0055724E">
        <w:rPr>
          <w:rFonts w:cs="宋体"/>
          <w:kern w:val="0"/>
          <w:sz w:val="28"/>
          <w:szCs w:val="24"/>
        </w:rPr>
        <w:t>負責的事務之後</w:t>
      </w:r>
      <w:r w:rsidRPr="0055724E">
        <w:rPr>
          <w:rFonts w:cs="宋体"/>
          <w:color w:val="000000"/>
          <w:kern w:val="0"/>
          <w:sz w:val="28"/>
          <w:szCs w:val="23"/>
        </w:rPr>
        <w:t>説</w:t>
      </w:r>
      <w:r w:rsidRPr="0055724E">
        <w:rPr>
          <w:rFonts w:cs="宋体"/>
          <w:kern w:val="0"/>
          <w:sz w:val="28"/>
          <w:szCs w:val="24"/>
        </w:rPr>
        <w:t>“毋敢不善”，“毋敢不善”也都是要求被命者將他所管理的職事做得很完善的意思。</w:t>
      </w:r>
    </w:p>
    <w:p w14:paraId="406CE61C" w14:textId="39E7051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前面引過的《書·費誓》魯侯要求戰士們做好戰前準備的那段話也用到“毋敢不善”</w:t>
      </w:r>
      <w:r w:rsidRPr="0055724E">
        <w:rPr>
          <w:rFonts w:cs="宋体"/>
          <w:b/>
          <w:bCs/>
          <w:color w:val="A0A0A0"/>
          <w:kern w:val="0"/>
          <w:sz w:val="21"/>
          <w:szCs w:val="21"/>
        </w:rPr>
        <w:t>[一（五）]</w:t>
      </w:r>
      <w:r w:rsidRPr="0055724E">
        <w:rPr>
          <w:rFonts w:cs="宋体"/>
          <w:kern w:val="0"/>
          <w:sz w:val="28"/>
          <w:szCs w:val="24"/>
        </w:rPr>
        <w:t>，他在那段話的最後</w:t>
      </w:r>
      <w:r w:rsidRPr="0055724E">
        <w:rPr>
          <w:rFonts w:cs="宋体"/>
          <w:color w:val="000000"/>
          <w:kern w:val="0"/>
          <w:sz w:val="28"/>
          <w:szCs w:val="23"/>
        </w:rPr>
        <w:t>説</w:t>
      </w:r>
      <w:r w:rsidRPr="0055724E">
        <w:rPr>
          <w:rFonts w:cs="宋体"/>
          <w:kern w:val="0"/>
          <w:sz w:val="28"/>
          <w:szCs w:val="24"/>
        </w:rPr>
        <w:t>“備乃弓矢，鍛乃戈矛，礪乃鋒刃，無（毋）敢不善”，意思就是必須將修整兵器的工作做得很完善。“修繕”之“繕”應該就是在要求人把器物等東西修整好的場合所使用的“善”字派生出來的一個詞。</w:t>
      </w:r>
    </w:p>
    <w:p w14:paraId="0C91BF8F" w14:textId="36385936"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lastRenderedPageBreak/>
        <w:t>上文中解釋“毋敢不善”時屢次用到“完善”“妥善”之語，由此可以明顯地看出，我們今天尚在使用的“完善”“妥善”之語中的“善”，其意義都可溯源到當“把事做得很好”講的“善”。</w:t>
      </w:r>
    </w:p>
    <w:p w14:paraId="2AC3421D" w14:textId="77777777" w:rsidR="00445DA3" w:rsidRDefault="00445DA3" w:rsidP="00445DA3">
      <w:pPr>
        <w:widowControl/>
        <w:spacing w:beforeLines="50" w:before="180" w:line="480" w:lineRule="auto"/>
        <w:ind w:firstLine="480"/>
        <w:jc w:val="left"/>
        <w:rPr>
          <w:rFonts w:cs="宋体"/>
          <w:kern w:val="0"/>
          <w:sz w:val="28"/>
          <w:szCs w:val="24"/>
        </w:rPr>
      </w:pPr>
    </w:p>
    <w:p w14:paraId="028A47E0"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b/>
          <w:bCs/>
          <w:kern w:val="0"/>
          <w:sz w:val="28"/>
          <w:szCs w:val="24"/>
        </w:rPr>
        <w:t>（三）此類“善”字後加表示範圍的“於”字介賓短語的用法</w:t>
      </w:r>
    </w:p>
    <w:p w14:paraId="6658F825"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不帶賓語的“善”有一種在其後加一個表示範圍的“於”字介賓短語的用法，應該在這裏舉例</w:t>
      </w:r>
      <w:r w:rsidRPr="0055724E">
        <w:rPr>
          <w:rFonts w:cs="宋体"/>
          <w:color w:val="000000"/>
          <w:kern w:val="0"/>
          <w:sz w:val="28"/>
          <w:szCs w:val="23"/>
        </w:rPr>
        <w:t>説</w:t>
      </w:r>
      <w:r w:rsidRPr="0055724E">
        <w:rPr>
          <w:rFonts w:cs="宋体"/>
          <w:kern w:val="0"/>
          <w:sz w:val="28"/>
          <w:szCs w:val="24"/>
        </w:rPr>
        <w:t>明一下。</w:t>
      </w:r>
    </w:p>
    <w:p w14:paraId="4160462E" w14:textId="6EBB0D15"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（1）《左傳·襄公十九年》：“鄭公孫蠆卒，赴於</w:t>
      </w:r>
      <w:r w:rsidRPr="0055724E">
        <w:rPr>
          <w:rFonts w:cs="宋体"/>
          <w:color w:val="000000"/>
          <w:kern w:val="0"/>
          <w:sz w:val="28"/>
          <w:szCs w:val="23"/>
        </w:rPr>
        <w:t>晋</w:t>
      </w:r>
      <w:r w:rsidRPr="0055724E">
        <w:rPr>
          <w:rFonts w:cs="宋体"/>
          <w:kern w:val="0"/>
          <w:sz w:val="28"/>
          <w:szCs w:val="24"/>
        </w:rPr>
        <w:t>。大夫范宣子言於</w:t>
      </w:r>
      <w:r w:rsidRPr="0055724E">
        <w:rPr>
          <w:rFonts w:cs="宋体"/>
          <w:color w:val="000000"/>
          <w:kern w:val="0"/>
          <w:sz w:val="28"/>
          <w:szCs w:val="23"/>
        </w:rPr>
        <w:t>晋</w:t>
      </w:r>
      <w:r w:rsidRPr="0055724E">
        <w:rPr>
          <w:rFonts w:cs="宋体"/>
          <w:kern w:val="0"/>
          <w:sz w:val="28"/>
          <w:szCs w:val="24"/>
        </w:rPr>
        <w:t>侯，以其</w:t>
      </w:r>
      <w:r w:rsidRPr="0055724E">
        <w:rPr>
          <w:rFonts w:cs="宋体"/>
          <w:b/>
          <w:bCs/>
          <w:kern w:val="0"/>
          <w:sz w:val="28"/>
          <w:szCs w:val="24"/>
          <w:u w:val="single"/>
        </w:rPr>
        <w:t>善於伐秦</w:t>
      </w:r>
      <w:r w:rsidRPr="0055724E">
        <w:rPr>
          <w:rFonts w:cs="宋体"/>
          <w:kern w:val="0"/>
          <w:sz w:val="28"/>
          <w:szCs w:val="24"/>
        </w:rPr>
        <w:t>也。”杜預注：“十四年，</w:t>
      </w:r>
      <w:r w:rsidRPr="0055724E">
        <w:rPr>
          <w:rFonts w:cs="宋体"/>
          <w:color w:val="000000"/>
          <w:kern w:val="0"/>
          <w:sz w:val="28"/>
          <w:szCs w:val="23"/>
        </w:rPr>
        <w:t>晋</w:t>
      </w:r>
      <w:r w:rsidRPr="0055724E">
        <w:rPr>
          <w:rFonts w:cs="宋体"/>
          <w:kern w:val="0"/>
          <w:sz w:val="28"/>
          <w:szCs w:val="24"/>
        </w:rPr>
        <w:t>伐秦，子蟜見諸侯師而勸之濟涇。”</w:t>
      </w:r>
      <w:r w:rsidRPr="00965627">
        <w:rPr>
          <w:rStyle w:val="ae"/>
          <w:rFonts w:cs="宋体"/>
          <w:kern w:val="0"/>
          <w:sz w:val="28"/>
          <w:szCs w:val="24"/>
        </w:rPr>
        <w:endnoteReference w:id="83"/>
      </w:r>
      <w:r w:rsidRPr="0055724E">
        <w:rPr>
          <w:rFonts w:cs="宋体"/>
          <w:kern w:val="0"/>
          <w:sz w:val="28"/>
          <w:szCs w:val="24"/>
        </w:rPr>
        <w:t>“善於伐秦”意思是</w:t>
      </w:r>
      <w:r w:rsidRPr="0055724E">
        <w:rPr>
          <w:rFonts w:cs="宋体"/>
          <w:color w:val="000000"/>
          <w:kern w:val="0"/>
          <w:sz w:val="28"/>
          <w:szCs w:val="23"/>
        </w:rPr>
        <w:t>説</w:t>
      </w:r>
      <w:r w:rsidRPr="0055724E">
        <w:rPr>
          <w:rFonts w:cs="宋体"/>
          <w:kern w:val="0"/>
          <w:sz w:val="28"/>
          <w:szCs w:val="24"/>
        </w:rPr>
        <w:t>公孫蠆在伐秦之役中做得很好，有重大功勞。</w:t>
      </w:r>
    </w:p>
    <w:p w14:paraId="7F150DEE"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（2）《左傳·昭公五年》：“公如</w:t>
      </w:r>
      <w:r w:rsidRPr="0055724E">
        <w:rPr>
          <w:rFonts w:cs="宋体"/>
          <w:color w:val="000000"/>
          <w:kern w:val="0"/>
          <w:sz w:val="28"/>
          <w:szCs w:val="23"/>
        </w:rPr>
        <w:t>晋</w:t>
      </w:r>
      <w:r w:rsidRPr="0055724E">
        <w:rPr>
          <w:rFonts w:cs="宋体"/>
          <w:kern w:val="0"/>
          <w:sz w:val="28"/>
          <w:szCs w:val="24"/>
        </w:rPr>
        <w:t>，自郊勞至於贈賄，無失禮。</w:t>
      </w:r>
      <w:r w:rsidRPr="0055724E">
        <w:rPr>
          <w:rFonts w:cs="宋体"/>
          <w:color w:val="000000"/>
          <w:kern w:val="0"/>
          <w:sz w:val="28"/>
          <w:szCs w:val="23"/>
        </w:rPr>
        <w:t>晋</w:t>
      </w:r>
      <w:r w:rsidRPr="0055724E">
        <w:rPr>
          <w:rFonts w:cs="宋体"/>
          <w:kern w:val="0"/>
          <w:sz w:val="28"/>
          <w:szCs w:val="24"/>
        </w:rPr>
        <w:t>侯謂女叔齊曰：‘魯侯不亦</w:t>
      </w:r>
      <w:r w:rsidRPr="0055724E">
        <w:rPr>
          <w:rFonts w:cs="宋体"/>
          <w:b/>
          <w:bCs/>
          <w:kern w:val="0"/>
          <w:sz w:val="28"/>
          <w:szCs w:val="24"/>
          <w:u w:val="single"/>
        </w:rPr>
        <w:t>善於禮</w:t>
      </w:r>
      <w:r w:rsidRPr="0055724E">
        <w:rPr>
          <w:rFonts w:cs="宋体"/>
          <w:kern w:val="0"/>
          <w:sz w:val="28"/>
          <w:szCs w:val="24"/>
        </w:rPr>
        <w:t>乎。’對曰：‘魯侯焉知禮？’公曰：‘何爲？自郊勞至於贈賄，禮無違者，何故不知？’”女叔齊回答</w:t>
      </w:r>
      <w:r w:rsidRPr="0055724E">
        <w:rPr>
          <w:rFonts w:cs="宋体"/>
          <w:color w:val="000000"/>
          <w:kern w:val="0"/>
          <w:sz w:val="28"/>
          <w:szCs w:val="23"/>
        </w:rPr>
        <w:t>説</w:t>
      </w:r>
      <w:r w:rsidRPr="0055724E">
        <w:rPr>
          <w:rFonts w:cs="宋体"/>
          <w:kern w:val="0"/>
          <w:sz w:val="28"/>
          <w:szCs w:val="24"/>
        </w:rPr>
        <w:t>：“是儀也，不可謂禮。”他指出，魯侯對國家大事處理得很糟糕，災禍將及其身還不知憂恤，“禮之本末，將於此乎在，而屑屑焉習儀以亟。言‘</w:t>
      </w:r>
      <w:r w:rsidRPr="0055724E">
        <w:rPr>
          <w:rFonts w:cs="宋体"/>
          <w:b/>
          <w:bCs/>
          <w:kern w:val="0"/>
          <w:sz w:val="28"/>
          <w:szCs w:val="24"/>
          <w:u w:val="single"/>
        </w:rPr>
        <w:t>善於禮</w:t>
      </w:r>
      <w:r w:rsidRPr="0055724E">
        <w:rPr>
          <w:rFonts w:cs="宋体"/>
          <w:kern w:val="0"/>
          <w:sz w:val="28"/>
          <w:szCs w:val="24"/>
        </w:rPr>
        <w:t>’，不亦遠乎？”我們在前面講“善”直接</w:t>
      </w:r>
      <w:r w:rsidRPr="0055724E">
        <w:rPr>
          <w:rFonts w:cs="宋体"/>
          <w:kern w:val="0"/>
          <w:sz w:val="28"/>
          <w:szCs w:val="24"/>
        </w:rPr>
        <w:lastRenderedPageBreak/>
        <w:t>以事物名稱爲賓語的時候，曾舉過“善禮”的用例，</w:t>
      </w:r>
      <w:r w:rsidRPr="0055724E">
        <w:rPr>
          <w:rFonts w:cs="宋体"/>
          <w:color w:val="000000"/>
          <w:kern w:val="0"/>
          <w:sz w:val="28"/>
          <w:szCs w:val="23"/>
        </w:rPr>
        <w:t>晋</w:t>
      </w:r>
      <w:r w:rsidRPr="0055724E">
        <w:rPr>
          <w:rFonts w:cs="宋体"/>
          <w:kern w:val="0"/>
          <w:sz w:val="28"/>
          <w:szCs w:val="24"/>
        </w:rPr>
        <w:t>侯所</w:t>
      </w:r>
      <w:r w:rsidRPr="0055724E">
        <w:rPr>
          <w:rFonts w:cs="宋体"/>
          <w:color w:val="000000"/>
          <w:kern w:val="0"/>
          <w:sz w:val="28"/>
          <w:szCs w:val="23"/>
        </w:rPr>
        <w:t>説</w:t>
      </w:r>
      <w:r w:rsidRPr="0055724E">
        <w:rPr>
          <w:rFonts w:cs="宋体"/>
          <w:kern w:val="0"/>
          <w:sz w:val="28"/>
          <w:szCs w:val="24"/>
        </w:rPr>
        <w:t>的“善於禮”似乎可以看作在“善禮”之間插入“於”的加</w:t>
      </w:r>
      <w:r w:rsidRPr="0055724E">
        <w:rPr>
          <w:rFonts w:cs="宋体"/>
          <w:color w:val="000000"/>
          <w:kern w:val="0"/>
          <w:sz w:val="28"/>
          <w:szCs w:val="23"/>
        </w:rPr>
        <w:t>强</w:t>
      </w:r>
      <w:r w:rsidRPr="0055724E">
        <w:rPr>
          <w:rFonts w:cs="宋体"/>
          <w:kern w:val="0"/>
          <w:sz w:val="28"/>
          <w:szCs w:val="24"/>
        </w:rPr>
        <w:t>語氣的形式，但是，</w:t>
      </w:r>
      <w:r w:rsidRPr="0055724E">
        <w:rPr>
          <w:rFonts w:cs="宋体"/>
          <w:color w:val="000000"/>
          <w:kern w:val="0"/>
          <w:sz w:val="28"/>
          <w:szCs w:val="23"/>
        </w:rPr>
        <w:t>晋</w:t>
      </w:r>
      <w:r w:rsidRPr="0055724E">
        <w:rPr>
          <w:rFonts w:cs="宋体"/>
          <w:kern w:val="0"/>
          <w:sz w:val="28"/>
          <w:szCs w:val="24"/>
        </w:rPr>
        <w:t>侯所稱贊的只是昭公在“郊勞”“贈賄”等儀式上合乎禮節的一些行爲，參照上例“善於伐秦”之語，應該還是把“於禮”看作指示範圍的介賓短語比較妥當。</w:t>
      </w:r>
    </w:p>
    <w:p w14:paraId="38DD11C4" w14:textId="5E14660B"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（3）《禮記·少儀》：“問品味，曰：‘子亟食於某乎？’問道藝，曰：‘子習於某乎？子</w:t>
      </w:r>
      <w:r w:rsidRPr="0055724E">
        <w:rPr>
          <w:rFonts w:cs="宋体"/>
          <w:b/>
          <w:bCs/>
          <w:kern w:val="0"/>
          <w:sz w:val="28"/>
          <w:szCs w:val="24"/>
          <w:u w:val="single"/>
        </w:rPr>
        <w:t>善於某</w:t>
      </w:r>
      <w:r w:rsidRPr="0055724E">
        <w:rPr>
          <w:rFonts w:cs="宋体"/>
          <w:kern w:val="0"/>
          <w:sz w:val="28"/>
          <w:szCs w:val="24"/>
        </w:rPr>
        <w:t>乎？’”鄭玄注謂：“道，三德三行也。藝，六藝。”清孫希旦《禮記集解》不同意鄭注，他</w:t>
      </w:r>
      <w:r w:rsidRPr="0055724E">
        <w:rPr>
          <w:rFonts w:cs="宋体"/>
          <w:color w:val="000000"/>
          <w:kern w:val="0"/>
          <w:sz w:val="28"/>
          <w:szCs w:val="23"/>
        </w:rPr>
        <w:t>説</w:t>
      </w:r>
      <w:r w:rsidRPr="0055724E">
        <w:rPr>
          <w:rFonts w:cs="宋体"/>
          <w:kern w:val="0"/>
          <w:sz w:val="28"/>
          <w:szCs w:val="24"/>
        </w:rPr>
        <w:t>：“愚謂道藝，謂六藝也。《周禮·鄉大夫》：‘考其德行道藝，而興賢者能者。’德謂六德，行謂六行，道藝謂六藝，此鄉大夫之三物。道藝人容有能否，故須問；若德、行，則不當問矣。或稱‘習’，或稱‘善’，博異言也。”</w:t>
      </w:r>
      <w:r w:rsidRPr="00965627">
        <w:rPr>
          <w:rStyle w:val="ae"/>
          <w:rFonts w:cs="宋体"/>
          <w:kern w:val="0"/>
          <w:sz w:val="28"/>
          <w:szCs w:val="24"/>
        </w:rPr>
        <w:endnoteReference w:id="84"/>
      </w:r>
      <w:r w:rsidRPr="0055724E">
        <w:rPr>
          <w:rFonts w:cs="宋体"/>
          <w:kern w:val="0"/>
          <w:sz w:val="28"/>
          <w:szCs w:val="24"/>
        </w:rPr>
        <w:t>所言甚爲有理。王引之《經義述聞·禮記中·問道藝》意見略同，論證更爲精詳。王氏</w:t>
      </w:r>
      <w:r w:rsidRPr="0055724E">
        <w:rPr>
          <w:rFonts w:cs="宋体"/>
          <w:color w:val="000000"/>
          <w:kern w:val="0"/>
          <w:sz w:val="28"/>
          <w:szCs w:val="23"/>
        </w:rPr>
        <w:t>説</w:t>
      </w:r>
      <w:r w:rsidRPr="0055724E">
        <w:rPr>
          <w:rFonts w:cs="宋体"/>
          <w:kern w:val="0"/>
          <w:sz w:val="28"/>
          <w:szCs w:val="24"/>
        </w:rPr>
        <w:t>：“嫻於道藝謂之習，工於道藝謂之善，皆指一事而言。”</w:t>
      </w:r>
      <w:r w:rsidRPr="00965627">
        <w:rPr>
          <w:rStyle w:val="ae"/>
          <w:rFonts w:cs="宋体"/>
          <w:kern w:val="0"/>
          <w:sz w:val="28"/>
          <w:szCs w:val="24"/>
        </w:rPr>
        <w:endnoteReference w:id="85"/>
      </w:r>
      <w:r w:rsidRPr="0055724E">
        <w:rPr>
          <w:rFonts w:cs="宋体"/>
          <w:kern w:val="0"/>
          <w:sz w:val="28"/>
          <w:szCs w:val="24"/>
        </w:rPr>
        <w:t>“善於某”就是詢問是否能在六藝的某一項的範圍</w:t>
      </w:r>
      <w:r w:rsidRPr="0055724E">
        <w:rPr>
          <w:rFonts w:cs="宋体"/>
          <w:color w:val="000000"/>
          <w:kern w:val="0"/>
          <w:sz w:val="28"/>
          <w:szCs w:val="23"/>
        </w:rPr>
        <w:t>内</w:t>
      </w:r>
      <w:r w:rsidRPr="0055724E">
        <w:rPr>
          <w:rFonts w:cs="宋体"/>
          <w:kern w:val="0"/>
          <w:sz w:val="28"/>
          <w:szCs w:val="24"/>
        </w:rPr>
        <w:t>做得很好。王引之把“善”釋爲“工”，近人翻譯《禮記》時或譯此“善”字爲“擅長”，</w:t>
      </w:r>
      <w:r w:rsidRPr="00965627">
        <w:rPr>
          <w:rStyle w:val="ae"/>
          <w:rFonts w:cs="宋体"/>
          <w:kern w:val="0"/>
          <w:sz w:val="28"/>
          <w:szCs w:val="24"/>
        </w:rPr>
        <w:endnoteReference w:id="86"/>
      </w:r>
      <w:r w:rsidRPr="0055724E">
        <w:rPr>
          <w:rFonts w:cs="宋体"/>
          <w:kern w:val="0"/>
          <w:sz w:val="28"/>
          <w:szCs w:val="24"/>
        </w:rPr>
        <w:t>都是合乎文意的。</w:t>
      </w:r>
    </w:p>
    <w:p w14:paraId="4F9B95C7" w14:textId="77777777" w:rsidR="00445DA3" w:rsidRDefault="00445DA3" w:rsidP="00445DA3">
      <w:pPr>
        <w:widowControl/>
        <w:spacing w:beforeLines="50" w:before="180" w:line="480" w:lineRule="auto"/>
        <w:ind w:firstLine="480"/>
        <w:jc w:val="left"/>
        <w:rPr>
          <w:rFonts w:cs="宋体"/>
          <w:kern w:val="0"/>
          <w:sz w:val="28"/>
          <w:szCs w:val="24"/>
        </w:rPr>
      </w:pPr>
    </w:p>
    <w:p w14:paraId="47176FE2"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b/>
          <w:bCs/>
          <w:kern w:val="0"/>
          <w:sz w:val="28"/>
          <w:szCs w:val="24"/>
        </w:rPr>
        <w:lastRenderedPageBreak/>
        <w:t>（四）與加表示範圍的“於”字介賓短語的“善”用法相近的“能”</w:t>
      </w:r>
    </w:p>
    <w:p w14:paraId="5C6711CC"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應該指出，“能”也有帶指示範圍的介賓短語的用法，例如：</w:t>
      </w:r>
    </w:p>
    <w:p w14:paraId="3EA8DB94"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（1）《孔子家語·辨樂》：“孔子學琴於師襄子。襄子曰：‘吾雖以擊磬爲官，然</w:t>
      </w:r>
      <w:r w:rsidRPr="0055724E">
        <w:rPr>
          <w:rFonts w:cs="宋体"/>
          <w:b/>
          <w:bCs/>
          <w:kern w:val="0"/>
          <w:sz w:val="28"/>
          <w:szCs w:val="24"/>
          <w:u w:val="single"/>
        </w:rPr>
        <w:t>能於琴</w:t>
      </w:r>
      <w:r w:rsidRPr="0055724E">
        <w:rPr>
          <w:rFonts w:cs="宋体"/>
          <w:kern w:val="0"/>
          <w:sz w:val="28"/>
          <w:szCs w:val="24"/>
        </w:rPr>
        <w:t>。今子於琴已習，可以益矣。’”</w:t>
      </w:r>
      <w:r w:rsidRPr="0055724E">
        <w:rPr>
          <w:rFonts w:cs="宋体"/>
          <w:b/>
          <w:bCs/>
          <w:color w:val="A0A0A0"/>
          <w:kern w:val="0"/>
          <w:sz w:val="21"/>
          <w:szCs w:val="21"/>
        </w:rPr>
        <w:t>（事亦見《史記·孔子世家》）</w:t>
      </w:r>
      <w:r w:rsidRPr="0055724E">
        <w:rPr>
          <w:rFonts w:cs="宋体"/>
          <w:kern w:val="0"/>
          <w:sz w:val="28"/>
          <w:szCs w:val="24"/>
        </w:rPr>
        <w:t>從“於琴已習”這句話可以明顯地看出，“於琴”是指示範圍的介賓短語。</w:t>
      </w:r>
    </w:p>
    <w:p w14:paraId="6D0D7440"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（2）《</w:t>
      </w:r>
      <w:r w:rsidRPr="0055724E">
        <w:rPr>
          <w:rFonts w:cs="宋体"/>
          <w:color w:val="000000"/>
          <w:kern w:val="0"/>
          <w:sz w:val="28"/>
          <w:szCs w:val="23"/>
        </w:rPr>
        <w:t>説</w:t>
      </w:r>
      <w:r w:rsidRPr="0055724E">
        <w:rPr>
          <w:rFonts w:cs="宋体"/>
          <w:kern w:val="0"/>
          <w:sz w:val="28"/>
          <w:szCs w:val="24"/>
        </w:rPr>
        <w:t>苑·權謀》：“知命知事而</w:t>
      </w:r>
      <w:r w:rsidRPr="0055724E">
        <w:rPr>
          <w:rFonts w:cs="宋体"/>
          <w:b/>
          <w:bCs/>
          <w:kern w:val="0"/>
          <w:sz w:val="28"/>
          <w:szCs w:val="24"/>
          <w:u w:val="single"/>
        </w:rPr>
        <w:t>能於權謀</w:t>
      </w:r>
      <w:r w:rsidRPr="0055724E">
        <w:rPr>
          <w:rFonts w:cs="宋体"/>
          <w:kern w:val="0"/>
          <w:sz w:val="28"/>
          <w:szCs w:val="24"/>
        </w:rPr>
        <w:t>者，必察誠詐之原而以處身焉。”</w:t>
      </w:r>
    </w:p>
    <w:p w14:paraId="66A0A682"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（3）《左傳·襄公二十七年》記載，由宋國執政大臣向戌促成的</w:t>
      </w:r>
      <w:r w:rsidRPr="0055724E">
        <w:rPr>
          <w:rFonts w:cs="宋体"/>
          <w:color w:val="000000"/>
          <w:kern w:val="0"/>
          <w:sz w:val="28"/>
          <w:szCs w:val="23"/>
        </w:rPr>
        <w:t>晋</w:t>
      </w:r>
      <w:r w:rsidRPr="0055724E">
        <w:rPr>
          <w:rFonts w:cs="宋体"/>
          <w:kern w:val="0"/>
          <w:sz w:val="28"/>
          <w:szCs w:val="24"/>
        </w:rPr>
        <w:t>、楚等國的第二次弭兵之會在宋的國都召開，楚帥令尹子木想在盟會上提出“</w:t>
      </w:r>
      <w:r w:rsidRPr="0055724E">
        <w:rPr>
          <w:rFonts w:cs="宋体"/>
          <w:color w:val="000000"/>
          <w:kern w:val="0"/>
          <w:sz w:val="28"/>
          <w:szCs w:val="23"/>
        </w:rPr>
        <w:t>晋</w:t>
      </w:r>
      <w:r w:rsidRPr="0055724E">
        <w:rPr>
          <w:rFonts w:cs="宋体"/>
          <w:kern w:val="0"/>
          <w:sz w:val="28"/>
          <w:szCs w:val="24"/>
        </w:rPr>
        <w:t>、楚之從交相見”的要求，請向戌向</w:t>
      </w:r>
      <w:r w:rsidRPr="0055724E">
        <w:rPr>
          <w:rFonts w:cs="宋体"/>
          <w:color w:val="000000"/>
          <w:kern w:val="0"/>
          <w:sz w:val="28"/>
          <w:szCs w:val="23"/>
        </w:rPr>
        <w:t>晋</w:t>
      </w:r>
      <w:r w:rsidRPr="0055724E">
        <w:rPr>
          <w:rFonts w:cs="宋体"/>
          <w:kern w:val="0"/>
          <w:sz w:val="28"/>
          <w:szCs w:val="24"/>
        </w:rPr>
        <w:t>帥趙文子轉達此意。趙文子回應</w:t>
      </w:r>
      <w:r w:rsidRPr="0055724E">
        <w:rPr>
          <w:rFonts w:cs="宋体"/>
          <w:color w:val="000000"/>
          <w:kern w:val="0"/>
          <w:sz w:val="28"/>
          <w:szCs w:val="23"/>
        </w:rPr>
        <w:t>説</w:t>
      </w:r>
      <w:r w:rsidRPr="0055724E">
        <w:rPr>
          <w:rFonts w:cs="宋体"/>
          <w:kern w:val="0"/>
          <w:sz w:val="28"/>
          <w:szCs w:val="24"/>
        </w:rPr>
        <w:t>：“</w:t>
      </w:r>
      <w:r w:rsidRPr="0055724E">
        <w:rPr>
          <w:rFonts w:cs="宋体"/>
          <w:color w:val="000000"/>
          <w:kern w:val="0"/>
          <w:sz w:val="28"/>
          <w:szCs w:val="23"/>
        </w:rPr>
        <w:t>晋</w:t>
      </w:r>
      <w:r w:rsidRPr="0055724E">
        <w:rPr>
          <w:rFonts w:cs="宋体"/>
          <w:kern w:val="0"/>
          <w:sz w:val="28"/>
          <w:szCs w:val="24"/>
        </w:rPr>
        <w:t>、楚、齊、秦，匹也。</w:t>
      </w:r>
      <w:r w:rsidRPr="0055724E">
        <w:rPr>
          <w:rFonts w:cs="宋体"/>
          <w:color w:val="000000"/>
          <w:kern w:val="0"/>
          <w:sz w:val="28"/>
          <w:szCs w:val="23"/>
        </w:rPr>
        <w:t>晋</w:t>
      </w:r>
      <w:r w:rsidRPr="0055724E">
        <w:rPr>
          <w:rFonts w:cs="宋体"/>
          <w:kern w:val="0"/>
          <w:sz w:val="28"/>
          <w:szCs w:val="24"/>
        </w:rPr>
        <w:t>之</w:t>
      </w:r>
      <w:r w:rsidRPr="0055724E">
        <w:rPr>
          <w:rFonts w:cs="宋体"/>
          <w:b/>
          <w:bCs/>
          <w:kern w:val="0"/>
          <w:sz w:val="28"/>
          <w:szCs w:val="24"/>
          <w:u w:val="single"/>
        </w:rPr>
        <w:t>不能於齊</w:t>
      </w:r>
      <w:r w:rsidRPr="0055724E">
        <w:rPr>
          <w:rFonts w:cs="宋体"/>
          <w:kern w:val="0"/>
          <w:sz w:val="28"/>
          <w:szCs w:val="24"/>
        </w:rPr>
        <w:t>，猶楚之</w:t>
      </w:r>
      <w:r w:rsidRPr="0055724E">
        <w:rPr>
          <w:rFonts w:cs="宋体"/>
          <w:b/>
          <w:bCs/>
          <w:kern w:val="0"/>
          <w:sz w:val="28"/>
          <w:szCs w:val="24"/>
          <w:u w:val="single"/>
        </w:rPr>
        <w:t>不能於秦</w:t>
      </w:r>
      <w:r w:rsidRPr="0055724E">
        <w:rPr>
          <w:rFonts w:cs="宋体"/>
          <w:kern w:val="0"/>
          <w:sz w:val="28"/>
          <w:szCs w:val="24"/>
        </w:rPr>
        <w:t>也。楚君若能使秦君辱於敝邑，寡君敢不固請於齊？”當時，齊是</w:t>
      </w:r>
      <w:r w:rsidRPr="0055724E">
        <w:rPr>
          <w:rFonts w:cs="宋体"/>
          <w:color w:val="000000"/>
          <w:kern w:val="0"/>
          <w:sz w:val="28"/>
          <w:szCs w:val="23"/>
        </w:rPr>
        <w:t>晋</w:t>
      </w:r>
      <w:r w:rsidRPr="0055724E">
        <w:rPr>
          <w:rFonts w:cs="宋体"/>
          <w:kern w:val="0"/>
          <w:sz w:val="28"/>
          <w:szCs w:val="24"/>
        </w:rPr>
        <w:t>的與國，秦是楚的與國，但</w:t>
      </w:r>
      <w:r w:rsidRPr="0055724E">
        <w:rPr>
          <w:rFonts w:cs="宋体"/>
          <w:color w:val="000000"/>
          <w:kern w:val="0"/>
          <w:sz w:val="28"/>
          <w:szCs w:val="23"/>
        </w:rPr>
        <w:t>晋</w:t>
      </w:r>
      <w:r w:rsidRPr="0055724E">
        <w:rPr>
          <w:rFonts w:cs="宋体"/>
          <w:kern w:val="0"/>
          <w:sz w:val="28"/>
          <w:szCs w:val="24"/>
        </w:rPr>
        <w:t>、楚、齊、秦四國地位相當，“</w:t>
      </w:r>
      <w:r w:rsidRPr="0055724E">
        <w:rPr>
          <w:rFonts w:cs="宋体"/>
          <w:color w:val="000000"/>
          <w:kern w:val="0"/>
          <w:sz w:val="28"/>
          <w:szCs w:val="23"/>
        </w:rPr>
        <w:t>晋</w:t>
      </w:r>
      <w:r w:rsidRPr="0055724E">
        <w:rPr>
          <w:rFonts w:cs="宋体"/>
          <w:kern w:val="0"/>
          <w:sz w:val="28"/>
          <w:szCs w:val="24"/>
        </w:rPr>
        <w:t>之不能於齊，猶楚之不能於秦”意思就是</w:t>
      </w:r>
      <w:r w:rsidRPr="0055724E">
        <w:rPr>
          <w:rFonts w:cs="宋体"/>
          <w:color w:val="000000"/>
          <w:kern w:val="0"/>
          <w:sz w:val="28"/>
          <w:szCs w:val="23"/>
        </w:rPr>
        <w:t>説晋</w:t>
      </w:r>
      <w:r w:rsidRPr="0055724E">
        <w:rPr>
          <w:rFonts w:cs="宋体"/>
          <w:kern w:val="0"/>
          <w:sz w:val="28"/>
          <w:szCs w:val="24"/>
        </w:rPr>
        <w:t>國不能對齊國</w:t>
      </w:r>
      <w:r w:rsidRPr="0055724E">
        <w:rPr>
          <w:rFonts w:cs="宋体"/>
          <w:kern w:val="0"/>
          <w:sz w:val="28"/>
          <w:szCs w:val="24"/>
        </w:rPr>
        <w:lastRenderedPageBreak/>
        <w:t>做到的事</w:t>
      </w:r>
      <w:r w:rsidRPr="0055724E">
        <w:rPr>
          <w:rFonts w:cs="宋体"/>
          <w:b/>
          <w:bCs/>
          <w:color w:val="A0A0A0"/>
          <w:kern w:val="0"/>
          <w:sz w:val="21"/>
          <w:szCs w:val="21"/>
        </w:rPr>
        <w:t>（指晋君不能使齊君朝楚）</w:t>
      </w:r>
      <w:r w:rsidRPr="0055724E">
        <w:rPr>
          <w:rFonts w:cs="宋体"/>
          <w:kern w:val="0"/>
          <w:sz w:val="28"/>
          <w:szCs w:val="24"/>
        </w:rPr>
        <w:t>，也就是楚國不能對秦國做到的事</w:t>
      </w:r>
      <w:r w:rsidRPr="0055724E">
        <w:rPr>
          <w:rFonts w:cs="宋体"/>
          <w:b/>
          <w:bCs/>
          <w:color w:val="A0A0A0"/>
          <w:kern w:val="0"/>
          <w:sz w:val="21"/>
          <w:szCs w:val="21"/>
        </w:rPr>
        <w:t>（指楚君不能使秦君朝晋）</w:t>
      </w:r>
      <w:r w:rsidRPr="0055724E">
        <w:rPr>
          <w:rFonts w:cs="宋体"/>
          <w:kern w:val="0"/>
          <w:sz w:val="28"/>
          <w:szCs w:val="24"/>
        </w:rPr>
        <w:t>，這就是</w:t>
      </w:r>
      <w:r w:rsidRPr="0055724E">
        <w:rPr>
          <w:rFonts w:cs="宋体"/>
          <w:color w:val="000000"/>
          <w:kern w:val="0"/>
          <w:sz w:val="28"/>
          <w:szCs w:val="23"/>
        </w:rPr>
        <w:t>説</w:t>
      </w:r>
      <w:r w:rsidRPr="0055724E">
        <w:rPr>
          <w:rFonts w:cs="宋体"/>
          <w:kern w:val="0"/>
          <w:sz w:val="28"/>
          <w:szCs w:val="24"/>
        </w:rPr>
        <w:t>子木的想法是不現實的。</w:t>
      </w:r>
    </w:p>
    <w:p w14:paraId="4580782F" w14:textId="60FE508F"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從上面所講的又一種“善”“能”用法相近的實例，可以進一步看清楚“善”跟“能”在詞義上的密切關係。</w:t>
      </w:r>
    </w:p>
    <w:p w14:paraId="17657444" w14:textId="77777777" w:rsidR="00445DA3" w:rsidRPr="0055724E" w:rsidRDefault="00445DA3" w:rsidP="00445DA3">
      <w:pPr>
        <w:widowControl/>
        <w:spacing w:beforeLines="50" w:before="180" w:line="480" w:lineRule="auto"/>
        <w:ind w:firstLine="480"/>
        <w:jc w:val="left"/>
        <w:rPr>
          <w:rFonts w:cs="宋体"/>
          <w:kern w:val="0"/>
          <w:sz w:val="28"/>
          <w:szCs w:val="24"/>
        </w:rPr>
      </w:pPr>
    </w:p>
    <w:p w14:paraId="61F002B1" w14:textId="77777777" w:rsidR="009F4F5A" w:rsidRPr="0055724E" w:rsidRDefault="009F4F5A" w:rsidP="00445DA3">
      <w:pPr>
        <w:widowControl/>
        <w:spacing w:beforeLines="50" w:before="180" w:line="480" w:lineRule="auto"/>
        <w:rPr>
          <w:rFonts w:ascii="Helvetica Neue" w:hAnsi="Helvetica Neue" w:cs="宋体"/>
          <w:color w:val="616161"/>
          <w:spacing w:val="8"/>
          <w:kern w:val="0"/>
          <w:sz w:val="28"/>
          <w:szCs w:val="24"/>
        </w:rPr>
      </w:pPr>
      <w:r w:rsidRPr="0055724E">
        <w:rPr>
          <w:rFonts w:ascii="Helvetica Neue" w:hAnsi="Helvetica Neue" w:cs="宋体"/>
          <w:b/>
          <w:bCs/>
          <w:color w:val="353736"/>
          <w:spacing w:val="8"/>
          <w:kern w:val="0"/>
          <w:sz w:val="28"/>
          <w:szCs w:val="23"/>
        </w:rPr>
        <w:t>（五）稱贊別人把某事做得很好的單用的</w:t>
      </w:r>
      <w:r w:rsidRPr="0055724E">
        <w:rPr>
          <w:rFonts w:ascii="Helvetica Neue" w:hAnsi="Helvetica Neue" w:cs="宋体"/>
          <w:b/>
          <w:bCs/>
          <w:color w:val="353736"/>
          <w:spacing w:val="8"/>
          <w:kern w:val="0"/>
          <w:sz w:val="28"/>
          <w:szCs w:val="23"/>
        </w:rPr>
        <w:t>“</w:t>
      </w:r>
      <w:r w:rsidRPr="0055724E">
        <w:rPr>
          <w:rFonts w:ascii="Helvetica Neue" w:hAnsi="Helvetica Neue" w:cs="宋体"/>
          <w:b/>
          <w:bCs/>
          <w:color w:val="353736"/>
          <w:spacing w:val="8"/>
          <w:kern w:val="0"/>
          <w:sz w:val="28"/>
          <w:szCs w:val="23"/>
        </w:rPr>
        <w:t>善</w:t>
      </w:r>
      <w:r w:rsidRPr="0055724E">
        <w:rPr>
          <w:rFonts w:ascii="Helvetica Neue" w:hAnsi="Helvetica Neue" w:cs="宋体"/>
          <w:b/>
          <w:bCs/>
          <w:color w:val="353736"/>
          <w:spacing w:val="8"/>
          <w:kern w:val="0"/>
          <w:sz w:val="28"/>
          <w:szCs w:val="23"/>
        </w:rPr>
        <w:t>”</w:t>
      </w:r>
    </w:p>
    <w:p w14:paraId="69B8F8A3" w14:textId="77777777"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稱贊別人把某事做得很好，也往往説</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。例如：</w:t>
      </w:r>
    </w:p>
    <w:p w14:paraId="1F5E69BC" w14:textId="3F477811"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1</w:t>
      </w:r>
      <w:r w:rsidRPr="0055724E">
        <w:rPr>
          <w:rFonts w:ascii="Helvetica Neue" w:hAnsi="Helvetica Neue" w:cs="宋体"/>
          <w:color w:val="353736"/>
          <w:spacing w:val="8"/>
          <w:kern w:val="0"/>
          <w:sz w:val="28"/>
          <w:szCs w:val="23"/>
        </w:rPr>
        <w:t>）《孫子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軍形》篇：</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見勝不過眾人之所知，非善之善者也。</w:t>
      </w:r>
      <w:r w:rsidRPr="0055724E">
        <w:rPr>
          <w:rFonts w:ascii="Helvetica Neue" w:eastAsia="楷体" w:hAnsi="Helvetica Neue" w:cs="宋体"/>
          <w:b/>
          <w:bCs/>
          <w:color w:val="000000" w:themeColor="text1"/>
          <w:spacing w:val="8"/>
          <w:kern w:val="0"/>
          <w:sz w:val="28"/>
          <w:szCs w:val="23"/>
          <w:u w:val="single"/>
        </w:rPr>
        <w:t>戰勝而天下曰善</w:t>
      </w:r>
      <w:r w:rsidRPr="0055724E">
        <w:rPr>
          <w:rFonts w:ascii="Helvetica Neue" w:eastAsia="楷体" w:hAnsi="Helvetica Neue" w:cs="宋体"/>
          <w:color w:val="000000" w:themeColor="text1"/>
          <w:spacing w:val="8"/>
          <w:kern w:val="0"/>
          <w:sz w:val="28"/>
          <w:szCs w:val="23"/>
        </w:rPr>
        <w:t>，非善之善者也</w:t>
      </w:r>
      <w:r w:rsidRPr="00965627">
        <w:rPr>
          <w:rStyle w:val="ae"/>
          <w:rFonts w:ascii="Helvetica Neue" w:eastAsia="楷体" w:hAnsi="Helvetica Neue" w:cs="宋体"/>
          <w:color w:val="000000" w:themeColor="text1"/>
          <w:spacing w:val="8"/>
          <w:kern w:val="0"/>
          <w:sz w:val="28"/>
          <w:szCs w:val="23"/>
        </w:rPr>
        <w:endnoteReference w:id="87"/>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故善戰者之勝也，無智名，無勇功。</w:t>
      </w:r>
      <w:r w:rsidRPr="0055724E">
        <w:rPr>
          <w:rFonts w:ascii="Helvetica Neue" w:hAnsi="Helvetica Neue" w:cs="宋体"/>
          <w:color w:val="353736"/>
          <w:spacing w:val="8"/>
          <w:kern w:val="0"/>
          <w:sz w:val="28"/>
          <w:szCs w:val="23"/>
        </w:rPr>
        <w:t>”</w:t>
      </w:r>
      <w:r w:rsidRPr="00965627">
        <w:rPr>
          <w:rStyle w:val="ae"/>
          <w:rFonts w:ascii="Helvetica Neue" w:hAnsi="Helvetica Neue" w:cs="宋体"/>
          <w:color w:val="353736"/>
          <w:spacing w:val="8"/>
          <w:kern w:val="0"/>
          <w:sz w:val="28"/>
          <w:szCs w:val="23"/>
        </w:rPr>
        <w:endnoteReference w:id="88"/>
      </w:r>
      <w:r w:rsidRPr="0055724E">
        <w:rPr>
          <w:rFonts w:ascii="Helvetica Neue" w:hAnsi="Helvetica Neue" w:cs="宋体"/>
          <w:color w:val="353736"/>
          <w:spacing w:val="8"/>
          <w:kern w:val="0"/>
          <w:sz w:val="28"/>
          <w:szCs w:val="23"/>
        </w:rPr>
        <w:t>從</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戰勝而天下曰善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一句的上下文看，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天下曰善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顯然是天下人都稱贊取勝者用兵用得很好、打仗打得很好的意思。《孫子》一書强調真正善於取勝的人，並非單靠在戰場上打仗打得好，而是能創造利用戰場之外的各種爲取勝所需要的條件，以保證戰爭的勝利。眾人通常只注意到打仗是否打得好，如果取得勝利靠的是一般人都看得到的在戰場上打仗打得好的優勢，那就不是真正的善者。所以孫子在這裏要説</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戰勝而天下曰善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並非真正的善者。關於</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之義，後面還要專門討論</w:t>
      </w:r>
      <w:r w:rsidRPr="0055724E">
        <w:rPr>
          <w:rFonts w:ascii="Helvetica Neue" w:hAnsi="Helvetica Neue" w:cs="宋体"/>
          <w:color w:val="353736"/>
          <w:spacing w:val="8"/>
          <w:kern w:val="0"/>
          <w:sz w:val="18"/>
          <w:szCs w:val="18"/>
        </w:rPr>
        <w:t>［參看三（一）］</w:t>
      </w:r>
      <w:r w:rsidRPr="0055724E">
        <w:rPr>
          <w:rFonts w:ascii="Helvetica Neue" w:hAnsi="Helvetica Neue" w:cs="宋体"/>
          <w:color w:val="353736"/>
          <w:spacing w:val="8"/>
          <w:kern w:val="0"/>
          <w:sz w:val="28"/>
          <w:szCs w:val="23"/>
        </w:rPr>
        <w:t>。</w:t>
      </w:r>
    </w:p>
    <w:p w14:paraId="388BD188" w14:textId="589AD736"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lastRenderedPageBreak/>
        <w:t>（</w:t>
      </w:r>
      <w:r w:rsidR="00687FDE" w:rsidRPr="00687FDE">
        <w:rPr>
          <w:rFonts w:hAnsi="Helvetica Neue" w:cs="宋体"/>
          <w:color w:val="353736"/>
          <w:spacing w:val="8"/>
          <w:kern w:val="0"/>
          <w:sz w:val="28"/>
          <w:szCs w:val="23"/>
        </w:rPr>
        <w:t>2</w:t>
      </w:r>
      <w:r w:rsidRPr="0055724E">
        <w:rPr>
          <w:rFonts w:ascii="Helvetica Neue" w:hAnsi="Helvetica Neue" w:cs="宋体"/>
          <w:color w:val="353736"/>
          <w:spacing w:val="8"/>
          <w:kern w:val="0"/>
          <w:sz w:val="28"/>
          <w:szCs w:val="23"/>
        </w:rPr>
        <w:t>）《論語</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顏淵》：</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齊景公問政於孔子。孔子對曰：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君君，臣臣，父父，子子。</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公曰：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b/>
          <w:bCs/>
          <w:color w:val="000000" w:themeColor="text1"/>
          <w:spacing w:val="8"/>
          <w:kern w:val="0"/>
          <w:sz w:val="28"/>
          <w:szCs w:val="23"/>
          <w:u w:val="single"/>
        </w:rPr>
        <w:t>善哉</w:t>
      </w:r>
      <w:r w:rsidRPr="0055724E">
        <w:rPr>
          <w:rFonts w:ascii="Helvetica Neue" w:eastAsia="楷体" w:hAnsi="Helvetica Neue" w:cs="宋体"/>
          <w:color w:val="000000" w:themeColor="text1"/>
          <w:spacing w:val="8"/>
          <w:kern w:val="0"/>
          <w:sz w:val="28"/>
          <w:szCs w:val="23"/>
        </w:rPr>
        <w:t>！信如君不君，臣不臣，父不父，子不子，雖有粟，吾得而食諸？</w:t>
      </w:r>
      <w:r w:rsidRPr="0055724E">
        <w:rPr>
          <w:rFonts w:ascii="Helvetica Neue" w:eastAsia="楷体" w:hAnsi="Helvetica Neue" w:cs="宋体"/>
          <w:color w:val="000000" w:themeColor="text1"/>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善哉</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應該理解爲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説得好！</w:t>
      </w:r>
      <w:r w:rsidRPr="0055724E">
        <w:rPr>
          <w:rFonts w:ascii="Helvetica Neue" w:hAnsi="Helvetica Neue" w:cs="宋体"/>
          <w:color w:val="353736"/>
          <w:spacing w:val="8"/>
          <w:kern w:val="0"/>
          <w:sz w:val="28"/>
          <w:szCs w:val="23"/>
        </w:rPr>
        <w:t>”</w:t>
      </w:r>
    </w:p>
    <w:p w14:paraId="6F3EB5C0" w14:textId="43628591"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3</w:t>
      </w:r>
      <w:r w:rsidRPr="0055724E">
        <w:rPr>
          <w:rFonts w:ascii="Helvetica Neue" w:hAnsi="Helvetica Neue" w:cs="宋体"/>
          <w:color w:val="353736"/>
          <w:spacing w:val="8"/>
          <w:kern w:val="0"/>
          <w:sz w:val="28"/>
          <w:szCs w:val="23"/>
        </w:rPr>
        <w:t>）《論語</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顏淵》：</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樊遲從游於舞雩之下，曰：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敢問崇德、脩慝、辨惑。</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子曰：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b/>
          <w:bCs/>
          <w:color w:val="000000" w:themeColor="text1"/>
          <w:spacing w:val="8"/>
          <w:kern w:val="0"/>
          <w:sz w:val="28"/>
          <w:szCs w:val="23"/>
          <w:u w:val="single"/>
        </w:rPr>
        <w:t>善哉問</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善哉問</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就是稱贊樊遲這個問題提得好。楊伯峻《論語譯注》譯</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善哉問</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問得好！</w:t>
      </w:r>
      <w:r w:rsidRPr="0055724E">
        <w:rPr>
          <w:rFonts w:ascii="Helvetica Neue" w:hAnsi="Helvetica Neue" w:cs="宋体"/>
          <w:color w:val="353736"/>
          <w:spacing w:val="8"/>
          <w:kern w:val="0"/>
          <w:sz w:val="28"/>
          <w:szCs w:val="23"/>
        </w:rPr>
        <w:t>”</w:t>
      </w:r>
      <w:r w:rsidRPr="00965627">
        <w:rPr>
          <w:rStyle w:val="ae"/>
          <w:rFonts w:ascii="Helvetica Neue" w:hAnsi="Helvetica Neue" w:cs="宋体"/>
          <w:color w:val="353736"/>
          <w:spacing w:val="8"/>
          <w:kern w:val="0"/>
          <w:sz w:val="28"/>
          <w:szCs w:val="23"/>
        </w:rPr>
        <w:endnoteReference w:id="89"/>
      </w:r>
      <w:r w:rsidRPr="0055724E">
        <w:rPr>
          <w:rFonts w:ascii="Helvetica Neue" w:hAnsi="Helvetica Neue" w:cs="宋体"/>
          <w:color w:val="353736"/>
          <w:spacing w:val="8"/>
          <w:kern w:val="0"/>
          <w:sz w:val="28"/>
          <w:szCs w:val="23"/>
        </w:rPr>
        <w:t>很傳神。</w:t>
      </w:r>
    </w:p>
    <w:p w14:paraId="5AB5992E" w14:textId="6A2AE7EB"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4</w:t>
      </w:r>
      <w:r w:rsidRPr="0055724E">
        <w:rPr>
          <w:rFonts w:ascii="Helvetica Neue" w:hAnsi="Helvetica Neue" w:cs="宋体"/>
          <w:color w:val="353736"/>
          <w:spacing w:val="8"/>
          <w:kern w:val="0"/>
          <w:sz w:val="28"/>
          <w:szCs w:val="23"/>
        </w:rPr>
        <w:t>）《孟子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梁惠王下》記孟子勸齊宣王行王政，爲他講述了文王所行的王政，</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王曰：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b/>
          <w:bCs/>
          <w:color w:val="000000" w:themeColor="text1"/>
          <w:spacing w:val="8"/>
          <w:kern w:val="0"/>
          <w:sz w:val="28"/>
          <w:szCs w:val="23"/>
          <w:u w:val="single"/>
        </w:rPr>
        <w:t>善哉言乎</w:t>
      </w:r>
      <w:r w:rsidRPr="0055724E">
        <w:rPr>
          <w:rFonts w:ascii="Helvetica Neue" w:eastAsia="楷体" w:hAnsi="Helvetica Neue" w:cs="宋体"/>
          <w:color w:val="000000" w:themeColor="text1"/>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宣王所説的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善哉</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是稱贊孟子的話講得好。孟子接著説</w:t>
      </w:r>
      <w:r w:rsidRPr="0055724E">
        <w:rPr>
          <w:rFonts w:ascii="Helvetica Neue" w:hAnsi="Helvetica Neue" w:cs="宋体"/>
          <w:color w:val="353736"/>
          <w:spacing w:val="8"/>
          <w:kern w:val="0"/>
          <w:sz w:val="28"/>
          <w:szCs w:val="23"/>
        </w:rPr>
        <w:t>“</w:t>
      </w:r>
      <w:r w:rsidRPr="0055724E">
        <w:rPr>
          <w:rFonts w:ascii="Helvetica Neue" w:eastAsia="楷体" w:hAnsi="Helvetica Neue" w:cs="宋体"/>
          <w:b/>
          <w:bCs/>
          <w:color w:val="000000" w:themeColor="text1"/>
          <w:spacing w:val="8"/>
          <w:kern w:val="0"/>
          <w:sz w:val="28"/>
          <w:szCs w:val="23"/>
          <w:u w:val="single"/>
        </w:rPr>
        <w:t>王如善之</w:t>
      </w:r>
      <w:r w:rsidRPr="0055724E">
        <w:rPr>
          <w:rFonts w:ascii="Helvetica Neue" w:eastAsia="楷体" w:hAnsi="Helvetica Neue" w:cs="宋体"/>
          <w:color w:val="000000" w:themeColor="text1"/>
          <w:spacing w:val="8"/>
          <w:kern w:val="0"/>
          <w:sz w:val="28"/>
          <w:szCs w:val="23"/>
        </w:rPr>
        <w:t>，則何爲不行</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，這個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是意動用法。</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王如善之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的意思可以理解爲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王如果認爲我的話説得好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p>
    <w:p w14:paraId="53C69A78" w14:textId="4023A37E"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5</w:t>
      </w:r>
      <w:r w:rsidRPr="0055724E">
        <w:rPr>
          <w:rFonts w:ascii="Helvetica Neue" w:hAnsi="Helvetica Neue" w:cs="宋体"/>
          <w:color w:val="353736"/>
          <w:spacing w:val="8"/>
          <w:kern w:val="0"/>
          <w:sz w:val="28"/>
          <w:szCs w:val="23"/>
        </w:rPr>
        <w:t>）《禮記</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檀弓上》：</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孔子在衛，有送葬者，而夫子觀之，曰：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b/>
          <w:bCs/>
          <w:color w:val="000000" w:themeColor="text1"/>
          <w:spacing w:val="8"/>
          <w:kern w:val="0"/>
          <w:sz w:val="28"/>
          <w:szCs w:val="23"/>
          <w:u w:val="single"/>
        </w:rPr>
        <w:t>善哉爲喪乎</w:t>
      </w:r>
      <w:r w:rsidRPr="0055724E">
        <w:rPr>
          <w:rFonts w:ascii="Helvetica Neue" w:eastAsia="楷体" w:hAnsi="Helvetica Neue" w:cs="宋体"/>
          <w:color w:val="000000" w:themeColor="text1"/>
          <w:spacing w:val="8"/>
          <w:kern w:val="0"/>
          <w:sz w:val="28"/>
          <w:szCs w:val="23"/>
        </w:rPr>
        <w:t>！足以爲法矣。小子識之。</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子貢曰：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b/>
          <w:bCs/>
          <w:color w:val="000000" w:themeColor="text1"/>
          <w:spacing w:val="8"/>
          <w:kern w:val="0"/>
          <w:sz w:val="28"/>
          <w:szCs w:val="23"/>
          <w:u w:val="single"/>
        </w:rPr>
        <w:t>夫子何善爾</w:t>
      </w:r>
      <w:r w:rsidRPr="0055724E">
        <w:rPr>
          <w:rFonts w:ascii="Helvetica Neue" w:hAnsi="Helvetica Neue" w:cs="宋体"/>
          <w:color w:val="353736"/>
          <w:spacing w:val="8"/>
          <w:kern w:val="0"/>
          <w:sz w:val="18"/>
          <w:szCs w:val="18"/>
        </w:rPr>
        <w:t>（按：一般訓此</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爾</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爲</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此</w:t>
      </w:r>
      <w:r w:rsidRPr="0055724E">
        <w:rPr>
          <w:rFonts w:ascii="Helvetica Neue" w:hAnsi="Helvetica Neue" w:cs="宋体"/>
          <w:color w:val="353736"/>
          <w:spacing w:val="8"/>
          <w:kern w:val="0"/>
          <w:sz w:val="18"/>
          <w:szCs w:val="18"/>
        </w:rPr>
        <w:t>”</w:t>
      </w:r>
      <w:r>
        <w:rPr>
          <w:rStyle w:val="ae"/>
          <w:rFonts w:ascii="Helvetica Neue" w:hAnsi="Helvetica Neue" w:cs="宋体"/>
          <w:color w:val="353736"/>
          <w:spacing w:val="8"/>
          <w:kern w:val="0"/>
          <w:sz w:val="18"/>
          <w:szCs w:val="18"/>
        </w:rPr>
        <w:endnoteReference w:id="90"/>
      </w:r>
      <w:r w:rsidRPr="0055724E">
        <w:rPr>
          <w:rFonts w:ascii="Helvetica Neue" w:hAnsi="Helvetica Neue" w:cs="宋体"/>
          <w:color w:val="353736"/>
          <w:spacing w:val="8"/>
          <w:kern w:val="0"/>
          <w:sz w:val="18"/>
          <w:szCs w:val="18"/>
        </w:rPr>
        <w:t>）</w:t>
      </w:r>
      <w:r w:rsidRPr="0055724E">
        <w:rPr>
          <w:rFonts w:ascii="Helvetica Neue" w:eastAsia="楷体" w:hAnsi="Helvetica Neue" w:cs="宋体"/>
          <w:b/>
          <w:bCs/>
          <w:color w:val="000000" w:themeColor="text1"/>
          <w:spacing w:val="8"/>
          <w:kern w:val="0"/>
          <w:sz w:val="28"/>
          <w:szCs w:val="23"/>
          <w:u w:val="single"/>
        </w:rPr>
        <w:t>也</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其往也如慕，其反也如疑。</w:t>
      </w:r>
      <w:r w:rsidRPr="0055724E">
        <w:rPr>
          <w:rFonts w:ascii="Helvetica Neue" w:eastAsia="楷体" w:hAnsi="Helvetica Neue" w:cs="宋体"/>
          <w:color w:val="000000" w:themeColor="text1"/>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孔子認爲他所見的喪事辦得很好，所以稱贊説</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善哉爲喪乎</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。子貢</w:t>
      </w:r>
      <w:r w:rsidRPr="0055724E">
        <w:rPr>
          <w:rFonts w:ascii="Helvetica Neue" w:hAnsi="Helvetica Neue" w:cs="宋体"/>
          <w:color w:val="353736"/>
          <w:spacing w:val="8"/>
          <w:kern w:val="0"/>
          <w:sz w:val="28"/>
          <w:szCs w:val="23"/>
        </w:rPr>
        <w:lastRenderedPageBreak/>
        <w:t>説</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夫子何善爾也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，是問孔子爲什麼認爲這場喪事辦得很好。子貢講的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可以看作</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的意動用法。</w:t>
      </w:r>
    </w:p>
    <w:p w14:paraId="54E626A0" w14:textId="690AD719"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6</w:t>
      </w:r>
      <w:r w:rsidRPr="0055724E">
        <w:rPr>
          <w:rFonts w:ascii="Helvetica Neue" w:hAnsi="Helvetica Neue" w:cs="宋体"/>
          <w:color w:val="353736"/>
          <w:spacing w:val="8"/>
          <w:kern w:val="0"/>
          <w:sz w:val="28"/>
          <w:szCs w:val="23"/>
        </w:rPr>
        <w:t>）《左傳</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襄公二十七年》記趙孟</w:t>
      </w:r>
      <w:r w:rsidRPr="0055724E">
        <w:rPr>
          <w:rFonts w:ascii="Helvetica Neue" w:hAnsi="Helvetica Neue" w:cs="宋体"/>
          <w:color w:val="353736"/>
          <w:spacing w:val="8"/>
          <w:kern w:val="0"/>
          <w:sz w:val="18"/>
          <w:szCs w:val="18"/>
        </w:rPr>
        <w:t>（趙文子）</w:t>
      </w:r>
      <w:r w:rsidRPr="0055724E">
        <w:rPr>
          <w:rFonts w:ascii="Helvetica Neue" w:hAnsi="Helvetica Neue" w:cs="宋体"/>
          <w:color w:val="353736"/>
          <w:spacing w:val="8"/>
          <w:kern w:val="0"/>
          <w:sz w:val="28"/>
          <w:szCs w:val="23"/>
        </w:rPr>
        <w:t>在鄭人招待他的宴會上稱贊子展賦詩賦得好也用</w:t>
      </w:r>
      <w:r w:rsidRPr="0055724E">
        <w:rPr>
          <w:rFonts w:ascii="Helvetica Neue" w:hAnsi="Helvetica Neue" w:cs="宋体"/>
          <w:color w:val="353736"/>
          <w:spacing w:val="8"/>
          <w:kern w:val="0"/>
          <w:sz w:val="28"/>
          <w:szCs w:val="23"/>
        </w:rPr>
        <w:t>“</w:t>
      </w:r>
      <w:r w:rsidRPr="0055724E">
        <w:rPr>
          <w:rFonts w:ascii="Helvetica Neue" w:eastAsia="楷体" w:hAnsi="Helvetica Neue" w:cs="宋体"/>
          <w:b/>
          <w:bCs/>
          <w:color w:val="000000" w:themeColor="text1"/>
          <w:spacing w:val="8"/>
          <w:kern w:val="0"/>
          <w:sz w:val="28"/>
          <w:szCs w:val="23"/>
          <w:u w:val="single"/>
        </w:rPr>
        <w:t>善哉</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之語。</w:t>
      </w:r>
    </w:p>
    <w:p w14:paraId="5D865CCE" w14:textId="75BC1436"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7</w:t>
      </w:r>
      <w:r w:rsidRPr="0055724E">
        <w:rPr>
          <w:rFonts w:ascii="Helvetica Neue" w:hAnsi="Helvetica Neue" w:cs="宋体"/>
          <w:color w:val="353736"/>
          <w:spacing w:val="8"/>
          <w:kern w:val="0"/>
          <w:sz w:val="28"/>
          <w:szCs w:val="23"/>
        </w:rPr>
        <w:t>）《晏子春秋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外篇》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晏子没左右諛弦章諫景公賜之魚第十八</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晏子没十有七年，景公飲諸大夫酒。公射出質，堂上</w:t>
      </w:r>
      <w:r w:rsidRPr="0055724E">
        <w:rPr>
          <w:rFonts w:ascii="Helvetica Neue" w:eastAsia="楷体" w:hAnsi="Helvetica Neue" w:cs="宋体"/>
          <w:b/>
          <w:bCs/>
          <w:color w:val="000000" w:themeColor="text1"/>
          <w:spacing w:val="8"/>
          <w:kern w:val="0"/>
          <w:sz w:val="28"/>
          <w:szCs w:val="23"/>
          <w:u w:val="single"/>
        </w:rPr>
        <w:t>唱善</w:t>
      </w:r>
      <w:r w:rsidRPr="0055724E">
        <w:rPr>
          <w:rFonts w:ascii="Helvetica Neue" w:eastAsia="楷体" w:hAnsi="Helvetica Neue" w:cs="宋体"/>
          <w:color w:val="000000" w:themeColor="text1"/>
          <w:spacing w:val="8"/>
          <w:kern w:val="0"/>
          <w:sz w:val="28"/>
          <w:szCs w:val="23"/>
        </w:rPr>
        <w:t>若出一口。</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唱善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，義近於現在所説的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喝彩</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，表示對齊景公射術的贊美。</w:t>
      </w:r>
    </w:p>
    <w:p w14:paraId="3C0AAF49" w14:textId="2A2A00EA" w:rsidR="009F4F5A" w:rsidRDefault="009F4F5A" w:rsidP="00445DA3">
      <w:pPr>
        <w:widowControl/>
        <w:spacing w:beforeLines="50" w:before="180" w:line="480" w:lineRule="auto"/>
        <w:ind w:firstLine="480"/>
        <w:rPr>
          <w:rFonts w:ascii="Helvetica Neue" w:hAnsi="Helvetica Neue" w:cs="宋体"/>
          <w:color w:val="353736"/>
          <w:spacing w:val="8"/>
          <w:kern w:val="0"/>
          <w:sz w:val="28"/>
          <w:szCs w:val="23"/>
        </w:rPr>
      </w:pPr>
      <w:r w:rsidRPr="0055724E">
        <w:rPr>
          <w:rFonts w:ascii="Helvetica Neue" w:hAnsi="Helvetica Neue" w:cs="宋体"/>
          <w:color w:val="353736"/>
          <w:spacing w:val="8"/>
          <w:kern w:val="0"/>
          <w:sz w:val="28"/>
          <w:szCs w:val="23"/>
        </w:rPr>
        <w:t>這種</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往往被人簡單地理解爲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，我們認爲不够確切。</w:t>
      </w:r>
    </w:p>
    <w:p w14:paraId="2871CAEE" w14:textId="77777777" w:rsidR="00445DA3" w:rsidRPr="0055724E" w:rsidRDefault="00445DA3" w:rsidP="00445DA3">
      <w:pPr>
        <w:widowControl/>
        <w:spacing w:beforeLines="50" w:before="180" w:line="480" w:lineRule="auto"/>
        <w:ind w:firstLine="480"/>
        <w:rPr>
          <w:rFonts w:ascii="Helvetica Neue" w:hAnsi="Helvetica Neue" w:cs="宋体"/>
          <w:color w:val="616161"/>
          <w:spacing w:val="8"/>
          <w:kern w:val="0"/>
          <w:sz w:val="28"/>
          <w:szCs w:val="24"/>
        </w:rPr>
      </w:pPr>
    </w:p>
    <w:p w14:paraId="150EF00D" w14:textId="77777777" w:rsidR="009F4F5A" w:rsidRPr="0055724E" w:rsidRDefault="009F4F5A" w:rsidP="00445DA3">
      <w:pPr>
        <w:widowControl/>
        <w:spacing w:beforeLines="50" w:before="180" w:line="480" w:lineRule="auto"/>
        <w:rPr>
          <w:rFonts w:ascii="Helvetica Neue" w:hAnsi="Helvetica Neue" w:cs="宋体"/>
          <w:color w:val="616161"/>
          <w:spacing w:val="8"/>
          <w:kern w:val="0"/>
          <w:sz w:val="28"/>
          <w:szCs w:val="24"/>
        </w:rPr>
      </w:pPr>
      <w:r w:rsidRPr="0055724E">
        <w:rPr>
          <w:rFonts w:ascii="Helvetica Neue" w:hAnsi="Helvetica Neue" w:cs="宋体"/>
          <w:b/>
          <w:bCs/>
          <w:color w:val="353736"/>
          <w:spacing w:val="8"/>
          <w:kern w:val="0"/>
          <w:sz w:val="28"/>
          <w:szCs w:val="23"/>
        </w:rPr>
        <w:t>（六）此類</w:t>
      </w:r>
      <w:r w:rsidRPr="0055724E">
        <w:rPr>
          <w:rFonts w:ascii="Helvetica Neue" w:hAnsi="Helvetica Neue" w:cs="宋体"/>
          <w:b/>
          <w:bCs/>
          <w:color w:val="353736"/>
          <w:spacing w:val="8"/>
          <w:kern w:val="0"/>
          <w:sz w:val="28"/>
          <w:szCs w:val="23"/>
        </w:rPr>
        <w:t>“</w:t>
      </w:r>
      <w:r w:rsidRPr="0055724E">
        <w:rPr>
          <w:rFonts w:ascii="Helvetica Neue" w:hAnsi="Helvetica Neue" w:cs="宋体"/>
          <w:b/>
          <w:bCs/>
          <w:color w:val="353736"/>
          <w:spacing w:val="8"/>
          <w:kern w:val="0"/>
          <w:sz w:val="28"/>
          <w:szCs w:val="23"/>
        </w:rPr>
        <w:t>善</w:t>
      </w:r>
      <w:r w:rsidRPr="0055724E">
        <w:rPr>
          <w:rFonts w:ascii="Helvetica Neue" w:hAnsi="Helvetica Neue" w:cs="宋体"/>
          <w:b/>
          <w:bCs/>
          <w:color w:val="353736"/>
          <w:spacing w:val="8"/>
          <w:kern w:val="0"/>
          <w:sz w:val="28"/>
          <w:szCs w:val="23"/>
        </w:rPr>
        <w:t>”</w:t>
      </w:r>
      <w:r w:rsidRPr="0055724E">
        <w:rPr>
          <w:rFonts w:ascii="Helvetica Neue" w:hAnsi="Helvetica Neue" w:cs="宋体"/>
          <w:b/>
          <w:bCs/>
          <w:color w:val="353736"/>
          <w:spacing w:val="8"/>
          <w:kern w:val="0"/>
          <w:sz w:val="28"/>
          <w:szCs w:val="23"/>
        </w:rPr>
        <w:t>字用於説明事物的情狀、作用的例子</w:t>
      </w:r>
    </w:p>
    <w:p w14:paraId="3DE68954" w14:textId="77777777"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前面所舉不帶賓語的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都是就人的品質行事而言的，在古書中也有用這種</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字來説事物的情狀、作用的。例如：</w:t>
      </w:r>
    </w:p>
    <w:p w14:paraId="3CE843B3" w14:textId="332B54E0"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1</w:t>
      </w:r>
      <w:r w:rsidRPr="0055724E">
        <w:rPr>
          <w:rFonts w:ascii="Helvetica Neue" w:hAnsi="Helvetica Neue" w:cs="宋体"/>
          <w:color w:val="353736"/>
          <w:spacing w:val="8"/>
          <w:kern w:val="0"/>
          <w:sz w:val="28"/>
          <w:szCs w:val="23"/>
        </w:rPr>
        <w:t>）《詩</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小雅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甫田》：</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禾易長畝，</w:t>
      </w:r>
      <w:r w:rsidRPr="0055724E">
        <w:rPr>
          <w:rFonts w:ascii="Helvetica Neue" w:eastAsia="楷体" w:hAnsi="Helvetica Neue" w:cs="宋体"/>
          <w:b/>
          <w:bCs/>
          <w:color w:val="000000" w:themeColor="text1"/>
          <w:spacing w:val="8"/>
          <w:kern w:val="0"/>
          <w:sz w:val="28"/>
          <w:szCs w:val="23"/>
          <w:u w:val="single"/>
        </w:rPr>
        <w:t>終善且有</w:t>
      </w:r>
      <w:r w:rsidRPr="0055724E">
        <w:rPr>
          <w:rFonts w:ascii="Helvetica Neue" w:eastAsia="楷体" w:hAnsi="Helvetica Neue" w:cs="宋体"/>
          <w:color w:val="000000" w:themeColor="text1"/>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終善且有</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就是既善且多的意思，</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指田中的禾長得很好，禾長得很好跟人把事做得很好相類。</w:t>
      </w:r>
    </w:p>
    <w:p w14:paraId="2297887B" w14:textId="5C7C9738"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lastRenderedPageBreak/>
        <w:t>（</w:t>
      </w:r>
      <w:r w:rsidR="00687FDE" w:rsidRPr="00687FDE">
        <w:rPr>
          <w:rFonts w:hAnsi="Helvetica Neue" w:cs="宋体"/>
          <w:color w:val="353736"/>
          <w:spacing w:val="8"/>
          <w:kern w:val="0"/>
          <w:sz w:val="28"/>
          <w:szCs w:val="23"/>
        </w:rPr>
        <w:t>2</w:t>
      </w:r>
      <w:r w:rsidRPr="0055724E">
        <w:rPr>
          <w:rFonts w:ascii="Helvetica Neue" w:hAnsi="Helvetica Neue" w:cs="宋体"/>
          <w:color w:val="353736"/>
          <w:spacing w:val="8"/>
          <w:kern w:val="0"/>
          <w:sz w:val="28"/>
          <w:szCs w:val="23"/>
        </w:rPr>
        <w:t>）《黃帝内經</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素問</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玉機真藏論第十九》：</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帝曰：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然而</w:t>
      </w:r>
      <w:r w:rsidRPr="0055724E">
        <w:rPr>
          <w:rFonts w:ascii="Helvetica Neue" w:eastAsia="楷体" w:hAnsi="Helvetica Neue" w:cs="宋体"/>
          <w:b/>
          <w:bCs/>
          <w:color w:val="000000" w:themeColor="text1"/>
          <w:spacing w:val="8"/>
          <w:kern w:val="0"/>
          <w:sz w:val="28"/>
          <w:szCs w:val="23"/>
          <w:u w:val="single"/>
        </w:rPr>
        <w:t>脾善、惡</w:t>
      </w:r>
      <w:r w:rsidRPr="0055724E">
        <w:rPr>
          <w:rFonts w:ascii="Helvetica Neue" w:eastAsia="楷体" w:hAnsi="Helvetica Neue" w:cs="宋体"/>
          <w:color w:val="000000" w:themeColor="text1"/>
          <w:spacing w:val="8"/>
          <w:kern w:val="0"/>
          <w:sz w:val="28"/>
          <w:szCs w:val="23"/>
        </w:rPr>
        <w:t>可得見之乎？</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脾之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善、惡</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應指脾的作用好不好，也就是正常不正常</w:t>
      </w:r>
      <w:r w:rsidRPr="00965627">
        <w:rPr>
          <w:rStyle w:val="ae"/>
          <w:rFonts w:ascii="Helvetica Neue" w:hAnsi="Helvetica Neue" w:cs="宋体"/>
          <w:color w:val="353736"/>
          <w:spacing w:val="8"/>
          <w:kern w:val="0"/>
          <w:sz w:val="28"/>
          <w:szCs w:val="23"/>
        </w:rPr>
        <w:endnoteReference w:id="91"/>
      </w:r>
      <w:r w:rsidRPr="0055724E">
        <w:rPr>
          <w:rFonts w:ascii="Helvetica Neue" w:hAnsi="Helvetica Neue" w:cs="宋体"/>
          <w:color w:val="353736"/>
          <w:spacing w:val="8"/>
          <w:kern w:val="0"/>
          <w:sz w:val="28"/>
          <w:szCs w:val="23"/>
        </w:rPr>
        <w:t>。脾的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善、惡</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跟人做事的善與不善有相似之處。</w:t>
      </w:r>
    </w:p>
    <w:p w14:paraId="17F4F45C" w14:textId="77875262"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3</w:t>
      </w:r>
      <w:r w:rsidRPr="0055724E">
        <w:rPr>
          <w:rFonts w:ascii="Helvetica Neue" w:hAnsi="Helvetica Neue" w:cs="宋体"/>
          <w:color w:val="353736"/>
          <w:spacing w:val="8"/>
          <w:kern w:val="0"/>
          <w:sz w:val="28"/>
          <w:szCs w:val="23"/>
        </w:rPr>
        <w:t>）《論語</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八佾》：</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子謂《韶》：</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盡美矣，又</w:t>
      </w:r>
      <w:r w:rsidRPr="0055724E">
        <w:rPr>
          <w:rFonts w:ascii="Helvetica Neue" w:eastAsia="楷体" w:hAnsi="Helvetica Neue" w:cs="宋体"/>
          <w:b/>
          <w:bCs/>
          <w:color w:val="000000" w:themeColor="text1"/>
          <w:spacing w:val="8"/>
          <w:kern w:val="0"/>
          <w:sz w:val="28"/>
          <w:szCs w:val="23"/>
          <w:u w:val="single"/>
        </w:rPr>
        <w:t>盡善</w:t>
      </w:r>
      <w:r w:rsidRPr="0055724E">
        <w:rPr>
          <w:rFonts w:ascii="Helvetica Neue" w:eastAsia="楷体" w:hAnsi="Helvetica Neue" w:cs="宋体"/>
          <w:color w:val="000000" w:themeColor="text1"/>
          <w:spacing w:val="8"/>
          <w:kern w:val="0"/>
          <w:sz w:val="28"/>
          <w:szCs w:val="23"/>
        </w:rPr>
        <w:t>也。</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謂《武》：</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盡美矣，未</w:t>
      </w:r>
      <w:r w:rsidRPr="0055724E">
        <w:rPr>
          <w:rFonts w:ascii="Helvetica Neue" w:eastAsia="楷体" w:hAnsi="Helvetica Neue" w:cs="宋体"/>
          <w:b/>
          <w:bCs/>
          <w:color w:val="000000" w:themeColor="text1"/>
          <w:spacing w:val="8"/>
          <w:kern w:val="0"/>
          <w:sz w:val="28"/>
          <w:szCs w:val="23"/>
          <w:u w:val="single"/>
        </w:rPr>
        <w:t>盡善</w:t>
      </w:r>
      <w:r w:rsidRPr="0055724E">
        <w:rPr>
          <w:rFonts w:ascii="Helvetica Neue" w:eastAsia="楷体" w:hAnsi="Helvetica Neue" w:cs="宋体"/>
          <w:color w:val="000000" w:themeColor="text1"/>
          <w:spacing w:val="8"/>
          <w:kern w:val="0"/>
          <w:sz w:val="28"/>
          <w:szCs w:val="23"/>
        </w:rPr>
        <w:t>也。</w:t>
      </w:r>
      <w:r w:rsidRPr="0055724E">
        <w:rPr>
          <w:rFonts w:ascii="Helvetica Neue" w:eastAsia="楷体" w:hAnsi="Helvetica Neue" w:cs="宋体"/>
          <w:color w:val="000000" w:themeColor="text1"/>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朱熹《集注》説：</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美者，聲、容之盛。</w:t>
      </w:r>
      <w:r w:rsidRPr="0055724E">
        <w:rPr>
          <w:rFonts w:ascii="Helvetica Neue" w:hAnsi="Helvetica Neue" w:cs="宋体"/>
          <w:color w:val="353736"/>
          <w:spacing w:val="8"/>
          <w:kern w:val="0"/>
          <w:sz w:val="28"/>
          <w:szCs w:val="23"/>
        </w:rPr>
        <w:t>”</w:t>
      </w:r>
      <w:r w:rsidRPr="00965627">
        <w:rPr>
          <w:rStyle w:val="ae"/>
          <w:rFonts w:ascii="Helvetica Neue" w:hAnsi="Helvetica Neue" w:cs="宋体"/>
          <w:color w:val="353736"/>
          <w:spacing w:val="8"/>
          <w:kern w:val="0"/>
          <w:sz w:val="28"/>
          <w:szCs w:val="23"/>
        </w:rPr>
        <w:endnoteReference w:id="92"/>
      </w:r>
      <w:r w:rsidRPr="0055724E">
        <w:rPr>
          <w:rFonts w:ascii="Helvetica Neue" w:hAnsi="Helvetica Neue" w:cs="宋体"/>
          <w:color w:val="353736"/>
          <w:spacing w:val="8"/>
          <w:kern w:val="0"/>
          <w:sz w:val="28"/>
          <w:szCs w:val="23"/>
        </w:rPr>
        <w:t>可取。《韶》爲贊揚虞舜的樂舞，《武》爲贊揚武王的樂舞，説解《論語》者多以舜以聖德得天下、武王以殺伐定天下來解釋《韶》之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盡善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、《武》之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未盡善</w:t>
      </w:r>
      <w:r w:rsidRPr="0055724E">
        <w:rPr>
          <w:rFonts w:ascii="Helvetica Neue" w:hAnsi="Helvetica Neue" w:cs="宋体"/>
          <w:color w:val="353736"/>
          <w:spacing w:val="8"/>
          <w:kern w:val="0"/>
          <w:sz w:val="28"/>
          <w:szCs w:val="23"/>
        </w:rPr>
        <w:t>”</w:t>
      </w:r>
      <w:r w:rsidRPr="00965627">
        <w:rPr>
          <w:rStyle w:val="ae"/>
          <w:rFonts w:ascii="Helvetica Neue" w:hAnsi="Helvetica Neue" w:cs="宋体"/>
          <w:color w:val="353736"/>
          <w:spacing w:val="8"/>
          <w:kern w:val="0"/>
          <w:sz w:val="28"/>
          <w:szCs w:val="23"/>
        </w:rPr>
        <w:endnoteReference w:id="93"/>
      </w:r>
      <w:r w:rsidRPr="0055724E">
        <w:rPr>
          <w:rFonts w:ascii="Helvetica Neue" w:hAnsi="Helvetica Neue" w:cs="宋体"/>
          <w:color w:val="353736"/>
          <w:spacing w:val="8"/>
          <w:kern w:val="0"/>
          <w:sz w:val="28"/>
          <w:szCs w:val="23"/>
        </w:rPr>
        <w:t>。我們認爲，孔子的原意似是説《韶》充分發揮了音樂的教化功能，《武》則未然。樂舞的教化功能發揮得好或不好，與人做事做得好或不好相類。</w:t>
      </w:r>
    </w:p>
    <w:p w14:paraId="1529AF2E" w14:textId="4A75515D"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4</w:t>
      </w:r>
      <w:r w:rsidRPr="0055724E">
        <w:rPr>
          <w:rFonts w:ascii="Helvetica Neue" w:hAnsi="Helvetica Neue" w:cs="宋体"/>
          <w:color w:val="353736"/>
          <w:spacing w:val="8"/>
          <w:kern w:val="0"/>
          <w:sz w:val="28"/>
          <w:szCs w:val="23"/>
        </w:rPr>
        <w:t>）郭店《語叢一》簡</w:t>
      </w:r>
      <w:r w:rsidR="00687FDE" w:rsidRPr="00687FDE">
        <w:rPr>
          <w:rFonts w:hAnsi="Helvetica Neue" w:cs="宋体"/>
          <w:color w:val="353736"/>
          <w:spacing w:val="8"/>
          <w:kern w:val="0"/>
          <w:sz w:val="28"/>
          <w:szCs w:val="23"/>
        </w:rPr>
        <w:t>16</w:t>
      </w:r>
      <w:r w:rsidRPr="0055724E">
        <w:rPr>
          <w:rFonts w:ascii="Helvetica Neue" w:hAnsi="Helvetica Neue" w:cs="宋体"/>
          <w:color w:val="353736"/>
          <w:spacing w:val="8"/>
          <w:kern w:val="0"/>
          <w:sz w:val="28"/>
          <w:szCs w:val="23"/>
        </w:rPr>
        <w:t>記</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有美有</w:t>
      </w:r>
      <w:r w:rsidRPr="0055724E">
        <w:rPr>
          <w:rFonts w:ascii="Helvetica Neue" w:eastAsia="楷体" w:hAnsi="Helvetica Neue" w:cs="宋体"/>
          <w:b/>
          <w:bCs/>
          <w:color w:val="000000" w:themeColor="text1"/>
          <w:spacing w:val="8"/>
          <w:kern w:val="0"/>
          <w:sz w:val="28"/>
          <w:szCs w:val="23"/>
          <w:u w:val="single"/>
        </w:rPr>
        <w:t>膳（善）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四字，此語不像見於《語叢一》的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有天有命，有物有名</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等語那樣比較容易理解，劉釗《郭店楚簡校釋》在對此句的解釋中引《荀子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樂論》</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故樂行而志清，禮脩而行成，耳目聰明，血氣和平，移風易俗，天下皆寧，美善相樂</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作爲典籍中</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美善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連稱的例子</w:t>
      </w:r>
      <w:r w:rsidRPr="00965627">
        <w:rPr>
          <w:rStyle w:val="ae"/>
          <w:rFonts w:ascii="Helvetica Neue" w:hAnsi="Helvetica Neue" w:cs="宋体"/>
          <w:color w:val="353736"/>
          <w:spacing w:val="8"/>
          <w:kern w:val="0"/>
          <w:sz w:val="28"/>
          <w:szCs w:val="23"/>
        </w:rPr>
        <w:endnoteReference w:id="94"/>
      </w:r>
      <w:r w:rsidRPr="0055724E">
        <w:rPr>
          <w:rFonts w:ascii="Helvetica Neue" w:hAnsi="Helvetica Neue" w:cs="宋体"/>
          <w:color w:val="353736"/>
          <w:spacing w:val="8"/>
          <w:kern w:val="0"/>
          <w:sz w:val="28"/>
          <w:szCs w:val="23"/>
        </w:rPr>
        <w:t>，很有啟發性。我們懷疑</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有美有膳（善）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也許確是就樂而言的</w:t>
      </w:r>
      <w:r w:rsidRPr="0055724E">
        <w:rPr>
          <w:rFonts w:ascii="Helvetica Neue" w:hAnsi="Helvetica Neue" w:cs="宋体"/>
          <w:color w:val="353736"/>
          <w:spacing w:val="8"/>
          <w:kern w:val="0"/>
          <w:sz w:val="18"/>
          <w:szCs w:val="18"/>
        </w:rPr>
        <w:t>（《語叢一》中頗有提及</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禮</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樂</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之處）</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有美有膳（善）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之語可能就來自上引孔子的話，意思是樂有了</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調</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等的美，才能很好地發揮它的教化作用。東漢</w:t>
      </w:r>
      <w:r w:rsidRPr="0055724E">
        <w:rPr>
          <w:rFonts w:ascii="Helvetica Neue" w:hAnsi="Helvetica Neue" w:cs="宋体"/>
          <w:color w:val="353736"/>
          <w:spacing w:val="8"/>
          <w:kern w:val="0"/>
          <w:sz w:val="28"/>
          <w:szCs w:val="23"/>
        </w:rPr>
        <w:lastRenderedPageBreak/>
        <w:t>王充《論衡</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別通》篇説：</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古賢文之美善可甘，非徒器中之物也，讀觀有益，非徒膳食有補也。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美</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應分指文章的寫作技術和教化作用這兩方面，可以參看。</w:t>
      </w:r>
    </w:p>
    <w:p w14:paraId="4E4826C4" w14:textId="71DF384D"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5</w:t>
      </w:r>
      <w:r w:rsidRPr="0055724E">
        <w:rPr>
          <w:rFonts w:ascii="Helvetica Neue" w:hAnsi="Helvetica Neue" w:cs="宋体"/>
          <w:color w:val="353736"/>
          <w:spacing w:val="8"/>
          <w:kern w:val="0"/>
          <w:sz w:val="28"/>
          <w:szCs w:val="23"/>
        </w:rPr>
        <w:t>）《禮記</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樂記》：</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然則先王之爲樂也，以法治也，</w:t>
      </w:r>
      <w:r w:rsidRPr="0055724E">
        <w:rPr>
          <w:rFonts w:ascii="Helvetica Neue" w:eastAsia="楷体" w:hAnsi="Helvetica Neue" w:cs="宋体"/>
          <w:b/>
          <w:bCs/>
          <w:color w:val="000000" w:themeColor="text1"/>
          <w:spacing w:val="8"/>
          <w:kern w:val="0"/>
          <w:sz w:val="28"/>
          <w:szCs w:val="23"/>
          <w:u w:val="single"/>
        </w:rPr>
        <w:t>善</w:t>
      </w:r>
      <w:r w:rsidRPr="0055724E">
        <w:rPr>
          <w:rFonts w:ascii="Helvetica Neue" w:eastAsia="楷体" w:hAnsi="Helvetica Neue" w:cs="宋体"/>
          <w:color w:val="000000" w:themeColor="text1"/>
          <w:spacing w:val="8"/>
          <w:kern w:val="0"/>
          <w:sz w:val="28"/>
          <w:szCs w:val="23"/>
        </w:rPr>
        <w:t>則行象德</w:t>
      </w:r>
      <w:r w:rsidRPr="0055724E">
        <w:rPr>
          <w:rFonts w:ascii="Helvetica Neue" w:hAnsi="Helvetica Neue" w:cs="宋体"/>
          <w:color w:val="353736"/>
          <w:spacing w:val="8"/>
          <w:kern w:val="0"/>
          <w:sz w:val="18"/>
          <w:szCs w:val="18"/>
        </w:rPr>
        <w:t>（鄭玄注：行象德，民之行順君之德也</w:t>
      </w:r>
      <w:r>
        <w:rPr>
          <w:rStyle w:val="ae"/>
          <w:rFonts w:ascii="Helvetica Neue" w:hAnsi="Helvetica Neue" w:cs="宋体"/>
          <w:color w:val="353736"/>
          <w:spacing w:val="8"/>
          <w:kern w:val="0"/>
          <w:sz w:val="18"/>
          <w:szCs w:val="18"/>
        </w:rPr>
        <w:endnoteReference w:id="95"/>
      </w:r>
      <w:r w:rsidRPr="0055724E">
        <w:rPr>
          <w:rFonts w:ascii="Helvetica Neue" w:hAnsi="Helvetica Neue" w:cs="宋体"/>
          <w:color w:val="353736"/>
          <w:spacing w:val="8"/>
          <w:kern w:val="0"/>
          <w:sz w:val="18"/>
          <w:szCs w:val="18"/>
        </w:rPr>
        <w:t>）</w:t>
      </w:r>
      <w:r w:rsidRPr="0055724E">
        <w:rPr>
          <w:rFonts w:ascii="Helvetica Neue" w:eastAsia="楷体" w:hAnsi="Helvetica Neue" w:cs="宋体"/>
          <w:color w:val="000000" w:themeColor="text1"/>
          <w:spacing w:val="8"/>
          <w:kern w:val="0"/>
          <w:sz w:val="28"/>
          <w:szCs w:val="23"/>
        </w:rPr>
        <w:t>矣。</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就是説樂的教化作用發揮得好。王文錦將此</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字譯爲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成績良好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965627">
        <w:rPr>
          <w:rStyle w:val="ae"/>
          <w:rFonts w:ascii="Helvetica Neue" w:hAnsi="Helvetica Neue" w:cs="宋体"/>
          <w:color w:val="353736"/>
          <w:spacing w:val="8"/>
          <w:kern w:val="0"/>
          <w:sz w:val="28"/>
          <w:szCs w:val="23"/>
        </w:rPr>
        <w:endnoteReference w:id="96"/>
      </w:r>
      <w:r w:rsidRPr="0055724E">
        <w:rPr>
          <w:rFonts w:ascii="Helvetica Neue" w:hAnsi="Helvetica Neue" w:cs="宋体"/>
          <w:color w:val="353736"/>
          <w:spacing w:val="8"/>
          <w:kern w:val="0"/>
          <w:sz w:val="28"/>
          <w:szCs w:val="23"/>
        </w:rPr>
        <w:t>其義近是。</w:t>
      </w:r>
    </w:p>
    <w:p w14:paraId="51C00BFB" w14:textId="6E77571D"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6</w:t>
      </w:r>
      <w:r w:rsidRPr="0055724E">
        <w:rPr>
          <w:rFonts w:ascii="Helvetica Neue" w:hAnsi="Helvetica Neue" w:cs="宋体"/>
          <w:color w:val="353736"/>
          <w:spacing w:val="8"/>
          <w:kern w:val="0"/>
          <w:sz w:val="28"/>
          <w:szCs w:val="23"/>
        </w:rPr>
        <w:t>）《孝經</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廣要道章》：</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教民親愛，莫</w:t>
      </w:r>
      <w:r w:rsidRPr="0055724E">
        <w:rPr>
          <w:rFonts w:ascii="Helvetica Neue" w:eastAsia="楷体" w:hAnsi="Helvetica Neue" w:cs="宋体"/>
          <w:b/>
          <w:bCs/>
          <w:color w:val="000000" w:themeColor="text1"/>
          <w:spacing w:val="8"/>
          <w:kern w:val="0"/>
          <w:sz w:val="28"/>
          <w:szCs w:val="23"/>
          <w:u w:val="single"/>
        </w:rPr>
        <w:t>善於孝</w:t>
      </w:r>
      <w:r w:rsidRPr="0055724E">
        <w:rPr>
          <w:rFonts w:ascii="Helvetica Neue" w:eastAsia="楷体" w:hAnsi="Helvetica Neue" w:cs="宋体"/>
          <w:color w:val="000000" w:themeColor="text1"/>
          <w:spacing w:val="8"/>
          <w:kern w:val="0"/>
          <w:sz w:val="28"/>
          <w:szCs w:val="23"/>
        </w:rPr>
        <w:t>；教民禮順，莫</w:t>
      </w:r>
      <w:r w:rsidRPr="0055724E">
        <w:rPr>
          <w:rFonts w:ascii="Helvetica Neue" w:eastAsia="楷体" w:hAnsi="Helvetica Neue" w:cs="宋体"/>
          <w:b/>
          <w:bCs/>
          <w:color w:val="000000" w:themeColor="text1"/>
          <w:spacing w:val="8"/>
          <w:kern w:val="0"/>
          <w:sz w:val="28"/>
          <w:szCs w:val="23"/>
          <w:u w:val="single"/>
        </w:rPr>
        <w:t>善於悌</w:t>
      </w:r>
      <w:r w:rsidRPr="0055724E">
        <w:rPr>
          <w:rFonts w:ascii="Helvetica Neue" w:eastAsia="楷体" w:hAnsi="Helvetica Neue" w:cs="宋体"/>
          <w:color w:val="000000" w:themeColor="text1"/>
          <w:spacing w:val="8"/>
          <w:kern w:val="0"/>
          <w:sz w:val="28"/>
          <w:szCs w:val="23"/>
        </w:rPr>
        <w:t>；移風易俗，莫</w:t>
      </w:r>
      <w:r w:rsidRPr="0055724E">
        <w:rPr>
          <w:rFonts w:ascii="Helvetica Neue" w:eastAsia="楷体" w:hAnsi="Helvetica Neue" w:cs="宋体"/>
          <w:b/>
          <w:bCs/>
          <w:color w:val="000000" w:themeColor="text1"/>
          <w:spacing w:val="8"/>
          <w:kern w:val="0"/>
          <w:sz w:val="28"/>
          <w:szCs w:val="23"/>
          <w:u w:val="single"/>
        </w:rPr>
        <w:t>善於樂</w:t>
      </w:r>
      <w:r w:rsidRPr="0055724E">
        <w:rPr>
          <w:rFonts w:ascii="Helvetica Neue" w:eastAsia="楷体" w:hAnsi="Helvetica Neue" w:cs="宋体"/>
          <w:color w:val="000000" w:themeColor="text1"/>
          <w:spacing w:val="8"/>
          <w:kern w:val="0"/>
          <w:sz w:val="28"/>
          <w:szCs w:val="23"/>
        </w:rPr>
        <w:t>；安上治民，莫</w:t>
      </w:r>
      <w:r w:rsidRPr="0055724E">
        <w:rPr>
          <w:rFonts w:ascii="Helvetica Neue" w:eastAsia="楷体" w:hAnsi="Helvetica Neue" w:cs="宋体"/>
          <w:b/>
          <w:bCs/>
          <w:color w:val="000000" w:themeColor="text1"/>
          <w:spacing w:val="8"/>
          <w:kern w:val="0"/>
          <w:sz w:val="28"/>
          <w:szCs w:val="23"/>
          <w:u w:val="single"/>
        </w:rPr>
        <w:t>善於禮</w:t>
      </w:r>
      <w:r w:rsidRPr="0055724E">
        <w:rPr>
          <w:rFonts w:ascii="Helvetica Neue" w:eastAsia="楷体" w:hAnsi="Helvetica Neue" w:cs="宋体"/>
          <w:color w:val="000000" w:themeColor="text1"/>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移風易俗，莫善於樂</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的意思是説：要移風易俗，没有能比樂更好地發揮作用的了。其他三句也應如此理解。一般把</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莫善於</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理解爲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没有比</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更好的了</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當然也是可以的，我們所以要這樣説，是爲了追溯其較原始的意義。</w:t>
      </w:r>
    </w:p>
    <w:p w14:paraId="255C6838" w14:textId="4A8CDA96"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7</w:t>
      </w:r>
      <w:r w:rsidRPr="0055724E">
        <w:rPr>
          <w:rFonts w:ascii="Helvetica Neue" w:hAnsi="Helvetica Neue" w:cs="宋体"/>
          <w:color w:val="353736"/>
          <w:spacing w:val="8"/>
          <w:kern w:val="0"/>
          <w:sz w:val="28"/>
          <w:szCs w:val="23"/>
        </w:rPr>
        <w:t>）郭店《語叢四》簡</w:t>
      </w:r>
      <w:r w:rsidR="00687FDE" w:rsidRPr="00687FDE">
        <w:rPr>
          <w:rFonts w:hAnsi="Helvetica Neue" w:cs="宋体"/>
          <w:color w:val="353736"/>
          <w:spacing w:val="8"/>
          <w:kern w:val="0"/>
          <w:sz w:val="28"/>
          <w:szCs w:val="23"/>
        </w:rPr>
        <w:t>24</w:t>
      </w: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25</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eastAsia="楷体" w:hAnsi="Helvetica Neue" w:cs="宋体"/>
          <w:b/>
          <w:bCs/>
          <w:color w:val="000000" w:themeColor="text1"/>
          <w:spacing w:val="8"/>
          <w:kern w:val="0"/>
          <w:sz w:val="28"/>
          <w:szCs w:val="23"/>
          <w:u w:val="single"/>
        </w:rPr>
        <w:t>一言之善</w:t>
      </w:r>
      <w:r w:rsidRPr="0055724E">
        <w:rPr>
          <w:rFonts w:ascii="Helvetica Neue" w:eastAsia="楷体" w:hAnsi="Helvetica Neue" w:cs="宋体"/>
          <w:color w:val="000000" w:themeColor="text1"/>
          <w:spacing w:val="8"/>
          <w:kern w:val="0"/>
          <w:sz w:val="28"/>
          <w:szCs w:val="23"/>
        </w:rPr>
        <w:t>，足以終世；三世之福（富），不足以出亡。</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這兩句的意思大概是説：一句話起了好作用，够你受用一輩子；三世積累起來的財富，還不够你一旦出亡他國所需的費用。</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是指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言</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起了好作用。</w:t>
      </w:r>
    </w:p>
    <w:p w14:paraId="3AF9BCED" w14:textId="182BA6F8" w:rsidR="009F4F5A" w:rsidRDefault="009F4F5A" w:rsidP="00445DA3">
      <w:pPr>
        <w:widowControl/>
        <w:spacing w:beforeLines="50" w:before="180" w:line="480" w:lineRule="auto"/>
        <w:ind w:firstLine="480"/>
        <w:rPr>
          <w:rFonts w:ascii="Helvetica Neue" w:hAnsi="Helvetica Neue" w:cs="宋体"/>
          <w:color w:val="353736"/>
          <w:spacing w:val="8"/>
          <w:kern w:val="0"/>
          <w:sz w:val="28"/>
          <w:szCs w:val="23"/>
        </w:rPr>
      </w:pPr>
      <w:r w:rsidRPr="0055724E">
        <w:rPr>
          <w:rFonts w:ascii="Helvetica Neue" w:hAnsi="Helvetica Neue" w:cs="宋体"/>
          <w:color w:val="353736"/>
          <w:spacing w:val="8"/>
          <w:kern w:val="0"/>
          <w:sz w:val="28"/>
          <w:szCs w:val="23"/>
        </w:rPr>
        <w:lastRenderedPageBreak/>
        <w:t>有時也有</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究竟是就人的行爲而言還是就事物的情狀而言頗難確定的情況，例如《穀梁傳</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宣公十五年》在解釋《春秋》經</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初税畝</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之文時認爲，在實行初税畝制之前，本用有私田、公田之分的井田之法，</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私田稼不善，則非吏；公田稼不善，則非民</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稼</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有</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種植</w:t>
      </w:r>
      <w:r w:rsidRPr="0055724E">
        <w:rPr>
          <w:rFonts w:ascii="Helvetica Neue" w:hAnsi="Helvetica Neue" w:cs="宋体"/>
          <w:color w:val="353736"/>
          <w:spacing w:val="8"/>
          <w:kern w:val="0"/>
          <w:sz w:val="18"/>
          <w:szCs w:val="18"/>
        </w:rPr>
        <w:t>（即稼穡之稼）</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禾稼</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兩義，此處的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稼</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有人理解爲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禾稼</w:t>
      </w:r>
      <w:r w:rsidRPr="0055724E">
        <w:rPr>
          <w:rFonts w:ascii="Helvetica Neue" w:hAnsi="Helvetica Neue" w:cs="宋体"/>
          <w:color w:val="353736"/>
          <w:spacing w:val="8"/>
          <w:kern w:val="0"/>
          <w:sz w:val="28"/>
          <w:szCs w:val="23"/>
        </w:rPr>
        <w:t>”</w:t>
      </w:r>
      <w:r w:rsidRPr="00965627">
        <w:rPr>
          <w:rStyle w:val="ae"/>
          <w:rFonts w:ascii="Helvetica Neue" w:hAnsi="Helvetica Neue" w:cs="宋体"/>
          <w:color w:val="353736"/>
          <w:spacing w:val="8"/>
          <w:kern w:val="0"/>
          <w:sz w:val="28"/>
          <w:szCs w:val="23"/>
        </w:rPr>
        <w:endnoteReference w:id="97"/>
      </w:r>
      <w:r w:rsidRPr="0055724E">
        <w:rPr>
          <w:rFonts w:ascii="Helvetica Neue" w:hAnsi="Helvetica Neue" w:cs="宋体"/>
          <w:color w:val="353736"/>
          <w:spacing w:val="8"/>
          <w:kern w:val="0"/>
          <w:sz w:val="28"/>
          <w:szCs w:val="23"/>
        </w:rPr>
        <w:t>，那麼，</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稼不善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就像上引《小雅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甫田》</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終善且有</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一樣，是指穀物生長得不好。但我們傾向於以此</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稼</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稼穡</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稼</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稼不善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就是莊稼種得不好的意思。莊稼種得不好在</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把事做得不好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這一意義的範圍之内。</w:t>
      </w:r>
    </w:p>
    <w:p w14:paraId="5DB12905" w14:textId="77777777" w:rsidR="00445DA3" w:rsidRPr="0055724E" w:rsidRDefault="00445DA3" w:rsidP="00445DA3">
      <w:pPr>
        <w:widowControl/>
        <w:spacing w:beforeLines="50" w:before="180" w:line="480" w:lineRule="auto"/>
        <w:ind w:firstLine="480"/>
        <w:rPr>
          <w:rFonts w:ascii="Helvetica Neue" w:hAnsi="Helvetica Neue" w:cs="宋体"/>
          <w:color w:val="616161"/>
          <w:spacing w:val="8"/>
          <w:kern w:val="0"/>
          <w:sz w:val="28"/>
          <w:szCs w:val="24"/>
        </w:rPr>
      </w:pPr>
    </w:p>
    <w:p w14:paraId="198883D9" w14:textId="77777777" w:rsidR="009F4F5A" w:rsidRPr="0055724E" w:rsidRDefault="009F4F5A" w:rsidP="00445DA3">
      <w:pPr>
        <w:widowControl/>
        <w:spacing w:beforeLines="50" w:before="180" w:line="480" w:lineRule="auto"/>
        <w:rPr>
          <w:rFonts w:ascii="Helvetica Neue" w:hAnsi="Helvetica Neue" w:cs="宋体"/>
          <w:color w:val="616161"/>
          <w:spacing w:val="8"/>
          <w:kern w:val="0"/>
          <w:sz w:val="28"/>
          <w:szCs w:val="24"/>
        </w:rPr>
      </w:pPr>
      <w:r w:rsidRPr="0055724E">
        <w:rPr>
          <w:rFonts w:ascii="Helvetica Neue" w:hAnsi="Helvetica Neue" w:cs="宋体"/>
          <w:b/>
          <w:bCs/>
          <w:color w:val="353736"/>
          <w:spacing w:val="8"/>
          <w:kern w:val="0"/>
          <w:sz w:val="28"/>
          <w:szCs w:val="23"/>
        </w:rPr>
        <w:t>（七）</w:t>
      </w:r>
      <w:r w:rsidRPr="0055724E">
        <w:rPr>
          <w:rFonts w:ascii="Helvetica Neue" w:hAnsi="Helvetica Neue" w:cs="宋体"/>
          <w:b/>
          <w:bCs/>
          <w:color w:val="353736"/>
          <w:spacing w:val="8"/>
          <w:kern w:val="0"/>
          <w:sz w:val="28"/>
          <w:szCs w:val="23"/>
        </w:rPr>
        <w:t>“</w:t>
      </w:r>
      <w:r w:rsidRPr="0055724E">
        <w:rPr>
          <w:rFonts w:ascii="Helvetica Neue" w:hAnsi="Helvetica Neue" w:cs="宋体"/>
          <w:b/>
          <w:bCs/>
          <w:color w:val="353736"/>
          <w:spacing w:val="8"/>
          <w:kern w:val="0"/>
          <w:sz w:val="28"/>
          <w:szCs w:val="23"/>
        </w:rPr>
        <w:t>善</w:t>
      </w:r>
      <w:r w:rsidRPr="0055724E">
        <w:rPr>
          <w:rFonts w:ascii="Helvetica Neue" w:hAnsi="Helvetica Neue" w:cs="宋体"/>
          <w:b/>
          <w:bCs/>
          <w:color w:val="353736"/>
          <w:spacing w:val="8"/>
          <w:kern w:val="0"/>
          <w:sz w:val="28"/>
          <w:szCs w:val="23"/>
        </w:rPr>
        <w:t>”</w:t>
      </w:r>
      <w:r w:rsidRPr="0055724E">
        <w:rPr>
          <w:rFonts w:ascii="Helvetica Neue" w:hAnsi="Helvetica Neue" w:cs="宋体"/>
          <w:b/>
          <w:bCs/>
          <w:color w:val="353736"/>
          <w:spacing w:val="8"/>
          <w:kern w:val="0"/>
          <w:sz w:val="28"/>
          <w:szCs w:val="23"/>
        </w:rPr>
        <w:t>字用來指能力强的、能把事做得很好的人</w:t>
      </w:r>
    </w:p>
    <w:p w14:paraId="442BCAD1" w14:textId="7BBC0B15"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清華簡《子產》篇記述子產的美政，説他能</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由</w:t>
      </w:r>
      <w:r w:rsidRPr="0055724E">
        <w:rPr>
          <w:rFonts w:ascii="Helvetica Neue" w:eastAsia="楷体" w:hAnsi="Helvetica Neue" w:cs="宋体"/>
          <w:b/>
          <w:bCs/>
          <w:color w:val="000000" w:themeColor="text1"/>
          <w:spacing w:val="8"/>
          <w:kern w:val="0"/>
          <w:sz w:val="28"/>
          <w:szCs w:val="23"/>
          <w:u w:val="single"/>
        </w:rPr>
        <w:t>善</w:t>
      </w:r>
      <w:r w:rsidRPr="0055724E">
        <w:rPr>
          <w:rFonts w:ascii="Helvetica Neue" w:eastAsia="楷体" w:hAnsi="Helvetica Neue" w:cs="宋体"/>
          <w:color w:val="000000" w:themeColor="text1"/>
          <w:spacing w:val="8"/>
          <w:kern w:val="0"/>
          <w:sz w:val="28"/>
          <w:szCs w:val="23"/>
        </w:rPr>
        <w:t>用聖</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18"/>
          <w:szCs w:val="18"/>
        </w:rPr>
        <w:t>（簡</w:t>
      </w:r>
      <w:r w:rsidR="00687FDE" w:rsidRPr="00687FDE">
        <w:rPr>
          <w:rFonts w:hAnsi="Helvetica Neue" w:cs="宋体"/>
          <w:color w:val="353736"/>
          <w:spacing w:val="8"/>
          <w:kern w:val="0"/>
          <w:sz w:val="18"/>
          <w:szCs w:val="18"/>
        </w:rPr>
        <w:t>23</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28"/>
          <w:szCs w:val="23"/>
        </w:rPr>
        <w:t>。其上文已出現過</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由善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之語，整理者訓</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由</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用</w:t>
      </w:r>
      <w:r w:rsidRPr="0055724E">
        <w:rPr>
          <w:rFonts w:ascii="Helvetica Neue" w:hAnsi="Helvetica Neue" w:cs="宋体"/>
          <w:color w:val="353736"/>
          <w:spacing w:val="8"/>
          <w:kern w:val="0"/>
          <w:sz w:val="28"/>
          <w:szCs w:val="23"/>
        </w:rPr>
        <w:t>”</w:t>
      </w:r>
      <w:r w:rsidRPr="00965627">
        <w:rPr>
          <w:rStyle w:val="ae"/>
          <w:rFonts w:ascii="Helvetica Neue" w:hAnsi="Helvetica Neue" w:cs="宋体"/>
          <w:color w:val="353736"/>
          <w:spacing w:val="8"/>
          <w:kern w:val="0"/>
          <w:sz w:val="28"/>
          <w:szCs w:val="23"/>
        </w:rPr>
        <w:endnoteReference w:id="98"/>
      </w:r>
      <w:r w:rsidRPr="0055724E">
        <w:rPr>
          <w:rFonts w:ascii="Helvetica Neue" w:hAnsi="Helvetica Neue" w:cs="宋体"/>
          <w:color w:val="353736"/>
          <w:spacing w:val="8"/>
          <w:kern w:val="0"/>
          <w:sz w:val="28"/>
          <w:szCs w:val="23"/>
        </w:rPr>
        <w:t>，可從。此文以</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對舉，</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應指聰明通達的人，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則指能力强的、能把事做得很好的人；與二（一）例（</w:t>
      </w:r>
      <w:r w:rsidR="00687FDE" w:rsidRPr="00687FDE">
        <w:rPr>
          <w:rFonts w:hAnsi="Helvetica Neue" w:cs="宋体"/>
          <w:color w:val="353736"/>
          <w:spacing w:val="8"/>
          <w:kern w:val="0"/>
          <w:sz w:val="28"/>
          <w:szCs w:val="23"/>
        </w:rPr>
        <w:t>2</w:t>
      </w:r>
      <w:r w:rsidRPr="0055724E">
        <w:rPr>
          <w:rFonts w:ascii="Helvetica Neue" w:hAnsi="Helvetica Neue" w:cs="宋体"/>
          <w:color w:val="353736"/>
          <w:spacing w:val="8"/>
          <w:kern w:val="0"/>
          <w:sz w:val="28"/>
          <w:szCs w:val="23"/>
        </w:rPr>
        <w:t>）舉《凱風》</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母氏聖善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之語可以相互印證。古代從事冶鑄工作的人就可以稱爲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冶</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，生</w:t>
      </w:r>
      <w:r w:rsidRPr="0055724E">
        <w:rPr>
          <w:rFonts w:ascii="Helvetica Neue" w:hAnsi="Helvetica Neue" w:cs="宋体"/>
          <w:color w:val="353736"/>
          <w:spacing w:val="8"/>
          <w:kern w:val="0"/>
          <w:sz w:val="28"/>
          <w:szCs w:val="23"/>
        </w:rPr>
        <w:lastRenderedPageBreak/>
        <w:t>得美好的人就可以稱爲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美</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，將能把事情做得很好的人、能力强的人就稱爲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，情況與此相似。</w:t>
      </w:r>
    </w:p>
    <w:p w14:paraId="1A7A1A1A" w14:textId="5B455B01"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《論語</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爲政》記孔子答季康子之語有</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舉</w:t>
      </w:r>
      <w:r w:rsidRPr="0055724E">
        <w:rPr>
          <w:rFonts w:ascii="Helvetica Neue" w:eastAsia="楷体" w:hAnsi="Helvetica Neue" w:cs="宋体"/>
          <w:b/>
          <w:bCs/>
          <w:color w:val="000000" w:themeColor="text1"/>
          <w:spacing w:val="8"/>
          <w:kern w:val="0"/>
          <w:sz w:val="28"/>
          <w:szCs w:val="23"/>
          <w:u w:val="single"/>
        </w:rPr>
        <w:t>善</w:t>
      </w:r>
      <w:r w:rsidRPr="0055724E">
        <w:rPr>
          <w:rFonts w:ascii="Helvetica Neue" w:eastAsia="楷体" w:hAnsi="Helvetica Neue" w:cs="宋体"/>
          <w:color w:val="000000" w:themeColor="text1"/>
          <w:spacing w:val="8"/>
          <w:kern w:val="0"/>
          <w:sz w:val="28"/>
          <w:szCs w:val="23"/>
        </w:rPr>
        <w:t>而教不能，則勸</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句，同書《子張》記子張之語有</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君子尊賢而容衆，嘉</w:t>
      </w:r>
      <w:r w:rsidRPr="0055724E">
        <w:rPr>
          <w:rFonts w:ascii="Helvetica Neue" w:eastAsia="楷体" w:hAnsi="Helvetica Neue" w:cs="宋体"/>
          <w:b/>
          <w:bCs/>
          <w:color w:val="000000" w:themeColor="text1"/>
          <w:spacing w:val="8"/>
          <w:kern w:val="0"/>
          <w:sz w:val="28"/>
          <w:szCs w:val="23"/>
          <w:u w:val="single"/>
        </w:rPr>
        <w:t>善</w:t>
      </w:r>
      <w:r w:rsidRPr="0055724E">
        <w:rPr>
          <w:rFonts w:ascii="Helvetica Neue" w:eastAsia="楷体" w:hAnsi="Helvetica Neue" w:cs="宋体"/>
          <w:color w:val="000000" w:themeColor="text1"/>
          <w:spacing w:val="8"/>
          <w:kern w:val="0"/>
          <w:sz w:val="28"/>
          <w:szCs w:val="23"/>
        </w:rPr>
        <w:t>而矜不能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句，兩句皆以</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對舉，</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不能者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，這種</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當然也應理解爲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有能力的人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能幹的人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。但有很多講《論語》的人似認爲這兩個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就是後世一般用來指人的道德好的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，對其含義不加深究。孫欽善《論語新注》把</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舉善而教不能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句譯爲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舉用賢能之人，同時教育無能之人</w:t>
      </w:r>
      <w:r w:rsidRPr="0055724E">
        <w:rPr>
          <w:rFonts w:ascii="Helvetica Neue" w:hAnsi="Helvetica Neue" w:cs="宋体"/>
          <w:color w:val="353736"/>
          <w:spacing w:val="8"/>
          <w:kern w:val="0"/>
          <w:sz w:val="28"/>
          <w:szCs w:val="23"/>
        </w:rPr>
        <w:t>”</w:t>
      </w:r>
      <w:r w:rsidRPr="00965627">
        <w:rPr>
          <w:rStyle w:val="ae"/>
          <w:rFonts w:ascii="Helvetica Neue" w:hAnsi="Helvetica Neue" w:cs="宋体"/>
          <w:color w:val="353736"/>
          <w:spacing w:val="8"/>
          <w:kern w:val="0"/>
          <w:sz w:val="28"/>
          <w:szCs w:val="23"/>
        </w:rPr>
        <w:endnoteReference w:id="99"/>
      </w:r>
      <w:r w:rsidRPr="0055724E">
        <w:rPr>
          <w:rFonts w:ascii="Helvetica Neue" w:hAnsi="Helvetica Neue" w:cs="宋体"/>
          <w:color w:val="353736"/>
          <w:spacing w:val="8"/>
          <w:kern w:val="0"/>
          <w:sz w:val="28"/>
          <w:szCs w:val="23"/>
        </w:rPr>
        <w:t>，把</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嘉善而矜不能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句譯爲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贊許有能耐的善人又同情無能之人</w:t>
      </w:r>
      <w:r w:rsidRPr="0055724E">
        <w:rPr>
          <w:rFonts w:ascii="Helvetica Neue" w:hAnsi="Helvetica Neue" w:cs="宋体"/>
          <w:color w:val="353736"/>
          <w:spacing w:val="8"/>
          <w:kern w:val="0"/>
          <w:sz w:val="28"/>
          <w:szCs w:val="23"/>
        </w:rPr>
        <w:t>”</w:t>
      </w:r>
      <w:r w:rsidRPr="00965627">
        <w:rPr>
          <w:rStyle w:val="ae"/>
          <w:rFonts w:ascii="Helvetica Neue" w:hAnsi="Helvetica Neue" w:cs="宋体"/>
          <w:color w:val="353736"/>
          <w:spacing w:val="8"/>
          <w:kern w:val="0"/>
          <w:sz w:val="28"/>
          <w:szCs w:val="23"/>
        </w:rPr>
        <w:endnoteReference w:id="100"/>
      </w:r>
      <w:r w:rsidRPr="0055724E">
        <w:rPr>
          <w:rFonts w:ascii="Helvetica Neue" w:hAnsi="Helvetica Neue" w:cs="宋体"/>
          <w:color w:val="353736"/>
          <w:spacing w:val="8"/>
          <w:kern w:val="0"/>
          <w:sz w:val="28"/>
          <w:szCs w:val="23"/>
        </w:rPr>
        <w:t>，對兩處</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字的翻譯中都出現了</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字，但他對</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字基本意義的理解應該還是與前面所説的很多人相同的。《子張》篇翻譯中把</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譯成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有能耐的善人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，可見在他的認識中，</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就是道德好的人，道德好的人既有</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有能耐的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，也有缺乏能耐的，《子張》篇的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相對，應該指善人中有能耐的那些人。他把《爲政》的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譯成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賢能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，顯然主要是以</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賢</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對</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的，只是由於此</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對舉，所以在</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賢</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字後面加上了</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字，所謂</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賢能之人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，應該與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有能耐的善人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義近。楊朝明《論語詮解》把</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嘉善而矜不能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譯爲</w:t>
      </w:r>
      <w:r w:rsidRPr="0055724E">
        <w:rPr>
          <w:rFonts w:ascii="Helvetica Neue" w:hAnsi="Helvetica Neue" w:cs="宋体"/>
          <w:color w:val="353736"/>
          <w:spacing w:val="8"/>
          <w:kern w:val="0"/>
          <w:sz w:val="28"/>
          <w:szCs w:val="23"/>
        </w:rPr>
        <w:lastRenderedPageBreak/>
        <w:t>“</w:t>
      </w:r>
      <w:r w:rsidRPr="0055724E">
        <w:rPr>
          <w:rFonts w:ascii="Helvetica Neue" w:hAnsi="Helvetica Neue" w:cs="宋体"/>
          <w:color w:val="353736"/>
          <w:spacing w:val="8"/>
          <w:kern w:val="0"/>
          <w:sz w:val="28"/>
          <w:szCs w:val="23"/>
        </w:rPr>
        <w:t>褒獎有能力的也要憐惜没能耐的</w:t>
      </w:r>
      <w:r w:rsidRPr="0055724E">
        <w:rPr>
          <w:rFonts w:ascii="Helvetica Neue" w:hAnsi="Helvetica Neue" w:cs="宋体"/>
          <w:color w:val="353736"/>
          <w:spacing w:val="8"/>
          <w:kern w:val="0"/>
          <w:sz w:val="28"/>
          <w:szCs w:val="23"/>
        </w:rPr>
        <w:t>”</w:t>
      </w:r>
      <w:r w:rsidRPr="00965627">
        <w:rPr>
          <w:rStyle w:val="ae"/>
          <w:rFonts w:ascii="Helvetica Neue" w:hAnsi="Helvetica Neue" w:cs="宋体"/>
          <w:color w:val="353736"/>
          <w:spacing w:val="8"/>
          <w:kern w:val="0"/>
          <w:sz w:val="28"/>
          <w:szCs w:val="23"/>
        </w:rPr>
        <w:endnoteReference w:id="101"/>
      </w:r>
      <w:r w:rsidRPr="0055724E">
        <w:rPr>
          <w:rFonts w:ascii="Helvetica Neue" w:hAnsi="Helvetica Neue" w:cs="宋体"/>
          <w:color w:val="353736"/>
          <w:spacing w:val="8"/>
          <w:kern w:val="0"/>
          <w:sz w:val="28"/>
          <w:szCs w:val="23"/>
        </w:rPr>
        <w:t>，把此處的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譯爲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有能力的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，這是很不錯的；但他把</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舉善而教不能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譯爲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舉用善人，教育能力稍差的人</w:t>
      </w:r>
      <w:r w:rsidRPr="0055724E">
        <w:rPr>
          <w:rFonts w:ascii="Helvetica Neue" w:hAnsi="Helvetica Neue" w:cs="宋体"/>
          <w:color w:val="353736"/>
          <w:spacing w:val="8"/>
          <w:kern w:val="0"/>
          <w:sz w:val="28"/>
          <w:szCs w:val="23"/>
        </w:rPr>
        <w:t>”</w:t>
      </w:r>
      <w:r w:rsidRPr="00965627">
        <w:rPr>
          <w:rStyle w:val="ae"/>
          <w:rFonts w:ascii="Helvetica Neue" w:hAnsi="Helvetica Neue" w:cs="宋体"/>
          <w:color w:val="353736"/>
          <w:spacing w:val="8"/>
          <w:kern w:val="0"/>
          <w:sz w:val="28"/>
          <w:szCs w:val="23"/>
        </w:rPr>
        <w:endnoteReference w:id="102"/>
      </w:r>
      <w:r w:rsidRPr="0055724E">
        <w:rPr>
          <w:rFonts w:ascii="Helvetica Neue" w:hAnsi="Helvetica Neue" w:cs="宋体"/>
          <w:color w:val="353736"/>
          <w:spacing w:val="8"/>
          <w:kern w:val="0"/>
          <w:sz w:val="28"/>
          <w:szCs w:val="23"/>
        </w:rPr>
        <w:t>，只在</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字後面加了一個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字，似乎他對這種</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字的意義並未切實掌握。在《論語》的各種注釋中還有一些與前舉孫氏《新注》類似的情況，我們就不詳加辨析了。</w:t>
      </w:r>
    </w:p>
    <w:p w14:paraId="3B2B592B" w14:textId="696DFFCC"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王叔岷《史記斠證》在《平津侯主父列傳》所引</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擧善而教不能則勸</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句下説：</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案善與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對言，能猶善也。《萬石列傳》：</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有姊能鼓琴。</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《御覽》五一七引能作善，即能、善同義之證。</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擧善而教不能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，猶言</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擧善以教不善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耳。《論語》注疏諸家，皆未得能字之義。</w:t>
      </w:r>
      <w:r w:rsidRPr="0055724E">
        <w:rPr>
          <w:rFonts w:ascii="Helvetica Neue" w:hAnsi="Helvetica Neue" w:cs="宋体"/>
          <w:color w:val="353736"/>
          <w:spacing w:val="8"/>
          <w:kern w:val="0"/>
          <w:sz w:val="28"/>
          <w:szCs w:val="23"/>
        </w:rPr>
        <w:t>”</w:t>
      </w:r>
      <w:r w:rsidRPr="00965627">
        <w:rPr>
          <w:rStyle w:val="ae"/>
          <w:rFonts w:ascii="Helvetica Neue" w:hAnsi="Helvetica Neue" w:cs="宋体"/>
          <w:color w:val="353736"/>
          <w:spacing w:val="8"/>
          <w:kern w:val="0"/>
          <w:sz w:val="28"/>
          <w:szCs w:val="23"/>
        </w:rPr>
        <w:endnoteReference w:id="103"/>
      </w:r>
      <w:r w:rsidRPr="0055724E">
        <w:rPr>
          <w:rFonts w:ascii="Helvetica Neue" w:hAnsi="Helvetica Neue" w:cs="宋体"/>
          <w:color w:val="353736"/>
          <w:spacing w:val="8"/>
          <w:kern w:val="0"/>
          <w:sz w:val="28"/>
          <w:szCs w:val="23"/>
        </w:rPr>
        <w:t>此外，《斠證》還在《蕭相國世家》</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何素不與曹參相能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句下説</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案能猶善也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，所舉</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互作例除上條已舉者外，又舉《吕氏春秋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蕩兵》篇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能</w:t>
      </w:r>
      <w:r w:rsidRPr="0055724E">
        <w:rPr>
          <w:rFonts w:ascii="Helvetica Neue" w:hAnsi="Helvetica Neue" w:cs="宋体"/>
          <w:color w:val="353736"/>
          <w:spacing w:val="8"/>
          <w:kern w:val="0"/>
          <w:sz w:val="18"/>
          <w:szCs w:val="18"/>
        </w:rPr>
        <w:t>（引者按：此字傳本皆作</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善</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，王氏據高誘注改爲</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能</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，不妥</w:t>
      </w:r>
      <w:r>
        <w:rPr>
          <w:rStyle w:val="ae"/>
          <w:rFonts w:ascii="Helvetica Neue" w:hAnsi="Helvetica Neue" w:cs="宋体"/>
          <w:color w:val="353736"/>
          <w:spacing w:val="8"/>
          <w:kern w:val="0"/>
          <w:sz w:val="18"/>
          <w:szCs w:val="18"/>
        </w:rPr>
        <w:endnoteReference w:id="104"/>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28"/>
          <w:szCs w:val="23"/>
        </w:rPr>
        <w:t>用之則爲福，不能用之則爲禍</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、《亢倉子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兵道》篇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作</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之例</w:t>
      </w:r>
      <w:r w:rsidRPr="00965627">
        <w:rPr>
          <w:rStyle w:val="ae"/>
          <w:rFonts w:ascii="Helvetica Neue" w:hAnsi="Helvetica Neue" w:cs="宋体"/>
          <w:color w:val="353736"/>
          <w:spacing w:val="8"/>
          <w:kern w:val="0"/>
          <w:sz w:val="28"/>
          <w:szCs w:val="23"/>
        </w:rPr>
        <w:endnoteReference w:id="105"/>
      </w:r>
      <w:r w:rsidRPr="0055724E">
        <w:rPr>
          <w:rFonts w:ascii="Helvetica Neue" w:hAnsi="Helvetica Neue" w:cs="宋体"/>
          <w:color w:val="353736"/>
          <w:spacing w:val="8"/>
          <w:kern w:val="0"/>
          <w:sz w:val="28"/>
          <w:szCs w:val="23"/>
        </w:rPr>
        <w:t>。《斠證》又在《平原君虞卿列傳》</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秦雖善攻，不能取六縣。趙雖不能守，終不失六城</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、《淮陰侯列傳》</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陛下不能將兵，而善將將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以</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爲對文之句下，也説了</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能、善同義</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的話</w:t>
      </w:r>
      <w:r w:rsidRPr="00965627">
        <w:rPr>
          <w:rStyle w:val="ae"/>
          <w:rFonts w:ascii="Helvetica Neue" w:hAnsi="Helvetica Neue" w:cs="宋体"/>
          <w:color w:val="353736"/>
          <w:spacing w:val="8"/>
          <w:kern w:val="0"/>
          <w:sz w:val="28"/>
          <w:szCs w:val="23"/>
        </w:rPr>
        <w:endnoteReference w:id="106"/>
      </w:r>
      <w:r w:rsidRPr="0055724E">
        <w:rPr>
          <w:rFonts w:ascii="Helvetica Neue" w:hAnsi="Helvetica Neue" w:cs="宋体"/>
          <w:color w:val="353736"/>
          <w:spacing w:val="8"/>
          <w:kern w:val="0"/>
          <w:sz w:val="28"/>
          <w:szCs w:val="23"/>
        </w:rPr>
        <w:t>。</w:t>
      </w:r>
    </w:p>
    <w:p w14:paraId="27BF060C" w14:textId="2BB1D796" w:rsidR="009F4F5A" w:rsidRDefault="009F4F5A" w:rsidP="00445DA3">
      <w:pPr>
        <w:widowControl/>
        <w:spacing w:beforeLines="50" w:before="180" w:line="480" w:lineRule="auto"/>
        <w:ind w:firstLine="480"/>
        <w:rPr>
          <w:rFonts w:ascii="Helvetica Neue" w:hAnsi="Helvetica Neue" w:cs="宋体"/>
          <w:color w:val="353736"/>
          <w:spacing w:val="8"/>
          <w:kern w:val="0"/>
          <w:sz w:val="28"/>
          <w:szCs w:val="23"/>
        </w:rPr>
      </w:pPr>
      <w:r w:rsidRPr="0055724E">
        <w:rPr>
          <w:rFonts w:ascii="Helvetica Neue" w:hAnsi="Helvetica Neue" w:cs="宋体"/>
          <w:color w:val="353736"/>
          <w:spacing w:val="8"/>
          <w:kern w:val="0"/>
          <w:sz w:val="28"/>
          <w:szCs w:val="23"/>
        </w:rPr>
        <w:lastRenderedPageBreak/>
        <w:t>今按，在上古漢語中，</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確有不少意義很相近的用法</w:t>
      </w:r>
      <w:r w:rsidRPr="0055724E">
        <w:rPr>
          <w:rFonts w:ascii="Helvetica Neue" w:hAnsi="Helvetica Neue" w:cs="宋体"/>
          <w:color w:val="353736"/>
          <w:spacing w:val="8"/>
          <w:kern w:val="0"/>
          <w:sz w:val="18"/>
          <w:szCs w:val="18"/>
        </w:rPr>
        <w:t>［參看一（四）］</w:t>
      </w:r>
      <w:r w:rsidRPr="0055724E">
        <w:rPr>
          <w:rFonts w:ascii="Helvetica Neue" w:hAnsi="Helvetica Neue" w:cs="宋体"/>
          <w:color w:val="353736"/>
          <w:spacing w:val="8"/>
          <w:kern w:val="0"/>
          <w:sz w:val="28"/>
          <w:szCs w:val="23"/>
        </w:rPr>
        <w:t>，但王氏似乎認爲這種用法的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完全同義，則是大有問題的。上文已經講過，</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雖然有意義很相近的用法，但它們所表示的能的程度還是有輕重之別的。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有</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很能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的意思，不加狀語的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字雖然有時也可以表示較高程度的能，如前引朱熹《集注》</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有能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，尤其明顯的是至晚在唐宋時代就已出現、到今天還在使用的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能人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一詞中的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，又如</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能歌善舞</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一類格式中與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爲對文的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字，但多數</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字表示的是一般程度的能，有時也可以單用</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字來表示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僅能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勉强能够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的意思。既然</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有意義很相近的用法，有時出現二者互爲異文的情況是不足爲怪的，並不能用作</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完全同義的證據。以</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對文來證明二者同義，更不可取。王氏所解釋的《平原君虞卿列傳》</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秦雖善攻，不能取六縣</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，是長平之戰後虞卿勸諫趙王不要割六縣以求和於秦之語中的一句，意思是説秦人雖然善於進攻，還不能攻取這六個縣，這句話絶不能説成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秦雖善攻，不善取六縣</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。他所解釋的《淮陰侯列傳》</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陛下不能將兵，而善將將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是韓信的話，韓信的原意是要突出高祖不會帶兵、卻能把帶兵的大將統帥得很好的特點，將上一小句的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改爲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，其意就成了</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陛下不</w:t>
      </w:r>
      <w:r w:rsidRPr="0055724E">
        <w:rPr>
          <w:rFonts w:ascii="Helvetica Neue" w:hAnsi="Helvetica Neue" w:cs="宋体"/>
          <w:color w:val="353736"/>
          <w:spacing w:val="8"/>
          <w:kern w:val="0"/>
          <w:sz w:val="28"/>
          <w:szCs w:val="23"/>
        </w:rPr>
        <w:lastRenderedPageBreak/>
        <w:t>擅長帶兵</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，這樣韓信的話原來所有的强烈的對比語氣就削弱了。</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舉善而教不能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句前用</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後用</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，也是爲了强調所</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舉</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者與所</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教</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者的水平的差異。王氏没有像很多人那樣把</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舉善而教不能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理解爲道德好的意思，而把它的意義跟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聯繫起來，這一點是應該肯定的；但他認爲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能、善同義</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，説與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爲對文的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猶善也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，則是不妥當的。</w:t>
      </w:r>
    </w:p>
    <w:p w14:paraId="60A86CC8" w14:textId="77777777" w:rsidR="00445DA3" w:rsidRPr="0055724E" w:rsidRDefault="00445DA3" w:rsidP="00445DA3">
      <w:pPr>
        <w:widowControl/>
        <w:spacing w:beforeLines="50" w:before="180" w:line="480" w:lineRule="auto"/>
        <w:ind w:firstLine="480"/>
        <w:rPr>
          <w:rFonts w:ascii="Helvetica Neue" w:hAnsi="Helvetica Neue" w:cs="宋体"/>
          <w:color w:val="616161"/>
          <w:spacing w:val="8"/>
          <w:kern w:val="0"/>
          <w:sz w:val="28"/>
          <w:szCs w:val="24"/>
        </w:rPr>
      </w:pPr>
    </w:p>
    <w:p w14:paraId="4D83B31A" w14:textId="77777777" w:rsidR="009F4F5A" w:rsidRPr="0055724E" w:rsidRDefault="009F4F5A" w:rsidP="00445DA3">
      <w:pPr>
        <w:pStyle w:val="aa"/>
        <w:spacing w:beforeLines="50" w:before="180"/>
        <w:ind w:firstLineChars="0" w:firstLine="0"/>
        <w:jc w:val="center"/>
        <w:rPr>
          <w:b/>
          <w:bCs/>
        </w:rPr>
      </w:pPr>
      <w:r w:rsidRPr="0055724E">
        <w:rPr>
          <w:b/>
          <w:bCs/>
        </w:rPr>
        <w:t>三、“善者”、“善人”及一些有關問題</w:t>
      </w:r>
    </w:p>
    <w:p w14:paraId="2856A755" w14:textId="77777777" w:rsidR="00445DA3" w:rsidRDefault="00445DA3" w:rsidP="00445DA3">
      <w:pPr>
        <w:widowControl/>
        <w:spacing w:beforeLines="50" w:before="180" w:line="480" w:lineRule="auto"/>
        <w:rPr>
          <w:rFonts w:ascii="Helvetica Neue" w:hAnsi="Helvetica Neue" w:cs="宋体"/>
          <w:b/>
          <w:bCs/>
          <w:color w:val="353736"/>
          <w:spacing w:val="8"/>
          <w:kern w:val="0"/>
          <w:sz w:val="28"/>
          <w:szCs w:val="23"/>
        </w:rPr>
      </w:pPr>
    </w:p>
    <w:p w14:paraId="507AD006" w14:textId="386225F3" w:rsidR="009F4F5A" w:rsidRPr="0055724E" w:rsidRDefault="009F4F5A" w:rsidP="00445DA3">
      <w:pPr>
        <w:widowControl/>
        <w:spacing w:beforeLines="50" w:before="180" w:line="480" w:lineRule="auto"/>
        <w:rPr>
          <w:rFonts w:ascii="Helvetica Neue" w:hAnsi="Helvetica Neue" w:cs="宋体"/>
          <w:color w:val="616161"/>
          <w:spacing w:val="8"/>
          <w:kern w:val="0"/>
          <w:sz w:val="28"/>
          <w:szCs w:val="24"/>
        </w:rPr>
      </w:pPr>
      <w:r w:rsidRPr="0055724E">
        <w:rPr>
          <w:rFonts w:ascii="Helvetica Neue" w:hAnsi="Helvetica Neue" w:cs="宋体"/>
          <w:b/>
          <w:bCs/>
          <w:color w:val="353736"/>
          <w:spacing w:val="8"/>
          <w:kern w:val="0"/>
          <w:sz w:val="28"/>
          <w:szCs w:val="23"/>
        </w:rPr>
        <w:t>（一）</w:t>
      </w:r>
      <w:r w:rsidRPr="0055724E">
        <w:rPr>
          <w:rFonts w:ascii="Helvetica Neue" w:hAnsi="Helvetica Neue" w:cs="宋体"/>
          <w:b/>
          <w:bCs/>
          <w:color w:val="353736"/>
          <w:spacing w:val="8"/>
          <w:kern w:val="0"/>
          <w:sz w:val="28"/>
          <w:szCs w:val="23"/>
        </w:rPr>
        <w:t>“</w:t>
      </w:r>
      <w:r w:rsidRPr="0055724E">
        <w:rPr>
          <w:rFonts w:ascii="Helvetica Neue" w:hAnsi="Helvetica Neue" w:cs="宋体"/>
          <w:b/>
          <w:bCs/>
          <w:color w:val="353736"/>
          <w:spacing w:val="8"/>
          <w:kern w:val="0"/>
          <w:sz w:val="28"/>
          <w:szCs w:val="23"/>
        </w:rPr>
        <w:t>善者</w:t>
      </w:r>
      <w:r w:rsidRPr="0055724E">
        <w:rPr>
          <w:rFonts w:ascii="Helvetica Neue" w:hAnsi="Helvetica Neue" w:cs="宋体"/>
          <w:b/>
          <w:bCs/>
          <w:color w:val="353736"/>
          <w:spacing w:val="8"/>
          <w:kern w:val="0"/>
          <w:sz w:val="28"/>
          <w:szCs w:val="23"/>
        </w:rPr>
        <w:t>”</w:t>
      </w:r>
      <w:r w:rsidRPr="0055724E">
        <w:rPr>
          <w:rFonts w:ascii="Helvetica Neue" w:hAnsi="Helvetica Neue" w:cs="宋体"/>
          <w:b/>
          <w:bCs/>
          <w:color w:val="353736"/>
          <w:spacing w:val="8"/>
          <w:kern w:val="0"/>
          <w:sz w:val="28"/>
          <w:szCs w:val="23"/>
        </w:rPr>
        <w:t>的常見用法</w:t>
      </w:r>
    </w:p>
    <w:p w14:paraId="128B5F62" w14:textId="78257A6B" w:rsidR="009F4F5A" w:rsidRPr="0055724E" w:rsidRDefault="00687FDE" w:rsidP="00445DA3">
      <w:pPr>
        <w:widowControl/>
        <w:spacing w:beforeLines="50" w:before="180" w:line="480" w:lineRule="auto"/>
        <w:ind w:firstLine="480"/>
        <w:rPr>
          <w:rFonts w:ascii="Helvetica Neue" w:hAnsi="Helvetica Neue" w:cs="宋体"/>
          <w:color w:val="616161"/>
          <w:spacing w:val="8"/>
          <w:kern w:val="0"/>
          <w:sz w:val="28"/>
          <w:szCs w:val="24"/>
        </w:rPr>
      </w:pPr>
      <w:r w:rsidRPr="00687FDE">
        <w:rPr>
          <w:rFonts w:hAnsi="Helvetica Neue" w:cs="宋体"/>
          <w:b/>
          <w:bCs/>
          <w:color w:val="353736"/>
          <w:spacing w:val="8"/>
          <w:kern w:val="0"/>
          <w:sz w:val="28"/>
          <w:szCs w:val="23"/>
        </w:rPr>
        <w:t>1</w:t>
      </w:r>
      <w:r w:rsidR="009F4F5A" w:rsidRPr="0055724E">
        <w:rPr>
          <w:rFonts w:ascii="Helvetica Neue" w:hAnsi="Helvetica Neue" w:cs="宋体"/>
          <w:b/>
          <w:bCs/>
          <w:color w:val="353736"/>
          <w:spacing w:val="8"/>
          <w:kern w:val="0"/>
          <w:sz w:val="28"/>
          <w:szCs w:val="23"/>
        </w:rPr>
        <w:t>.</w:t>
      </w:r>
    </w:p>
    <w:p w14:paraId="07D6E6FB" w14:textId="77777777"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上面舉了單用一個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字來指能幹的人、能把事做得很好的人的例子，古書中屢見的指人的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一詞中的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多數也是表示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能幹（能力强）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能把事做得很好</w:t>
      </w:r>
      <w:r w:rsidRPr="0055724E">
        <w:rPr>
          <w:rFonts w:ascii="Helvetica Neue" w:hAnsi="Helvetica Neue" w:cs="宋体"/>
          <w:color w:val="353736"/>
          <w:spacing w:val="8"/>
          <w:kern w:val="0"/>
          <w:sz w:val="18"/>
          <w:szCs w:val="18"/>
        </w:rPr>
        <w:t>（從古書用例看往往指在某一方面能把事做得很好）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這類意思的。</w:t>
      </w:r>
    </w:p>
    <w:p w14:paraId="5E72E62E" w14:textId="77777777" w:rsidR="009F4F5A"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古兵書中多見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p>
    <w:p w14:paraId="79624973" w14:textId="51FF59F6"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lastRenderedPageBreak/>
        <w:t>（</w:t>
      </w:r>
      <w:r w:rsidR="00687FDE" w:rsidRPr="00687FDE">
        <w:rPr>
          <w:rFonts w:hAnsi="Helvetica Neue" w:cs="宋体"/>
          <w:color w:val="353736"/>
          <w:spacing w:val="8"/>
          <w:kern w:val="0"/>
          <w:sz w:val="28"/>
          <w:szCs w:val="23"/>
        </w:rPr>
        <w:t>1</w:t>
      </w:r>
      <w:r w:rsidRPr="0055724E">
        <w:rPr>
          <w:rFonts w:ascii="Helvetica Neue" w:hAnsi="Helvetica Neue" w:cs="宋体"/>
          <w:color w:val="353736"/>
          <w:spacing w:val="8"/>
          <w:kern w:val="0"/>
          <w:sz w:val="28"/>
          <w:szCs w:val="23"/>
        </w:rPr>
        <w:t>）銀雀山漢簡《孫子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形》篇</w:t>
      </w:r>
      <w:r w:rsidRPr="0055724E">
        <w:rPr>
          <w:rFonts w:ascii="Helvetica Neue" w:hAnsi="Helvetica Neue" w:cs="宋体"/>
          <w:color w:val="353736"/>
          <w:spacing w:val="8"/>
          <w:kern w:val="0"/>
          <w:sz w:val="18"/>
          <w:szCs w:val="18"/>
        </w:rPr>
        <w:t>（乙本。《形》篇傳本篇名作《軍形》）</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故</w:t>
      </w:r>
      <w:r w:rsidRPr="0055724E">
        <w:rPr>
          <w:rFonts w:ascii="Helvetica Neue" w:eastAsia="楷体" w:hAnsi="Helvetica Neue" w:cs="宋体"/>
          <w:b/>
          <w:bCs/>
          <w:color w:val="000000" w:themeColor="text1"/>
          <w:spacing w:val="8"/>
          <w:kern w:val="0"/>
          <w:sz w:val="28"/>
          <w:szCs w:val="23"/>
          <w:u w:val="single"/>
        </w:rPr>
        <w:t>善者</w:t>
      </w:r>
      <w:r w:rsidRPr="0055724E">
        <w:rPr>
          <w:rFonts w:ascii="Helvetica Neue" w:eastAsia="楷体" w:hAnsi="Helvetica Neue" w:cs="宋体"/>
          <w:color w:val="000000" w:themeColor="text1"/>
          <w:spacing w:val="8"/>
          <w:kern w:val="0"/>
          <w:sz w:val="28"/>
          <w:szCs w:val="23"/>
        </w:rPr>
        <w:t>能爲不可勝，〔不能使敵之〕可勝</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（簡</w:t>
      </w:r>
      <w:r w:rsidR="00687FDE" w:rsidRPr="00687FDE">
        <w:rPr>
          <w:rFonts w:hAnsi="Helvetica Neue" w:cs="宋体"/>
          <w:color w:val="353736"/>
          <w:spacing w:val="8"/>
          <w:kern w:val="0"/>
          <w:sz w:val="28"/>
          <w:szCs w:val="23"/>
        </w:rPr>
        <w:t>37</w:t>
      </w: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38</w:t>
      </w:r>
      <w:r w:rsidRPr="0055724E">
        <w:rPr>
          <w:rFonts w:ascii="Helvetica Neue" w:hAnsi="Helvetica Neue" w:cs="宋体"/>
          <w:color w:val="353736"/>
          <w:spacing w:val="8"/>
          <w:kern w:val="0"/>
          <w:sz w:val="28"/>
          <w:szCs w:val="23"/>
        </w:rPr>
        <w:t>），整理者注：</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故善者，十一家本作故善戰者。</w:t>
      </w:r>
      <w:r w:rsidRPr="0055724E">
        <w:rPr>
          <w:rFonts w:ascii="Helvetica Neue" w:hAnsi="Helvetica Neue" w:cs="宋体"/>
          <w:color w:val="353736"/>
          <w:spacing w:val="8"/>
          <w:kern w:val="0"/>
          <w:sz w:val="28"/>
          <w:szCs w:val="23"/>
        </w:rPr>
        <w:t>”</w:t>
      </w:r>
      <w:r w:rsidRPr="00965627">
        <w:rPr>
          <w:rStyle w:val="ae"/>
          <w:rFonts w:ascii="Helvetica Neue" w:hAnsi="Helvetica Neue" w:cs="宋体"/>
          <w:color w:val="353736"/>
          <w:spacing w:val="8"/>
          <w:kern w:val="0"/>
          <w:sz w:val="28"/>
          <w:szCs w:val="23"/>
        </w:rPr>
        <w:endnoteReference w:id="107"/>
      </w:r>
    </w:p>
    <w:p w14:paraId="481CC234" w14:textId="39A97845"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2</w:t>
      </w:r>
      <w:r w:rsidRPr="0055724E">
        <w:rPr>
          <w:rFonts w:ascii="Helvetica Neue" w:hAnsi="Helvetica Neue" w:cs="宋体"/>
          <w:color w:val="353736"/>
          <w:spacing w:val="8"/>
          <w:kern w:val="0"/>
          <w:sz w:val="28"/>
          <w:szCs w:val="23"/>
        </w:rPr>
        <w:t>）銀雀山漢簡《孫臏兵法</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威王問》篇：</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田忌忿然作色：</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此六者</w:t>
      </w:r>
      <w:r w:rsidRPr="0055724E">
        <w:rPr>
          <w:rFonts w:ascii="Helvetica Neue" w:hAnsi="Helvetica Neue" w:cs="宋体"/>
          <w:color w:val="353736"/>
          <w:spacing w:val="8"/>
          <w:kern w:val="0"/>
          <w:sz w:val="18"/>
          <w:szCs w:val="18"/>
        </w:rPr>
        <w:t>（引者按：即其上文所説的賞罰權勢謀詐）</w:t>
      </w:r>
      <w:r w:rsidRPr="0055724E">
        <w:rPr>
          <w:rFonts w:ascii="Helvetica Neue" w:eastAsia="楷体" w:hAnsi="Helvetica Neue" w:cs="宋体"/>
          <w:color w:val="000000" w:themeColor="text1"/>
          <w:spacing w:val="8"/>
          <w:kern w:val="0"/>
          <w:sz w:val="28"/>
          <w:szCs w:val="23"/>
        </w:rPr>
        <w:t>，皆</w:t>
      </w:r>
      <w:r w:rsidRPr="0055724E">
        <w:rPr>
          <w:rFonts w:ascii="Helvetica Neue" w:eastAsia="楷体" w:hAnsi="Helvetica Neue" w:cs="宋体"/>
          <w:b/>
          <w:bCs/>
          <w:color w:val="000000" w:themeColor="text1"/>
          <w:spacing w:val="8"/>
          <w:kern w:val="0"/>
          <w:sz w:val="28"/>
          <w:szCs w:val="23"/>
          <w:u w:val="single"/>
        </w:rPr>
        <w:t>善者</w:t>
      </w:r>
      <w:r w:rsidRPr="0055724E">
        <w:rPr>
          <w:rFonts w:ascii="Helvetica Neue" w:eastAsia="楷体" w:hAnsi="Helvetica Neue" w:cs="宋体"/>
          <w:color w:val="000000" w:themeColor="text1"/>
          <w:spacing w:val="8"/>
          <w:kern w:val="0"/>
          <w:sz w:val="28"/>
          <w:szCs w:val="23"/>
        </w:rPr>
        <w:t>所用，而夫子曰非其急者也，然則其急者何也？</w:t>
      </w:r>
      <w:r w:rsidRPr="0055724E">
        <w:rPr>
          <w:rFonts w:ascii="Helvetica Neue" w:eastAsia="楷体" w:hAnsi="Helvetica Neue" w:cs="宋体"/>
          <w:color w:val="000000" w:themeColor="text1"/>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整理者注：</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古兵書多稱善戰者爲善者。《六韜</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豹韜</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敵武》：</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善者以勝，不善者以亡。</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18"/>
          <w:szCs w:val="18"/>
        </w:rPr>
        <w:t>（引者按：《尉繚子</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權守》亦有</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善者</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之語，此外如《管子</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兵法》、《淮南子</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兵略》等也用</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善者</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之語）</w:t>
      </w:r>
      <w:r w:rsidRPr="0055724E">
        <w:rPr>
          <w:rFonts w:ascii="Helvetica Neue" w:hAnsi="Helvetica Neue" w:cs="宋体"/>
          <w:color w:val="353736"/>
          <w:spacing w:val="8"/>
          <w:kern w:val="0"/>
          <w:sz w:val="28"/>
          <w:szCs w:val="23"/>
        </w:rPr>
        <w:t>今本《孫子》中之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善戰者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，銀雀山竹簡本《孫子》多作</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965627">
        <w:rPr>
          <w:rStyle w:val="ae"/>
          <w:rFonts w:ascii="Helvetica Neue" w:hAnsi="Helvetica Neue" w:cs="宋体"/>
          <w:color w:val="353736"/>
          <w:spacing w:val="8"/>
          <w:kern w:val="0"/>
          <w:sz w:val="28"/>
          <w:szCs w:val="23"/>
        </w:rPr>
        <w:endnoteReference w:id="108"/>
      </w:r>
      <w:r w:rsidRPr="0055724E">
        <w:rPr>
          <w:rFonts w:ascii="Helvetica Neue" w:hAnsi="Helvetica Neue" w:cs="宋体"/>
          <w:color w:val="353736"/>
          <w:spacing w:val="8"/>
          <w:kern w:val="0"/>
          <w:sz w:val="28"/>
          <w:szCs w:val="23"/>
        </w:rPr>
        <w:t>按：竹簡本《孫子》中的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傳本偶有作</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善用兵者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的，如《形》篇</w:t>
      </w:r>
      <w:r w:rsidRPr="0055724E">
        <w:rPr>
          <w:rFonts w:ascii="Helvetica Neue" w:hAnsi="Helvetica Neue" w:cs="宋体"/>
          <w:color w:val="353736"/>
          <w:spacing w:val="8"/>
          <w:kern w:val="0"/>
          <w:sz w:val="18"/>
          <w:szCs w:val="18"/>
        </w:rPr>
        <w:t>（甲本）</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善者修道〔而保〕法</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中的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善者</w:t>
      </w:r>
      <w:r w:rsidRPr="0055724E">
        <w:rPr>
          <w:rFonts w:ascii="Helvetica Neue" w:hAnsi="Helvetica Neue" w:cs="宋体"/>
          <w:color w:val="353736"/>
          <w:spacing w:val="8"/>
          <w:kern w:val="0"/>
          <w:sz w:val="28"/>
          <w:szCs w:val="23"/>
        </w:rPr>
        <w:t>”</w:t>
      </w:r>
      <w:r w:rsidRPr="00965627">
        <w:rPr>
          <w:rStyle w:val="ae"/>
          <w:rFonts w:ascii="Helvetica Neue" w:hAnsi="Helvetica Neue" w:cs="宋体"/>
          <w:color w:val="353736"/>
          <w:spacing w:val="8"/>
          <w:kern w:val="0"/>
          <w:sz w:val="28"/>
          <w:szCs w:val="23"/>
        </w:rPr>
        <w:endnoteReference w:id="109"/>
      </w:r>
      <w:r w:rsidRPr="0055724E">
        <w:rPr>
          <w:rFonts w:ascii="Helvetica Neue" w:hAnsi="Helvetica Neue" w:cs="宋体"/>
          <w:color w:val="353736"/>
          <w:spacing w:val="8"/>
          <w:kern w:val="0"/>
          <w:sz w:val="28"/>
          <w:szCs w:val="23"/>
        </w:rPr>
        <w:t>。</w:t>
      </w:r>
    </w:p>
    <w:p w14:paraId="182DF05C" w14:textId="555FE9F6"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3</w:t>
      </w:r>
      <w:r w:rsidRPr="0055724E">
        <w:rPr>
          <w:rFonts w:ascii="Helvetica Neue" w:hAnsi="Helvetica Neue" w:cs="宋体"/>
          <w:color w:val="353736"/>
          <w:spacing w:val="8"/>
          <w:kern w:val="0"/>
          <w:sz w:val="28"/>
          <w:szCs w:val="23"/>
        </w:rPr>
        <w:t>）《銀雀山漢墓竹簡［貳］》收有佚兵書《善者》篇，篇中</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屢見，整理者注：</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善者，指善用兵者。</w:t>
      </w:r>
      <w:r w:rsidRPr="0055724E">
        <w:rPr>
          <w:rFonts w:ascii="Helvetica Neue" w:hAnsi="Helvetica Neue" w:cs="宋体"/>
          <w:color w:val="353736"/>
          <w:spacing w:val="8"/>
          <w:kern w:val="0"/>
          <w:sz w:val="28"/>
          <w:szCs w:val="23"/>
        </w:rPr>
        <w:t>”</w:t>
      </w:r>
      <w:r w:rsidRPr="00965627">
        <w:rPr>
          <w:rStyle w:val="ae"/>
          <w:rFonts w:ascii="Helvetica Neue" w:hAnsi="Helvetica Neue" w:cs="宋体"/>
          <w:color w:val="353736"/>
          <w:spacing w:val="8"/>
          <w:kern w:val="0"/>
          <w:sz w:val="28"/>
          <w:szCs w:val="23"/>
        </w:rPr>
        <w:endnoteReference w:id="110"/>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善戰者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善用兵者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之語已見於簡本《孫子》</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善戰者</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三見，分見《勢》</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即傳本《兵勢》、《實虚》</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即傳本《虚實》、《九地》三篇，傳本前兩處同簡本，最後一處作</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善用兵者</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善用兵者</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一見，見相當於傳本《謀攻》之篇，傳本文同）</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，似乎也可以認爲是</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善戰者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善用兵者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的省稱，但我們前面在討論《孫子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軍形》篇中</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戰勝而天下曰善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句的時候，已經指出《孫子》認爲主要靠</w:t>
      </w:r>
      <w:r w:rsidRPr="0055724E">
        <w:rPr>
          <w:rFonts w:ascii="Helvetica Neue" w:hAnsi="Helvetica Neue" w:cs="宋体"/>
          <w:color w:val="353736"/>
          <w:spacing w:val="8"/>
          <w:kern w:val="0"/>
          <w:sz w:val="28"/>
          <w:szCs w:val="23"/>
        </w:rPr>
        <w:lastRenderedPageBreak/>
        <w:t>打仗打得好、用兵用得好來取勝的人並非真正高明、有才能的人，也就是並非真正的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善戰者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善用兵者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。《孫子》簡本多説</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而不大説</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善戰者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善用兵者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，也可能與此有關。</w:t>
      </w:r>
    </w:p>
    <w:p w14:paraId="5BB67FDA" w14:textId="77777777"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古書中有些</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指善於爲政治國者，如：</w:t>
      </w:r>
    </w:p>
    <w:p w14:paraId="768F02FE" w14:textId="29B4081C" w:rsidR="009F4F5A"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1</w:t>
      </w:r>
      <w:r w:rsidRPr="0055724E">
        <w:rPr>
          <w:rFonts w:ascii="Helvetica Neue" w:hAnsi="Helvetica Neue" w:cs="宋体"/>
          <w:color w:val="353736"/>
          <w:spacing w:val="8"/>
          <w:kern w:val="0"/>
          <w:sz w:val="28"/>
          <w:szCs w:val="23"/>
        </w:rPr>
        <w:t>）郭店《尊德義》簡</w:t>
      </w:r>
      <w:r w:rsidR="00687FDE" w:rsidRPr="00687FDE">
        <w:rPr>
          <w:rFonts w:hAnsi="Helvetica Neue" w:cs="宋体"/>
          <w:color w:val="353736"/>
          <w:spacing w:val="8"/>
          <w:kern w:val="0"/>
          <w:sz w:val="28"/>
          <w:szCs w:val="23"/>
        </w:rPr>
        <w:t>27</w:t>
      </w: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28</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eastAsia="楷体" w:hAnsi="Helvetica Neue" w:cs="宋体"/>
          <w:b/>
          <w:bCs/>
          <w:color w:val="000000" w:themeColor="text1"/>
          <w:spacing w:val="8"/>
          <w:kern w:val="0"/>
          <w:sz w:val="28"/>
          <w:szCs w:val="23"/>
          <w:u w:val="single"/>
        </w:rPr>
        <w:t>善者</w:t>
      </w:r>
      <w:r w:rsidRPr="0055724E">
        <w:rPr>
          <w:rFonts w:ascii="Helvetica Neue" w:eastAsia="楷体" w:hAnsi="Helvetica Neue" w:cs="宋体"/>
          <w:color w:val="000000" w:themeColor="text1"/>
          <w:spacing w:val="8"/>
          <w:kern w:val="0"/>
          <w:sz w:val="28"/>
          <w:szCs w:val="23"/>
        </w:rPr>
        <w:t>民必富，富未必和，不和不安，不安不樂。</w:t>
      </w:r>
      <w:r w:rsidRPr="0055724E">
        <w:rPr>
          <w:rFonts w:ascii="Helvetica Neue" w:eastAsia="楷体" w:hAnsi="Helvetica Neue" w:cs="宋体"/>
          <w:b/>
          <w:bCs/>
          <w:color w:val="000000" w:themeColor="text1"/>
          <w:spacing w:val="8"/>
          <w:kern w:val="0"/>
          <w:sz w:val="28"/>
          <w:szCs w:val="23"/>
          <w:u w:val="single"/>
        </w:rPr>
        <w:t>善者</w:t>
      </w:r>
      <w:r w:rsidRPr="0055724E">
        <w:rPr>
          <w:rFonts w:ascii="Helvetica Neue" w:eastAsia="楷体" w:hAnsi="Helvetica Neue" w:cs="宋体"/>
          <w:color w:val="000000" w:themeColor="text1"/>
          <w:spacing w:val="8"/>
          <w:kern w:val="0"/>
          <w:sz w:val="28"/>
          <w:szCs w:val="23"/>
        </w:rPr>
        <w:t>民必衆，衆未必治，不治不順，不順不平。</w:t>
      </w:r>
      <w:r w:rsidRPr="0055724E">
        <w:rPr>
          <w:rFonts w:ascii="Helvetica Neue" w:hAnsi="Helvetica Neue" w:cs="宋体"/>
          <w:color w:val="353736"/>
          <w:spacing w:val="8"/>
          <w:kern w:val="0"/>
          <w:sz w:val="28"/>
          <w:szCs w:val="23"/>
        </w:rPr>
        <w:t>”</w:t>
      </w:r>
    </w:p>
    <w:p w14:paraId="3A6F74D3" w14:textId="2106547D" w:rsidR="009F4F5A"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2</w:t>
      </w:r>
      <w:r w:rsidRPr="0055724E">
        <w:rPr>
          <w:rFonts w:ascii="Helvetica Neue" w:hAnsi="Helvetica Neue" w:cs="宋体"/>
          <w:color w:val="353736"/>
          <w:spacing w:val="8"/>
          <w:kern w:val="0"/>
          <w:sz w:val="28"/>
          <w:szCs w:val="23"/>
        </w:rPr>
        <w:t>）《管子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禁藏》：</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故凡治亂之情，皆道上始，故</w:t>
      </w:r>
      <w:r w:rsidRPr="0055724E">
        <w:rPr>
          <w:rFonts w:ascii="Helvetica Neue" w:eastAsia="楷体" w:hAnsi="Helvetica Neue" w:cs="宋体"/>
          <w:b/>
          <w:bCs/>
          <w:color w:val="000000" w:themeColor="text1"/>
          <w:spacing w:val="8"/>
          <w:kern w:val="0"/>
          <w:sz w:val="28"/>
          <w:szCs w:val="23"/>
          <w:u w:val="single"/>
        </w:rPr>
        <w:t>善者</w:t>
      </w:r>
      <w:r w:rsidRPr="0055724E">
        <w:rPr>
          <w:rFonts w:ascii="Helvetica Neue" w:eastAsia="楷体" w:hAnsi="Helvetica Neue" w:cs="宋体"/>
          <w:color w:val="000000" w:themeColor="text1"/>
          <w:spacing w:val="8"/>
          <w:kern w:val="0"/>
          <w:sz w:val="28"/>
          <w:szCs w:val="23"/>
        </w:rPr>
        <w:t>圉之以害，牽之以利。能利害者，財多而過寡矣。</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故利之所在，雖千仞之山，無所不上；深源之下，無所不入焉；故</w:t>
      </w:r>
      <w:r w:rsidRPr="0055724E">
        <w:rPr>
          <w:rFonts w:ascii="Helvetica Neue" w:eastAsia="楷体" w:hAnsi="Helvetica Neue" w:cs="宋体"/>
          <w:b/>
          <w:bCs/>
          <w:color w:val="000000" w:themeColor="text1"/>
          <w:spacing w:val="8"/>
          <w:kern w:val="0"/>
          <w:sz w:val="28"/>
          <w:szCs w:val="23"/>
          <w:u w:val="single"/>
        </w:rPr>
        <w:t>善者</w:t>
      </w:r>
      <w:r w:rsidRPr="0055724E">
        <w:rPr>
          <w:rFonts w:ascii="Helvetica Neue" w:eastAsia="楷体" w:hAnsi="Helvetica Neue" w:cs="宋体"/>
          <w:color w:val="000000" w:themeColor="text1"/>
          <w:spacing w:val="8"/>
          <w:kern w:val="0"/>
          <w:sz w:val="28"/>
          <w:szCs w:val="23"/>
        </w:rPr>
        <w:t>勢利之在，而民自美安，不推而往，不引而來，不煩不擾，而民自富。</w:t>
      </w:r>
      <w:r w:rsidRPr="0055724E">
        <w:rPr>
          <w:rFonts w:ascii="Helvetica Neue" w:hAnsi="Helvetica Neue" w:cs="宋体"/>
          <w:color w:val="353736"/>
          <w:spacing w:val="8"/>
          <w:kern w:val="0"/>
          <w:sz w:val="28"/>
          <w:szCs w:val="23"/>
        </w:rPr>
        <w:t>”</w:t>
      </w:r>
    </w:p>
    <w:p w14:paraId="6B2E897B" w14:textId="0C7BA51A"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3</w:t>
      </w:r>
      <w:r w:rsidRPr="0055724E">
        <w:rPr>
          <w:rFonts w:ascii="Helvetica Neue" w:hAnsi="Helvetica Neue" w:cs="宋体"/>
          <w:color w:val="353736"/>
          <w:spacing w:val="8"/>
          <w:kern w:val="0"/>
          <w:sz w:val="28"/>
          <w:szCs w:val="23"/>
        </w:rPr>
        <w:t>）《禮記</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大學》：</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小人之使爲國家，菑害並至。雖有</w:t>
      </w:r>
      <w:r w:rsidRPr="0055724E">
        <w:rPr>
          <w:rFonts w:ascii="Helvetica Neue" w:eastAsia="楷体" w:hAnsi="Helvetica Neue" w:cs="宋体"/>
          <w:b/>
          <w:bCs/>
          <w:color w:val="000000" w:themeColor="text1"/>
          <w:spacing w:val="8"/>
          <w:kern w:val="0"/>
          <w:sz w:val="28"/>
          <w:szCs w:val="23"/>
          <w:u w:val="single"/>
        </w:rPr>
        <w:t>善者</w:t>
      </w:r>
      <w:r w:rsidRPr="0055724E">
        <w:rPr>
          <w:rFonts w:ascii="Helvetica Neue" w:eastAsia="楷体" w:hAnsi="Helvetica Neue" w:cs="宋体"/>
          <w:color w:val="000000" w:themeColor="text1"/>
          <w:spacing w:val="8"/>
          <w:kern w:val="0"/>
          <w:sz w:val="28"/>
          <w:szCs w:val="23"/>
        </w:rPr>
        <w:t>，亦無如之何矣。</w:t>
      </w:r>
      <w:r w:rsidRPr="0055724E">
        <w:rPr>
          <w:rFonts w:ascii="Helvetica Neue" w:hAnsi="Helvetica Neue" w:cs="宋体"/>
          <w:color w:val="353736"/>
          <w:spacing w:val="8"/>
          <w:kern w:val="0"/>
          <w:sz w:val="28"/>
          <w:szCs w:val="23"/>
        </w:rPr>
        <w:t>”</w:t>
      </w:r>
    </w:p>
    <w:p w14:paraId="58436CBB" w14:textId="77777777"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前文引過的《孟子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盡心上》：</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善政，不如善教之得民也。善政民畏之，善教民愛之。善政得民財，善教得民心。</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18"/>
          <w:szCs w:val="18"/>
        </w:rPr>
        <w:t>［見一（一）］</w:t>
      </w:r>
      <w:r w:rsidRPr="0055724E">
        <w:rPr>
          <w:rFonts w:ascii="Helvetica Neue" w:hAnsi="Helvetica Neue" w:cs="宋体"/>
          <w:color w:val="353736"/>
          <w:spacing w:val="8"/>
          <w:kern w:val="0"/>
          <w:sz w:val="28"/>
          <w:szCs w:val="23"/>
        </w:rPr>
        <w:t>這種</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也可以説就是</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善政</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者，當然，究竟怎樣的爲政者可以</w:t>
      </w:r>
      <w:r w:rsidRPr="0055724E">
        <w:rPr>
          <w:rFonts w:ascii="Helvetica Neue" w:hAnsi="Helvetica Neue" w:cs="宋体"/>
          <w:color w:val="353736"/>
          <w:spacing w:val="8"/>
          <w:kern w:val="0"/>
          <w:sz w:val="28"/>
          <w:szCs w:val="23"/>
        </w:rPr>
        <w:lastRenderedPageBreak/>
        <w:t>算</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善政</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者，在不同情況下可以有不同標準。上面舉過的《子產》篇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由善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18"/>
          <w:szCs w:val="18"/>
        </w:rPr>
        <w:t>［見二（七）］</w:t>
      </w:r>
      <w:r w:rsidRPr="0055724E">
        <w:rPr>
          <w:rFonts w:ascii="Helvetica Neue" w:hAnsi="Helvetica Neue" w:cs="宋体"/>
          <w:color w:val="353736"/>
          <w:spacing w:val="8"/>
          <w:kern w:val="0"/>
          <w:sz w:val="28"/>
          <w:szCs w:val="23"/>
        </w:rPr>
        <w:t>主要也應指善於爲政者。</w:t>
      </w:r>
    </w:p>
    <w:p w14:paraId="32254877" w14:textId="77777777"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《韓非子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内儲説上》：</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韓昭侯曰：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吹竽者眾，吾無以知其</w:t>
      </w:r>
      <w:r w:rsidRPr="0055724E">
        <w:rPr>
          <w:rFonts w:ascii="Helvetica Neue" w:eastAsia="楷体" w:hAnsi="Helvetica Neue" w:cs="宋体"/>
          <w:b/>
          <w:bCs/>
          <w:color w:val="000000" w:themeColor="text1"/>
          <w:spacing w:val="8"/>
          <w:kern w:val="0"/>
          <w:sz w:val="28"/>
          <w:szCs w:val="23"/>
          <w:u w:val="single"/>
        </w:rPr>
        <w:t>善者</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田嚴對曰：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一一而聽之。</w:t>
      </w:r>
      <w:r w:rsidRPr="0055724E">
        <w:rPr>
          <w:rFonts w:ascii="Helvetica Neue" w:eastAsia="楷体" w:hAnsi="Helvetica Neue" w:cs="宋体"/>
          <w:color w:val="000000" w:themeColor="text1"/>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此文的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指擅長吹竽的人。</w:t>
      </w:r>
    </w:p>
    <w:p w14:paraId="1E077CF5" w14:textId="77777777"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《吕氏春秋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察賢》：</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今夫塞（簺）者，勇力、時日、卜筮、禱祠無事焉，</w:t>
      </w:r>
      <w:r w:rsidRPr="0055724E">
        <w:rPr>
          <w:rFonts w:ascii="Helvetica Neue" w:eastAsia="楷体" w:hAnsi="Helvetica Neue" w:cs="宋体"/>
          <w:b/>
          <w:bCs/>
          <w:color w:val="000000" w:themeColor="text1"/>
          <w:spacing w:val="8"/>
          <w:kern w:val="0"/>
          <w:sz w:val="28"/>
          <w:szCs w:val="23"/>
          <w:u w:val="single"/>
        </w:rPr>
        <w:t>善者</w:t>
      </w:r>
      <w:r w:rsidRPr="0055724E">
        <w:rPr>
          <w:rFonts w:ascii="Helvetica Neue" w:eastAsia="楷体" w:hAnsi="Helvetica Neue" w:cs="宋体"/>
          <w:color w:val="000000" w:themeColor="text1"/>
          <w:spacing w:val="8"/>
          <w:kern w:val="0"/>
          <w:sz w:val="28"/>
          <w:szCs w:val="23"/>
        </w:rPr>
        <w:t>必勝。</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此文的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指擅長博簺的人。</w:t>
      </w:r>
    </w:p>
    <w:p w14:paraId="743A7050" w14:textId="77777777"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先秦漢語中還有些指人的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的意義與上述</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有所不同，我們將在後面討論</w:t>
      </w:r>
      <w:r w:rsidRPr="0055724E">
        <w:rPr>
          <w:rFonts w:ascii="Helvetica Neue" w:hAnsi="Helvetica Neue" w:cs="宋体"/>
          <w:color w:val="353736"/>
          <w:spacing w:val="8"/>
          <w:kern w:val="0"/>
          <w:sz w:val="18"/>
          <w:szCs w:val="18"/>
        </w:rPr>
        <w:t>［見三（三）］</w:t>
      </w:r>
      <w:r w:rsidRPr="0055724E">
        <w:rPr>
          <w:rFonts w:ascii="Helvetica Neue" w:hAnsi="Helvetica Neue" w:cs="宋体"/>
          <w:color w:val="353736"/>
          <w:spacing w:val="8"/>
          <w:kern w:val="0"/>
          <w:sz w:val="28"/>
          <w:szCs w:val="23"/>
        </w:rPr>
        <w:t>。</w:t>
      </w:r>
    </w:p>
    <w:p w14:paraId="1DD52C44" w14:textId="679EAC7A" w:rsidR="009F4F5A" w:rsidRPr="0055724E" w:rsidRDefault="00687FDE" w:rsidP="00445DA3">
      <w:pPr>
        <w:widowControl/>
        <w:spacing w:beforeLines="50" w:before="180" w:line="480" w:lineRule="auto"/>
        <w:ind w:firstLine="480"/>
        <w:rPr>
          <w:rFonts w:ascii="Helvetica Neue" w:hAnsi="Helvetica Neue" w:cs="宋体"/>
          <w:color w:val="616161"/>
          <w:spacing w:val="8"/>
          <w:kern w:val="0"/>
          <w:sz w:val="28"/>
          <w:szCs w:val="24"/>
        </w:rPr>
      </w:pPr>
      <w:r w:rsidRPr="00687FDE">
        <w:rPr>
          <w:rFonts w:hAnsi="Helvetica Neue" w:cs="宋体"/>
          <w:b/>
          <w:bCs/>
          <w:color w:val="353736"/>
          <w:spacing w:val="8"/>
          <w:kern w:val="0"/>
          <w:sz w:val="28"/>
          <w:szCs w:val="23"/>
        </w:rPr>
        <w:t>2</w:t>
      </w:r>
      <w:r w:rsidR="009F4F5A" w:rsidRPr="0055724E">
        <w:rPr>
          <w:rFonts w:ascii="Helvetica Neue" w:hAnsi="Helvetica Neue" w:cs="宋体"/>
          <w:b/>
          <w:bCs/>
          <w:color w:val="353736"/>
          <w:spacing w:val="8"/>
          <w:kern w:val="0"/>
          <w:sz w:val="28"/>
          <w:szCs w:val="23"/>
        </w:rPr>
        <w:t>.</w:t>
      </w:r>
    </w:p>
    <w:p w14:paraId="160FE55A" w14:textId="77777777"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還應指出，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既可以指人之善者，也可以指事物（包括有生命的事物）之善者，甚至還可以兼指二者。</w:t>
      </w:r>
    </w:p>
    <w:p w14:paraId="43D34D98" w14:textId="00183A02"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1</w:t>
      </w:r>
      <w:r w:rsidRPr="0055724E">
        <w:rPr>
          <w:rFonts w:ascii="Helvetica Neue" w:hAnsi="Helvetica Neue" w:cs="宋体"/>
          <w:color w:val="353736"/>
          <w:spacing w:val="8"/>
          <w:kern w:val="0"/>
          <w:sz w:val="28"/>
          <w:szCs w:val="23"/>
        </w:rPr>
        <w:t>）《管子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小匡》：</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管子對曰：修舊法，擇其</w:t>
      </w:r>
      <w:r w:rsidRPr="0055724E">
        <w:rPr>
          <w:rFonts w:ascii="Helvetica Neue" w:eastAsia="楷体" w:hAnsi="Helvetica Neue" w:cs="宋体"/>
          <w:b/>
          <w:bCs/>
          <w:color w:val="000000" w:themeColor="text1"/>
          <w:spacing w:val="8"/>
          <w:kern w:val="0"/>
          <w:sz w:val="28"/>
          <w:szCs w:val="23"/>
          <w:u w:val="single"/>
        </w:rPr>
        <w:t>善者</w:t>
      </w:r>
      <w:r w:rsidRPr="0055724E">
        <w:rPr>
          <w:rFonts w:ascii="Helvetica Neue" w:eastAsia="楷体" w:hAnsi="Helvetica Neue" w:cs="宋体"/>
          <w:color w:val="000000" w:themeColor="text1"/>
          <w:spacing w:val="8"/>
          <w:kern w:val="0"/>
          <w:sz w:val="28"/>
          <w:szCs w:val="23"/>
        </w:rPr>
        <w:t>，舉而嚴用之</w:t>
      </w:r>
      <w:r w:rsidRPr="0055724E">
        <w:rPr>
          <w:rFonts w:ascii="Helvetica Neue" w:hAnsi="Helvetica Neue" w:cs="宋体"/>
          <w:color w:val="353736"/>
          <w:spacing w:val="8"/>
          <w:kern w:val="0"/>
          <w:sz w:val="18"/>
          <w:szCs w:val="18"/>
        </w:rPr>
        <w:t>（《小匡》篇的内容大部分亦見於《國語</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齊語》，此句</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嚴</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字《齊語》作</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業</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，王引之《經義述聞</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爾雅上</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業叙也》認爲《齊語》的</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業</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當訓爲次叙。</w:t>
      </w:r>
      <w:r>
        <w:rPr>
          <w:rStyle w:val="ae"/>
          <w:rFonts w:ascii="Helvetica Neue" w:hAnsi="Helvetica Neue" w:cs="宋体"/>
          <w:color w:val="353736"/>
          <w:spacing w:val="8"/>
          <w:kern w:val="0"/>
          <w:sz w:val="18"/>
          <w:szCs w:val="18"/>
        </w:rPr>
        <w:endnoteReference w:id="111"/>
      </w:r>
      <w:r w:rsidRPr="0055724E">
        <w:rPr>
          <w:rFonts w:ascii="Helvetica Neue" w:hAnsi="Helvetica Neue" w:cs="宋体"/>
          <w:color w:val="353736"/>
          <w:spacing w:val="8"/>
          <w:kern w:val="0"/>
          <w:sz w:val="18"/>
          <w:szCs w:val="18"/>
        </w:rPr>
        <w:t>今按：嚴、業的上古音有嚴格的陽入對轉關係，究竟是</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業</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音訛爲</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嚴</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，還是</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嚴</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音訛爲</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業</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，有待研究）</w:t>
      </w:r>
      <w:r w:rsidRPr="0055724E">
        <w:rPr>
          <w:rFonts w:ascii="Helvetica Neue" w:eastAsia="楷体" w:hAnsi="Helvetica Neue" w:cs="宋体"/>
          <w:color w:val="000000" w:themeColor="text1"/>
          <w:spacing w:val="8"/>
          <w:kern w:val="0"/>
          <w:sz w:val="28"/>
          <w:szCs w:val="23"/>
        </w:rPr>
        <w:t>，慈於民，予無財，寬政役，敬百姓，則國富而民安矣。</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《荀子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王霸》：</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循其舊法，擇其</w:t>
      </w:r>
      <w:r w:rsidRPr="0055724E">
        <w:rPr>
          <w:rFonts w:ascii="Helvetica Neue" w:eastAsia="楷体" w:hAnsi="Helvetica Neue" w:cs="宋体"/>
          <w:b/>
          <w:bCs/>
          <w:color w:val="000000" w:themeColor="text1"/>
          <w:spacing w:val="8"/>
          <w:kern w:val="0"/>
          <w:sz w:val="28"/>
          <w:szCs w:val="23"/>
          <w:u w:val="single"/>
        </w:rPr>
        <w:t>善者</w:t>
      </w:r>
      <w:r w:rsidRPr="0055724E">
        <w:rPr>
          <w:rFonts w:ascii="Helvetica Neue" w:eastAsia="楷体" w:hAnsi="Helvetica Neue" w:cs="宋体"/>
          <w:color w:val="000000" w:themeColor="text1"/>
          <w:spacing w:val="8"/>
          <w:kern w:val="0"/>
          <w:sz w:val="28"/>
          <w:szCs w:val="23"/>
        </w:rPr>
        <w:t>而明用之，足以順服好利之人矣。</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《小匡》</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修</w:t>
      </w:r>
      <w:r w:rsidRPr="0055724E">
        <w:rPr>
          <w:rFonts w:ascii="Helvetica Neue" w:hAnsi="Helvetica Neue" w:cs="宋体"/>
          <w:color w:val="353736"/>
          <w:spacing w:val="8"/>
          <w:kern w:val="0"/>
          <w:sz w:val="28"/>
          <w:szCs w:val="23"/>
        </w:rPr>
        <w:lastRenderedPageBreak/>
        <w:t>舊法，擇其善者，舉而嚴用之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，《王霸》</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循其舊法，擇其善者而明用之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二句義極近</w:t>
      </w:r>
      <w:r w:rsidRPr="0055724E">
        <w:rPr>
          <w:rFonts w:ascii="Helvetica Neue" w:hAnsi="Helvetica Neue" w:cs="宋体"/>
          <w:color w:val="353736"/>
          <w:spacing w:val="8"/>
          <w:kern w:val="0"/>
          <w:sz w:val="18"/>
          <w:szCs w:val="18"/>
        </w:rPr>
        <w:t>（蕭旭認爲《小匡》之</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修</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應爲</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循</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之誤字</w:t>
      </w:r>
      <w:r>
        <w:rPr>
          <w:rStyle w:val="ae"/>
          <w:rFonts w:ascii="Helvetica Neue" w:hAnsi="Helvetica Neue" w:cs="宋体"/>
          <w:color w:val="353736"/>
          <w:spacing w:val="8"/>
          <w:kern w:val="0"/>
          <w:sz w:val="18"/>
          <w:szCs w:val="18"/>
        </w:rPr>
        <w:endnoteReference w:id="112"/>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皆指舊法之適用者。</w:t>
      </w:r>
    </w:p>
    <w:p w14:paraId="76DA69C5" w14:textId="6CCAF0DA"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2</w:t>
      </w:r>
      <w:r w:rsidRPr="0055724E">
        <w:rPr>
          <w:rFonts w:ascii="Helvetica Neue" w:hAnsi="Helvetica Neue" w:cs="宋体"/>
          <w:color w:val="353736"/>
          <w:spacing w:val="8"/>
          <w:kern w:val="0"/>
          <w:sz w:val="28"/>
          <w:szCs w:val="23"/>
        </w:rPr>
        <w:t>）《大戴禮記</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子張問入官》：</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言之</w:t>
      </w:r>
      <w:r w:rsidRPr="0055724E">
        <w:rPr>
          <w:rFonts w:ascii="Helvetica Neue" w:eastAsia="楷体" w:hAnsi="Helvetica Neue" w:cs="宋体"/>
          <w:b/>
          <w:bCs/>
          <w:color w:val="000000" w:themeColor="text1"/>
          <w:spacing w:val="8"/>
          <w:kern w:val="0"/>
          <w:sz w:val="28"/>
          <w:szCs w:val="23"/>
          <w:u w:val="single"/>
        </w:rPr>
        <w:t>善者</w:t>
      </w:r>
      <w:r w:rsidRPr="0055724E">
        <w:rPr>
          <w:rFonts w:ascii="Helvetica Neue" w:eastAsia="楷体" w:hAnsi="Helvetica Neue" w:cs="宋体"/>
          <w:color w:val="000000" w:themeColor="text1"/>
          <w:spacing w:val="8"/>
          <w:kern w:val="0"/>
          <w:sz w:val="28"/>
          <w:szCs w:val="23"/>
        </w:rPr>
        <w:t>在所日聞，行之</w:t>
      </w:r>
      <w:r w:rsidRPr="0055724E">
        <w:rPr>
          <w:rFonts w:ascii="Helvetica Neue" w:eastAsia="楷体" w:hAnsi="Helvetica Neue" w:cs="宋体"/>
          <w:b/>
          <w:bCs/>
          <w:color w:val="000000" w:themeColor="text1"/>
          <w:spacing w:val="8"/>
          <w:kern w:val="0"/>
          <w:sz w:val="28"/>
          <w:szCs w:val="23"/>
          <w:u w:val="single"/>
        </w:rPr>
        <w:t>善者</w:t>
      </w:r>
      <w:r w:rsidRPr="0055724E">
        <w:rPr>
          <w:rFonts w:ascii="Helvetica Neue" w:eastAsia="楷体" w:hAnsi="Helvetica Neue" w:cs="宋体"/>
          <w:color w:val="000000" w:themeColor="text1"/>
          <w:spacing w:val="8"/>
          <w:kern w:val="0"/>
          <w:sz w:val="28"/>
          <w:szCs w:val="23"/>
        </w:rPr>
        <w:t>在所能爲。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此語是一段話的末二句，這段話有一些不大容易講通的地方，但</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不是指人之善者，而是指言語和行爲的善者，屬於事物之善者的範圍，則是很明白的。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言之善者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行之善者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有可能就指能起好作用的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言</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行</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p>
    <w:p w14:paraId="30FA5DB6" w14:textId="16AA400C"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3</w:t>
      </w:r>
      <w:r w:rsidRPr="0055724E">
        <w:rPr>
          <w:rFonts w:ascii="Helvetica Neue" w:hAnsi="Helvetica Neue" w:cs="宋体"/>
          <w:color w:val="353736"/>
          <w:spacing w:val="8"/>
          <w:kern w:val="0"/>
          <w:sz w:val="28"/>
          <w:szCs w:val="23"/>
        </w:rPr>
        <w:t>）《論語</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述而》：</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子曰：三人行，必有我師焉。擇其</w:t>
      </w:r>
      <w:r w:rsidRPr="0055724E">
        <w:rPr>
          <w:rFonts w:ascii="Helvetica Neue" w:eastAsia="楷体" w:hAnsi="Helvetica Neue" w:cs="宋体"/>
          <w:b/>
          <w:bCs/>
          <w:color w:val="000000" w:themeColor="text1"/>
          <w:spacing w:val="8"/>
          <w:kern w:val="0"/>
          <w:sz w:val="28"/>
          <w:szCs w:val="23"/>
          <w:u w:val="single"/>
        </w:rPr>
        <w:t>善者</w:t>
      </w:r>
      <w:r w:rsidRPr="0055724E">
        <w:rPr>
          <w:rFonts w:ascii="Helvetica Neue" w:eastAsia="楷体" w:hAnsi="Helvetica Neue" w:cs="宋体"/>
          <w:color w:val="000000" w:themeColor="text1"/>
          <w:spacing w:val="8"/>
          <w:kern w:val="0"/>
          <w:sz w:val="28"/>
          <w:szCs w:val="23"/>
        </w:rPr>
        <w:t>而從之，其不</w:t>
      </w:r>
      <w:r w:rsidRPr="0055724E">
        <w:rPr>
          <w:rFonts w:ascii="Helvetica Neue" w:eastAsia="楷体" w:hAnsi="Helvetica Neue" w:cs="宋体"/>
          <w:b/>
          <w:bCs/>
          <w:color w:val="000000" w:themeColor="text1"/>
          <w:spacing w:val="8"/>
          <w:kern w:val="0"/>
          <w:sz w:val="28"/>
          <w:szCs w:val="23"/>
          <w:u w:val="single"/>
        </w:rPr>
        <w:t>善者</w:t>
      </w:r>
      <w:r w:rsidRPr="0055724E">
        <w:rPr>
          <w:rFonts w:ascii="Helvetica Neue" w:eastAsia="楷体" w:hAnsi="Helvetica Neue" w:cs="宋体"/>
          <w:color w:val="000000" w:themeColor="text1"/>
          <w:spacing w:val="8"/>
          <w:kern w:val="0"/>
          <w:sz w:val="28"/>
          <w:szCs w:val="23"/>
        </w:rPr>
        <w:t>而改之。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就指同行者做得好的地方，</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就指那些做得不好的地方。楊伯峻把</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和</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翻譯爲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優點</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和</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缺點</w:t>
      </w:r>
      <w:r w:rsidRPr="0055724E">
        <w:rPr>
          <w:rFonts w:ascii="Helvetica Neue" w:hAnsi="Helvetica Neue" w:cs="宋体"/>
          <w:color w:val="353736"/>
          <w:spacing w:val="8"/>
          <w:kern w:val="0"/>
          <w:sz w:val="28"/>
          <w:szCs w:val="23"/>
        </w:rPr>
        <w:t>”</w:t>
      </w:r>
      <w:r w:rsidRPr="00965627">
        <w:rPr>
          <w:rStyle w:val="ae"/>
          <w:rFonts w:ascii="Helvetica Neue" w:hAnsi="Helvetica Neue" w:cs="宋体"/>
          <w:color w:val="353736"/>
          <w:spacing w:val="8"/>
          <w:kern w:val="0"/>
          <w:sz w:val="28"/>
          <w:szCs w:val="23"/>
        </w:rPr>
        <w:endnoteReference w:id="113"/>
      </w:r>
      <w:r w:rsidRPr="0055724E">
        <w:rPr>
          <w:rFonts w:ascii="Helvetica Neue" w:hAnsi="Helvetica Neue" w:cs="宋体"/>
          <w:color w:val="353736"/>
          <w:spacing w:val="8"/>
          <w:kern w:val="0"/>
          <w:sz w:val="28"/>
          <w:szCs w:val="23"/>
        </w:rPr>
        <w:t>，可參考。這裏的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和</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可以具體理解爲同行者言行舉止等各方面的長處和短處。同篇：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子曰：德之不脩，學之不講，聞義不能徙，不善不能改，是吾憂也。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這個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既可以理解爲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做得不好的事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18"/>
          <w:szCs w:val="18"/>
        </w:rPr>
        <w:t>［後面會講到，</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善事</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不善之事</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在古漢語裏可以就説成</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善</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和</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不善</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，參看四（一）］</w:t>
      </w:r>
      <w:r w:rsidRPr="0055724E">
        <w:rPr>
          <w:rFonts w:ascii="Helvetica Neue" w:hAnsi="Helvetica Neue" w:cs="宋体"/>
          <w:color w:val="353736"/>
          <w:spacing w:val="8"/>
          <w:kern w:val="0"/>
          <w:sz w:val="28"/>
          <w:szCs w:val="23"/>
        </w:rPr>
        <w:t>，也可以理解爲與上引的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同義，指各種做得不好的地方，楊伯峻將這個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也譯爲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缺點</w:t>
      </w:r>
      <w:r w:rsidRPr="0055724E">
        <w:rPr>
          <w:rFonts w:ascii="Helvetica Neue" w:hAnsi="Helvetica Neue" w:cs="宋体"/>
          <w:color w:val="353736"/>
          <w:spacing w:val="8"/>
          <w:kern w:val="0"/>
          <w:sz w:val="28"/>
          <w:szCs w:val="23"/>
        </w:rPr>
        <w:t>”</w:t>
      </w:r>
      <w:r w:rsidRPr="00965627">
        <w:rPr>
          <w:rStyle w:val="ae"/>
          <w:rFonts w:ascii="Helvetica Neue" w:hAnsi="Helvetica Neue" w:cs="宋体"/>
          <w:color w:val="353736"/>
          <w:spacing w:val="8"/>
          <w:kern w:val="0"/>
          <w:sz w:val="28"/>
          <w:szCs w:val="23"/>
        </w:rPr>
        <w:endnoteReference w:id="114"/>
      </w:r>
      <w:r w:rsidRPr="0055724E">
        <w:rPr>
          <w:rFonts w:ascii="Helvetica Neue" w:hAnsi="Helvetica Neue" w:cs="宋体"/>
          <w:color w:val="353736"/>
          <w:spacing w:val="8"/>
          <w:kern w:val="0"/>
          <w:sz w:val="28"/>
          <w:szCs w:val="23"/>
        </w:rPr>
        <w:t>。</w:t>
      </w:r>
    </w:p>
    <w:p w14:paraId="1A953C72" w14:textId="52B669C8"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lastRenderedPageBreak/>
        <w:t>（</w:t>
      </w:r>
      <w:r w:rsidR="00687FDE" w:rsidRPr="00687FDE">
        <w:rPr>
          <w:rFonts w:hAnsi="Helvetica Neue" w:cs="宋体"/>
          <w:color w:val="353736"/>
          <w:spacing w:val="8"/>
          <w:kern w:val="0"/>
          <w:sz w:val="28"/>
          <w:szCs w:val="23"/>
        </w:rPr>
        <w:t>4</w:t>
      </w:r>
      <w:r w:rsidRPr="0055724E">
        <w:rPr>
          <w:rFonts w:ascii="Helvetica Neue" w:hAnsi="Helvetica Neue" w:cs="宋体"/>
          <w:color w:val="353736"/>
          <w:spacing w:val="8"/>
          <w:kern w:val="0"/>
          <w:sz w:val="28"/>
          <w:szCs w:val="23"/>
        </w:rPr>
        <w:t>）《論語</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述而》：</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子曰：蓋有不知而作之者，我無是也。多聞，擇其</w:t>
      </w:r>
      <w:r w:rsidRPr="0055724E">
        <w:rPr>
          <w:rFonts w:ascii="Helvetica Neue" w:eastAsia="楷体" w:hAnsi="Helvetica Neue" w:cs="宋体"/>
          <w:b/>
          <w:bCs/>
          <w:color w:val="000000" w:themeColor="text1"/>
          <w:spacing w:val="8"/>
          <w:kern w:val="0"/>
          <w:sz w:val="28"/>
          <w:szCs w:val="23"/>
          <w:u w:val="single"/>
        </w:rPr>
        <w:t>善者</w:t>
      </w:r>
      <w:r w:rsidRPr="0055724E">
        <w:rPr>
          <w:rFonts w:ascii="Helvetica Neue" w:eastAsia="楷体" w:hAnsi="Helvetica Neue" w:cs="宋体"/>
          <w:color w:val="000000" w:themeColor="text1"/>
          <w:spacing w:val="8"/>
          <w:kern w:val="0"/>
          <w:sz w:val="28"/>
          <w:szCs w:val="23"/>
        </w:rPr>
        <w:t>而從之，多見而識之，知之次也。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就指所聞之言中説得好的。</w:t>
      </w:r>
    </w:p>
    <w:p w14:paraId="358CADEF" w14:textId="31FC0AC2"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5</w:t>
      </w:r>
      <w:r w:rsidRPr="0055724E">
        <w:rPr>
          <w:rFonts w:ascii="Helvetica Neue" w:hAnsi="Helvetica Neue" w:cs="宋体"/>
          <w:color w:val="353736"/>
          <w:spacing w:val="8"/>
          <w:kern w:val="0"/>
          <w:sz w:val="28"/>
          <w:szCs w:val="23"/>
        </w:rPr>
        <w:t>）《黃帝内經</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素問</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玉機真藏論第十九》：</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帝曰：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然而脾善、惡可得見之乎？</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岐伯曰：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b/>
          <w:bCs/>
          <w:color w:val="000000" w:themeColor="text1"/>
          <w:spacing w:val="8"/>
          <w:kern w:val="0"/>
          <w:sz w:val="28"/>
          <w:szCs w:val="23"/>
          <w:u w:val="single"/>
        </w:rPr>
        <w:t>善者</w:t>
      </w:r>
      <w:r w:rsidRPr="0055724E">
        <w:rPr>
          <w:rFonts w:ascii="Helvetica Neue" w:eastAsia="楷体" w:hAnsi="Helvetica Neue" w:cs="宋体"/>
          <w:color w:val="000000" w:themeColor="text1"/>
          <w:spacing w:val="8"/>
          <w:kern w:val="0"/>
          <w:sz w:val="28"/>
          <w:szCs w:val="23"/>
        </w:rPr>
        <w:t>不可得見，惡者可見。</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帝曰：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惡者何如可見？</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岐伯曰：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其來如水之流者，此謂太過，病在外。如鳥之喙者，此謂不及，病在中。</w:t>
      </w:r>
      <w:r w:rsidRPr="0055724E">
        <w:rPr>
          <w:rFonts w:ascii="Helvetica Neue" w:eastAsia="楷体" w:hAnsi="Helvetica Neue" w:cs="宋体"/>
          <w:color w:val="000000" w:themeColor="text1"/>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黃帝問語中的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善、惡</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前面講指事物的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字時已經解釋過</w:t>
      </w:r>
      <w:r w:rsidRPr="0055724E">
        <w:rPr>
          <w:rFonts w:ascii="Helvetica Neue" w:hAnsi="Helvetica Neue" w:cs="宋体"/>
          <w:color w:val="353736"/>
          <w:spacing w:val="8"/>
          <w:kern w:val="0"/>
          <w:sz w:val="18"/>
          <w:szCs w:val="18"/>
        </w:rPr>
        <w:t>［見二（六）］</w:t>
      </w:r>
      <w:r w:rsidRPr="0055724E">
        <w:rPr>
          <w:rFonts w:ascii="Helvetica Neue" w:hAnsi="Helvetica Neue" w:cs="宋体"/>
          <w:color w:val="353736"/>
          <w:spacing w:val="8"/>
          <w:kern w:val="0"/>
          <w:sz w:val="28"/>
          <w:szCs w:val="23"/>
        </w:rPr>
        <w:t>，歧伯所説的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就是指脾起好（正常）作用時的情況，</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惡者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就是指脾起不好（不正常）作用時的情況。從岐伯接著説的那些話來看，他是根據脈象來判斷脾起不好（不正常）作用時產生的情況的。</w:t>
      </w:r>
    </w:p>
    <w:p w14:paraId="2F28C356" w14:textId="43C207FD"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6</w:t>
      </w:r>
      <w:r w:rsidRPr="0055724E">
        <w:rPr>
          <w:rFonts w:ascii="Helvetica Neue" w:hAnsi="Helvetica Neue" w:cs="宋体"/>
          <w:color w:val="353736"/>
          <w:spacing w:val="8"/>
          <w:kern w:val="0"/>
          <w:sz w:val="28"/>
          <w:szCs w:val="23"/>
        </w:rPr>
        <w:t>）《左傳</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隱公六年》：</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周任有言曰：爲國家者，見惡如農夫之務去草焉，芟夷蘊崇之，絶其本根，勿使能殖，則</w:t>
      </w:r>
      <w:r w:rsidRPr="0055724E">
        <w:rPr>
          <w:rFonts w:ascii="Helvetica Neue" w:eastAsia="楷体" w:hAnsi="Helvetica Neue" w:cs="宋体"/>
          <w:b/>
          <w:bCs/>
          <w:color w:val="000000" w:themeColor="text1"/>
          <w:spacing w:val="8"/>
          <w:kern w:val="0"/>
          <w:sz w:val="28"/>
          <w:szCs w:val="23"/>
          <w:u w:val="single"/>
        </w:rPr>
        <w:t>善者</w:t>
      </w:r>
      <w:r w:rsidRPr="0055724E">
        <w:rPr>
          <w:rFonts w:ascii="Helvetica Neue" w:eastAsia="楷体" w:hAnsi="Helvetica Neue" w:cs="宋体"/>
          <w:color w:val="000000" w:themeColor="text1"/>
          <w:spacing w:val="8"/>
          <w:kern w:val="0"/>
          <w:sz w:val="28"/>
          <w:szCs w:val="23"/>
        </w:rPr>
        <w:t>信矣。</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陸德明《經典釋文》：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信如字，一音申。</w:t>
      </w:r>
      <w:r w:rsidRPr="0055724E">
        <w:rPr>
          <w:rFonts w:ascii="Helvetica Neue" w:hAnsi="Helvetica Neue" w:cs="宋体"/>
          <w:color w:val="353736"/>
          <w:spacing w:val="8"/>
          <w:kern w:val="0"/>
          <w:sz w:val="28"/>
          <w:szCs w:val="23"/>
        </w:rPr>
        <w:t>”</w:t>
      </w:r>
      <w:r w:rsidRPr="00965627">
        <w:rPr>
          <w:rStyle w:val="ae"/>
          <w:rFonts w:ascii="Helvetica Neue" w:hAnsi="Helvetica Neue" w:cs="宋体"/>
          <w:color w:val="353736"/>
          <w:spacing w:val="8"/>
          <w:kern w:val="0"/>
          <w:sz w:val="28"/>
          <w:szCs w:val="23"/>
        </w:rPr>
        <w:endnoteReference w:id="115"/>
      </w:r>
      <w:r w:rsidRPr="0055724E">
        <w:rPr>
          <w:rFonts w:ascii="Helvetica Neue" w:hAnsi="Helvetica Neue" w:cs="宋体"/>
          <w:color w:val="353736"/>
          <w:spacing w:val="8"/>
          <w:kern w:val="0"/>
          <w:sz w:val="28"/>
          <w:szCs w:val="23"/>
        </w:rPr>
        <w:t>《左傳會箋》同意讀</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信</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伸</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之説，並謂：</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指五穀，《爾雅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釋詁》</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穀，善也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，故謂五穀曰</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。不曰</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穀</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而曰</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者，躡上文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惡</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字也，是用字之巧。</w:t>
      </w:r>
      <w:r w:rsidRPr="0055724E">
        <w:rPr>
          <w:rFonts w:ascii="Helvetica Neue" w:hAnsi="Helvetica Neue" w:cs="宋体"/>
          <w:color w:val="353736"/>
          <w:spacing w:val="8"/>
          <w:kern w:val="0"/>
          <w:sz w:val="28"/>
          <w:szCs w:val="23"/>
        </w:rPr>
        <w:t>”</w:t>
      </w:r>
      <w:r w:rsidRPr="00965627">
        <w:rPr>
          <w:rStyle w:val="ae"/>
          <w:rFonts w:ascii="Helvetica Neue" w:hAnsi="Helvetica Neue" w:cs="宋体"/>
          <w:color w:val="353736"/>
          <w:spacing w:val="8"/>
          <w:kern w:val="0"/>
          <w:sz w:val="28"/>
          <w:szCs w:val="23"/>
        </w:rPr>
        <w:endnoteReference w:id="116"/>
      </w:r>
      <w:r w:rsidRPr="0055724E">
        <w:rPr>
          <w:rFonts w:ascii="Helvetica Neue" w:hAnsi="Helvetica Neue" w:cs="宋体"/>
          <w:color w:val="353736"/>
          <w:spacing w:val="8"/>
          <w:kern w:val="0"/>
          <w:sz w:val="28"/>
          <w:szCs w:val="23"/>
        </w:rPr>
        <w:t>楊伯峻《春秋左傳注》解釋説：</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信同伸。善者，意義雙關，既指嘉穀，又指善人、善政、善事。</w:t>
      </w:r>
      <w:r w:rsidRPr="0055724E">
        <w:rPr>
          <w:rFonts w:ascii="Helvetica Neue" w:hAnsi="Helvetica Neue" w:cs="宋体"/>
          <w:color w:val="353736"/>
          <w:spacing w:val="8"/>
          <w:kern w:val="0"/>
          <w:sz w:val="28"/>
          <w:szCs w:val="23"/>
        </w:rPr>
        <w:t>”</w:t>
      </w:r>
      <w:r w:rsidRPr="00965627">
        <w:rPr>
          <w:rStyle w:val="ae"/>
          <w:rFonts w:ascii="Helvetica Neue" w:hAnsi="Helvetica Neue" w:cs="宋体"/>
          <w:color w:val="353736"/>
          <w:spacing w:val="8"/>
          <w:kern w:val="0"/>
          <w:sz w:val="28"/>
          <w:szCs w:val="23"/>
        </w:rPr>
        <w:endnoteReference w:id="117"/>
      </w:r>
      <w:r w:rsidRPr="0055724E">
        <w:rPr>
          <w:rFonts w:ascii="Helvetica Neue" w:hAnsi="Helvetica Neue" w:cs="宋体"/>
          <w:color w:val="353736"/>
          <w:spacing w:val="8"/>
          <w:kern w:val="0"/>
          <w:sz w:val="28"/>
          <w:szCs w:val="23"/>
        </w:rPr>
        <w:t>今按：楊氏的</w:t>
      </w:r>
      <w:r w:rsidRPr="0055724E">
        <w:rPr>
          <w:rFonts w:ascii="Helvetica Neue" w:hAnsi="Helvetica Neue" w:cs="宋体"/>
          <w:color w:val="353736"/>
          <w:spacing w:val="8"/>
          <w:kern w:val="0"/>
          <w:sz w:val="28"/>
          <w:szCs w:val="23"/>
        </w:rPr>
        <w:lastRenderedPageBreak/>
        <w:t>意見是有道理的。原文本以妨礙穀物生長的雜草來比喻對國家有害的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惡</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人，所謂</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兼指嘉穀和我們下面就要講到的與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惡人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暴人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等相對的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，既可以理解爲才德具備的治國理政之人，也可以理解爲泛指爲人好的人</w:t>
      </w:r>
      <w:r w:rsidRPr="0055724E">
        <w:rPr>
          <w:rFonts w:ascii="Helvetica Neue" w:hAnsi="Helvetica Neue" w:cs="宋体"/>
          <w:color w:val="353736"/>
          <w:spacing w:val="8"/>
          <w:kern w:val="0"/>
          <w:sz w:val="18"/>
          <w:szCs w:val="18"/>
        </w:rPr>
        <w:t>［參看三（二）下面的有關文字］</w:t>
      </w:r>
      <w:r w:rsidRPr="0055724E">
        <w:rPr>
          <w:rFonts w:ascii="Helvetica Neue" w:hAnsi="Helvetica Neue" w:cs="宋体"/>
          <w:color w:val="353736"/>
          <w:spacing w:val="8"/>
          <w:kern w:val="0"/>
          <w:sz w:val="28"/>
          <w:szCs w:val="23"/>
        </w:rPr>
        <w:t>。</w:t>
      </w:r>
    </w:p>
    <w:p w14:paraId="5FF44C5F" w14:textId="2D7340F7" w:rsidR="009F4F5A" w:rsidRDefault="009F4F5A" w:rsidP="00445DA3">
      <w:pPr>
        <w:widowControl/>
        <w:spacing w:beforeLines="50" w:before="180" w:line="480" w:lineRule="auto"/>
        <w:ind w:firstLine="480"/>
        <w:rPr>
          <w:rFonts w:ascii="Helvetica Neue" w:hAnsi="Helvetica Neue" w:cs="宋体"/>
          <w:color w:val="353736"/>
          <w:spacing w:val="8"/>
          <w:kern w:val="0"/>
          <w:sz w:val="28"/>
          <w:szCs w:val="23"/>
        </w:rPr>
      </w:pPr>
      <w:r w:rsidRPr="0055724E">
        <w:rPr>
          <w:rFonts w:ascii="Helvetica Neue" w:hAnsi="Helvetica Neue" w:cs="宋体"/>
          <w:color w:val="353736"/>
          <w:spacing w:val="8"/>
          <w:kern w:val="0"/>
          <w:sz w:val="28"/>
          <w:szCs w:val="23"/>
        </w:rPr>
        <w:t>後面講單用的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可以指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時會指出，作定語用的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往往可以理解爲有</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正確的，對人有益、有用</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一類意思</w:t>
      </w:r>
      <w:r w:rsidRPr="0055724E">
        <w:rPr>
          <w:rFonts w:ascii="Helvetica Neue" w:hAnsi="Helvetica Neue" w:cs="宋体"/>
          <w:color w:val="353736"/>
          <w:spacing w:val="8"/>
          <w:kern w:val="0"/>
          <w:sz w:val="18"/>
          <w:szCs w:val="18"/>
        </w:rPr>
        <w:t>［見三（二）］</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指嘉穀時，其</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字的具體含義就可以理解爲對人有益、有用。</w:t>
      </w:r>
    </w:p>
    <w:p w14:paraId="39901E2B" w14:textId="77777777" w:rsidR="00093FD4" w:rsidRPr="0055724E" w:rsidRDefault="00093FD4" w:rsidP="00445DA3">
      <w:pPr>
        <w:widowControl/>
        <w:spacing w:beforeLines="50" w:before="180" w:line="480" w:lineRule="auto"/>
        <w:ind w:firstLine="480"/>
        <w:rPr>
          <w:rFonts w:ascii="Helvetica Neue" w:hAnsi="Helvetica Neue" w:cs="宋体"/>
          <w:color w:val="616161"/>
          <w:spacing w:val="8"/>
          <w:kern w:val="0"/>
          <w:sz w:val="28"/>
          <w:szCs w:val="24"/>
        </w:rPr>
      </w:pPr>
    </w:p>
    <w:p w14:paraId="61182D3E" w14:textId="77777777" w:rsidR="009F4F5A" w:rsidRPr="0055724E" w:rsidRDefault="009F4F5A" w:rsidP="00445DA3">
      <w:pPr>
        <w:widowControl/>
        <w:spacing w:beforeLines="50" w:before="180" w:line="480" w:lineRule="auto"/>
        <w:rPr>
          <w:rFonts w:ascii="Helvetica Neue" w:hAnsi="Helvetica Neue" w:cs="宋体"/>
          <w:color w:val="616161"/>
          <w:spacing w:val="8"/>
          <w:kern w:val="0"/>
          <w:sz w:val="28"/>
          <w:szCs w:val="24"/>
        </w:rPr>
      </w:pPr>
      <w:r w:rsidRPr="0055724E">
        <w:rPr>
          <w:rFonts w:ascii="Helvetica Neue" w:hAnsi="Helvetica Neue" w:cs="宋体"/>
          <w:b/>
          <w:bCs/>
          <w:color w:val="353736"/>
          <w:spacing w:val="8"/>
          <w:kern w:val="0"/>
          <w:sz w:val="28"/>
          <w:szCs w:val="23"/>
        </w:rPr>
        <w:t>（二）</w:t>
      </w:r>
      <w:r w:rsidRPr="0055724E">
        <w:rPr>
          <w:rFonts w:ascii="Helvetica Neue" w:hAnsi="Helvetica Neue" w:cs="宋体"/>
          <w:b/>
          <w:bCs/>
          <w:color w:val="353736"/>
          <w:spacing w:val="8"/>
          <w:kern w:val="0"/>
          <w:sz w:val="28"/>
          <w:szCs w:val="23"/>
        </w:rPr>
        <w:t>“</w:t>
      </w:r>
      <w:r w:rsidRPr="0055724E">
        <w:rPr>
          <w:rFonts w:ascii="Helvetica Neue" w:hAnsi="Helvetica Neue" w:cs="宋体"/>
          <w:b/>
          <w:bCs/>
          <w:color w:val="353736"/>
          <w:spacing w:val="8"/>
          <w:kern w:val="0"/>
          <w:sz w:val="28"/>
          <w:szCs w:val="23"/>
        </w:rPr>
        <w:t>善人</w:t>
      </w:r>
      <w:r w:rsidRPr="0055724E">
        <w:rPr>
          <w:rFonts w:ascii="Helvetica Neue" w:hAnsi="Helvetica Neue" w:cs="宋体"/>
          <w:b/>
          <w:bCs/>
          <w:color w:val="353736"/>
          <w:spacing w:val="8"/>
          <w:kern w:val="0"/>
          <w:sz w:val="28"/>
          <w:szCs w:val="23"/>
        </w:rPr>
        <w:t>”</w:t>
      </w:r>
      <w:r w:rsidRPr="0055724E">
        <w:rPr>
          <w:rFonts w:ascii="Helvetica Neue" w:hAnsi="Helvetica Neue" w:cs="宋体"/>
          <w:b/>
          <w:bCs/>
          <w:color w:val="353736"/>
          <w:spacing w:val="8"/>
          <w:kern w:val="0"/>
          <w:sz w:val="28"/>
          <w:szCs w:val="23"/>
        </w:rPr>
        <w:t>含義的演變過程</w:t>
      </w:r>
    </w:p>
    <w:p w14:paraId="778C9A22" w14:textId="17FB8E32" w:rsidR="009F4F5A" w:rsidRPr="0055724E" w:rsidRDefault="00687FDE" w:rsidP="00445DA3">
      <w:pPr>
        <w:widowControl/>
        <w:spacing w:beforeLines="50" w:before="180" w:line="480" w:lineRule="auto"/>
        <w:ind w:firstLine="480"/>
        <w:rPr>
          <w:rFonts w:ascii="Helvetica Neue" w:hAnsi="Helvetica Neue" w:cs="宋体"/>
          <w:color w:val="616161"/>
          <w:spacing w:val="8"/>
          <w:kern w:val="0"/>
          <w:sz w:val="28"/>
          <w:szCs w:val="24"/>
        </w:rPr>
      </w:pPr>
      <w:r w:rsidRPr="00687FDE">
        <w:rPr>
          <w:rFonts w:hAnsi="Helvetica Neue" w:cs="宋体"/>
          <w:b/>
          <w:bCs/>
          <w:color w:val="353736"/>
          <w:spacing w:val="8"/>
          <w:kern w:val="0"/>
          <w:sz w:val="28"/>
          <w:szCs w:val="23"/>
        </w:rPr>
        <w:t>1</w:t>
      </w:r>
      <w:r w:rsidR="009F4F5A" w:rsidRPr="0055724E">
        <w:rPr>
          <w:rFonts w:ascii="Helvetica Neue" w:hAnsi="Helvetica Neue" w:cs="宋体"/>
          <w:b/>
          <w:bCs/>
          <w:color w:val="353736"/>
          <w:spacing w:val="8"/>
          <w:kern w:val="0"/>
          <w:sz w:val="28"/>
          <w:szCs w:val="23"/>
        </w:rPr>
        <w:t>.</w:t>
      </w:r>
    </w:p>
    <w:p w14:paraId="6801F8CB" w14:textId="77777777"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現在我們來討論出現時代相當早而含義的演變頗爲複雜的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一語。</w:t>
      </w:r>
    </w:p>
    <w:p w14:paraId="10016406" w14:textId="77777777"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目前看到的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的最早用例是如下兩條：</w:t>
      </w:r>
    </w:p>
    <w:p w14:paraId="28AF4C95" w14:textId="7304E31D"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1</w:t>
      </w:r>
      <w:r w:rsidRPr="0055724E">
        <w:rPr>
          <w:rFonts w:ascii="Helvetica Neue" w:hAnsi="Helvetica Neue" w:cs="宋体"/>
          <w:color w:val="353736"/>
          <w:spacing w:val="8"/>
          <w:kern w:val="0"/>
          <w:sz w:val="28"/>
          <w:szCs w:val="23"/>
        </w:rPr>
        <w:t>）《詩</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大雅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板》：</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天之方懠，無爲夸毗。威儀卒迷，</w:t>
      </w:r>
      <w:r w:rsidRPr="0055724E">
        <w:rPr>
          <w:rFonts w:ascii="Helvetica Neue" w:eastAsia="楷体" w:hAnsi="Helvetica Neue" w:cs="宋体"/>
          <w:b/>
          <w:bCs/>
          <w:color w:val="000000" w:themeColor="text1"/>
          <w:spacing w:val="8"/>
          <w:kern w:val="0"/>
          <w:sz w:val="28"/>
          <w:szCs w:val="23"/>
          <w:u w:val="single"/>
        </w:rPr>
        <w:t>善人</w:t>
      </w:r>
      <w:r w:rsidRPr="0055724E">
        <w:rPr>
          <w:rFonts w:ascii="Helvetica Neue" w:eastAsia="楷体" w:hAnsi="Helvetica Neue" w:cs="宋体"/>
          <w:color w:val="000000" w:themeColor="text1"/>
          <w:spacing w:val="8"/>
          <w:kern w:val="0"/>
          <w:sz w:val="28"/>
          <w:szCs w:val="23"/>
        </w:rPr>
        <w:t>載尸。</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《詩序》説：</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《板》，斥厲王也。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高亨《詩經今注》</w:t>
      </w:r>
      <w:r w:rsidRPr="0055724E">
        <w:rPr>
          <w:rFonts w:ascii="Helvetica Neue" w:hAnsi="Helvetica Neue" w:cs="宋体"/>
          <w:color w:val="353736"/>
          <w:spacing w:val="8"/>
          <w:kern w:val="0"/>
          <w:sz w:val="28"/>
          <w:szCs w:val="23"/>
        </w:rPr>
        <w:lastRenderedPageBreak/>
        <w:t>撮述此篇大意説：</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這是周王朝一個大臣所作的諷刺詩，諷刺掌權者荒淫昏憒，邪僻驕妄，使人民陷於災難，同時也諷刺了周王。</w:t>
      </w:r>
      <w:r w:rsidRPr="0055724E">
        <w:rPr>
          <w:rFonts w:ascii="Helvetica Neue" w:hAnsi="Helvetica Neue" w:cs="宋体"/>
          <w:color w:val="353736"/>
          <w:spacing w:val="8"/>
          <w:kern w:val="0"/>
          <w:sz w:val="28"/>
          <w:szCs w:val="23"/>
        </w:rPr>
        <w:t>”</w:t>
      </w:r>
      <w:r w:rsidRPr="00965627">
        <w:rPr>
          <w:rStyle w:val="ae"/>
          <w:rFonts w:ascii="Helvetica Neue" w:hAnsi="Helvetica Neue" w:cs="宋体"/>
          <w:color w:val="353736"/>
          <w:spacing w:val="8"/>
          <w:kern w:val="0"/>
          <w:sz w:val="28"/>
          <w:szCs w:val="23"/>
        </w:rPr>
        <w:endnoteReference w:id="118"/>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威儀卒迷，善人載尸</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兩句，鄭箋解釋説：</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君臣之威儀盡迷亂，賢人君子則如尸</w:t>
      </w:r>
      <w:r w:rsidRPr="0055724E">
        <w:rPr>
          <w:rFonts w:ascii="Helvetica Neue" w:hAnsi="Helvetica Neue" w:cs="宋体"/>
          <w:color w:val="353736"/>
          <w:spacing w:val="8"/>
          <w:kern w:val="0"/>
          <w:sz w:val="18"/>
          <w:szCs w:val="18"/>
        </w:rPr>
        <w:t>（引者按：古人稱祭祀時代表受祭者的人爲尸，他是不言不語的，參看孔氏《正義》）</w:t>
      </w:r>
      <w:r w:rsidRPr="0055724E">
        <w:rPr>
          <w:rFonts w:ascii="Helvetica Neue" w:hAnsi="Helvetica Neue" w:cs="宋体"/>
          <w:color w:val="353736"/>
          <w:spacing w:val="8"/>
          <w:kern w:val="0"/>
          <w:sz w:val="28"/>
          <w:szCs w:val="23"/>
        </w:rPr>
        <w:t>矣。</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孔穎達《正義》：</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君既爲惡，臣又從之，則上下威儀盡迷亂矣。其善人君子則如尸然，不復言語矣。</w:t>
      </w:r>
      <w:r w:rsidRPr="0055724E">
        <w:rPr>
          <w:rFonts w:ascii="Helvetica Neue" w:hAnsi="Helvetica Neue" w:cs="宋体"/>
          <w:color w:val="353736"/>
          <w:spacing w:val="8"/>
          <w:kern w:val="0"/>
          <w:sz w:val="28"/>
          <w:szCs w:val="23"/>
        </w:rPr>
        <w:t>”</w:t>
      </w:r>
      <w:r w:rsidRPr="00965627">
        <w:rPr>
          <w:rStyle w:val="ae"/>
          <w:rFonts w:ascii="Helvetica Neue" w:hAnsi="Helvetica Neue" w:cs="宋体"/>
          <w:color w:val="353736"/>
          <w:spacing w:val="8"/>
          <w:kern w:val="0"/>
          <w:sz w:val="28"/>
          <w:szCs w:val="23"/>
        </w:rPr>
        <w:endnoteReference w:id="119"/>
      </w:r>
    </w:p>
    <w:p w14:paraId="3EF61152" w14:textId="0EC43F04"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2</w:t>
      </w:r>
      <w:r w:rsidRPr="0055724E">
        <w:rPr>
          <w:rFonts w:ascii="Helvetica Neue" w:hAnsi="Helvetica Neue" w:cs="宋体"/>
          <w:color w:val="353736"/>
          <w:spacing w:val="8"/>
          <w:kern w:val="0"/>
          <w:sz w:val="28"/>
          <w:szCs w:val="23"/>
        </w:rPr>
        <w:t>）《論語</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堯曰》：</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周有大賚，</w:t>
      </w:r>
      <w:r w:rsidRPr="0055724E">
        <w:rPr>
          <w:rFonts w:ascii="Helvetica Neue" w:eastAsia="楷体" w:hAnsi="Helvetica Neue" w:cs="宋体"/>
          <w:b/>
          <w:bCs/>
          <w:color w:val="000000" w:themeColor="text1"/>
          <w:spacing w:val="8"/>
          <w:kern w:val="0"/>
          <w:sz w:val="28"/>
          <w:szCs w:val="23"/>
          <w:u w:val="single"/>
        </w:rPr>
        <w:t>善人</w:t>
      </w:r>
      <w:r w:rsidRPr="0055724E">
        <w:rPr>
          <w:rFonts w:ascii="Helvetica Neue" w:eastAsia="楷体" w:hAnsi="Helvetica Neue" w:cs="宋体"/>
          <w:color w:val="000000" w:themeColor="text1"/>
          <w:spacing w:val="8"/>
          <w:kern w:val="0"/>
          <w:sz w:val="28"/>
          <w:szCs w:val="23"/>
        </w:rPr>
        <w:t>是富。</w:t>
      </w:r>
      <w:r w:rsidRPr="0055724E">
        <w:rPr>
          <w:rFonts w:ascii="Helvetica Neue" w:hAnsi="Helvetica Neue" w:cs="宋体"/>
          <w:color w:val="353736"/>
          <w:spacing w:val="8"/>
          <w:kern w:val="0"/>
          <w:sz w:val="28"/>
          <w:szCs w:val="23"/>
        </w:rPr>
        <w:t>”</w:t>
      </w:r>
      <w:r w:rsidRPr="00965627">
        <w:rPr>
          <w:rStyle w:val="ae"/>
          <w:rFonts w:ascii="Helvetica Neue" w:hAnsi="Helvetica Neue" w:cs="宋体"/>
          <w:color w:val="353736"/>
          <w:spacing w:val="8"/>
          <w:kern w:val="0"/>
          <w:sz w:val="28"/>
          <w:szCs w:val="23"/>
        </w:rPr>
        <w:endnoteReference w:id="120"/>
      </w:r>
      <w:r w:rsidRPr="0055724E">
        <w:rPr>
          <w:rFonts w:ascii="Helvetica Neue" w:hAnsi="Helvetica Neue" w:cs="宋体"/>
          <w:color w:val="353736"/>
          <w:spacing w:val="8"/>
          <w:kern w:val="0"/>
          <w:sz w:val="28"/>
          <w:szCs w:val="23"/>
        </w:rPr>
        <w:t>朱熹《集注》：</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此以下述武王事。賚，予也。武王克商，大賚於四海，見周書《武成》篇</w:t>
      </w:r>
      <w:r w:rsidRPr="0055724E">
        <w:rPr>
          <w:rFonts w:ascii="Helvetica Neue" w:hAnsi="Helvetica Neue" w:cs="宋体"/>
          <w:color w:val="353736"/>
          <w:spacing w:val="8"/>
          <w:kern w:val="0"/>
          <w:sz w:val="18"/>
          <w:szCs w:val="18"/>
        </w:rPr>
        <w:t>（按：朱熹所據爲僞古文《尚書》。不過，武王克商以後大行封賞之事是古書中普遍記載的）</w:t>
      </w:r>
      <w:r w:rsidRPr="0055724E">
        <w:rPr>
          <w:rFonts w:ascii="Helvetica Neue" w:hAnsi="Helvetica Neue" w:cs="宋体"/>
          <w:color w:val="353736"/>
          <w:spacing w:val="8"/>
          <w:kern w:val="0"/>
          <w:sz w:val="28"/>
          <w:szCs w:val="23"/>
        </w:rPr>
        <w:t>。此言其所富者皆善人也。《詩序》云</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《賚》</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所以錫予善人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，蓋本於此。</w:t>
      </w:r>
      <w:r w:rsidRPr="0055724E">
        <w:rPr>
          <w:rFonts w:ascii="Helvetica Neue" w:hAnsi="Helvetica Neue" w:cs="宋体"/>
          <w:color w:val="353736"/>
          <w:spacing w:val="8"/>
          <w:kern w:val="0"/>
          <w:sz w:val="28"/>
          <w:szCs w:val="23"/>
        </w:rPr>
        <w:t>”</w:t>
      </w:r>
      <w:r w:rsidRPr="00965627">
        <w:rPr>
          <w:rStyle w:val="ae"/>
          <w:rFonts w:ascii="Helvetica Neue" w:hAnsi="Helvetica Neue" w:cs="宋体"/>
          <w:color w:val="353736"/>
          <w:spacing w:val="8"/>
          <w:kern w:val="0"/>
          <w:sz w:val="28"/>
          <w:szCs w:val="23"/>
        </w:rPr>
        <w:endnoteReference w:id="121"/>
      </w:r>
      <w:r w:rsidRPr="0055724E">
        <w:rPr>
          <w:rFonts w:ascii="Helvetica Neue" w:hAnsi="Helvetica Neue" w:cs="宋体"/>
          <w:color w:val="353736"/>
          <w:spacing w:val="8"/>
          <w:kern w:val="0"/>
          <w:sz w:val="28"/>
          <w:szCs w:val="23"/>
        </w:rPr>
        <w:t>朱熹以此二句所述爲武王克商後大行封賞之事當是正確的，此二句一般都認爲是《堯曰》所引古語，其時代即使早不到武王當時，也不會出現得很晚，很有可能在西周時代已有此語。</w:t>
      </w:r>
    </w:p>
    <w:p w14:paraId="75B7D37D" w14:textId="77777777"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我們認爲，這兩處</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其義當與前面所引的那些</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相類。《板》的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應該是指有能力做好治國理政之事的那些大臣，在厲王的亂政下，這些人無法發揮作用。《堯曰》的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當指有能力的、在武王克商中立有功勞的那些人。</w:t>
      </w:r>
    </w:p>
    <w:p w14:paraId="38FCA730" w14:textId="77777777"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lastRenderedPageBreak/>
        <w:t>但是，在《左傳》《國語》中出現的很多</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則明顯地指才能與品德兼備之人：</w:t>
      </w:r>
    </w:p>
    <w:p w14:paraId="4A2CEDA5" w14:textId="56FD1AF6"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3</w:t>
      </w:r>
      <w:r w:rsidRPr="0055724E">
        <w:rPr>
          <w:rFonts w:ascii="Helvetica Neue" w:hAnsi="Helvetica Neue" w:cs="宋体"/>
          <w:color w:val="353736"/>
          <w:spacing w:val="8"/>
          <w:kern w:val="0"/>
          <w:sz w:val="28"/>
          <w:szCs w:val="23"/>
        </w:rPr>
        <w:t>）《左傳</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僖公二十四年》：</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晋侯賞從亡者，介之推不言禄，禄亦弗及。推曰：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主晋祀者，非君而誰。天實置之，而二三子以爲己力，不亦誣乎。竊人之財，猶謂之盜，況貪天之功以爲己力乎。</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遂隱而死。晋侯求之不獲，以綿上爲之田，曰：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以志吾過，且旌</w:t>
      </w:r>
      <w:r w:rsidRPr="0055724E">
        <w:rPr>
          <w:rFonts w:ascii="Helvetica Neue" w:eastAsia="楷体" w:hAnsi="Helvetica Neue" w:cs="宋体"/>
          <w:b/>
          <w:bCs/>
          <w:color w:val="000000" w:themeColor="text1"/>
          <w:spacing w:val="8"/>
          <w:kern w:val="0"/>
          <w:sz w:val="28"/>
          <w:szCs w:val="23"/>
          <w:u w:val="single"/>
        </w:rPr>
        <w:t>善人</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w:t>
      </w:r>
      <w:r w:rsidRPr="0055724E">
        <w:rPr>
          <w:rFonts w:ascii="Helvetica Neue" w:hAnsi="Helvetica Neue" w:cs="宋体"/>
          <w:color w:val="353736"/>
          <w:spacing w:val="8"/>
          <w:kern w:val="0"/>
          <w:sz w:val="28"/>
          <w:szCs w:val="23"/>
        </w:rPr>
        <w:t>”</w:t>
      </w:r>
    </w:p>
    <w:p w14:paraId="47C55C1C" w14:textId="4B7493D5"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4</w:t>
      </w:r>
      <w:r w:rsidRPr="0055724E">
        <w:rPr>
          <w:rFonts w:ascii="Helvetica Neue" w:hAnsi="Helvetica Neue" w:cs="宋体"/>
          <w:color w:val="353736"/>
          <w:spacing w:val="8"/>
          <w:kern w:val="0"/>
          <w:sz w:val="28"/>
          <w:szCs w:val="23"/>
        </w:rPr>
        <w:t>）《左傳</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文公六年》記秦穆公死，</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以子車氏之三子奄息、仲行、鍼虎爲殉，皆秦之良也。國人哀之，爲之賦《黃鳥》。君子曰：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秦穆之不爲盟主也宜哉，死而棄民。先王違世，猶詒之法，而況奪之</w:t>
      </w:r>
      <w:r w:rsidRPr="0055724E">
        <w:rPr>
          <w:rFonts w:ascii="Helvetica Neue" w:eastAsia="楷体" w:hAnsi="Helvetica Neue" w:cs="宋体"/>
          <w:b/>
          <w:bCs/>
          <w:color w:val="000000" w:themeColor="text1"/>
          <w:spacing w:val="8"/>
          <w:kern w:val="0"/>
          <w:sz w:val="28"/>
          <w:szCs w:val="23"/>
          <w:u w:val="single"/>
        </w:rPr>
        <w:t>善人</w:t>
      </w:r>
      <w:r w:rsidRPr="0055724E">
        <w:rPr>
          <w:rFonts w:ascii="Helvetica Neue" w:eastAsia="楷体" w:hAnsi="Helvetica Neue" w:cs="宋体"/>
          <w:color w:val="000000" w:themeColor="text1"/>
          <w:spacing w:val="8"/>
          <w:kern w:val="0"/>
          <w:sz w:val="28"/>
          <w:szCs w:val="23"/>
        </w:rPr>
        <w:t>乎？《詩》曰：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人之云亡，邦國殄瘁。</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無</w:t>
      </w:r>
      <w:r w:rsidRPr="0055724E">
        <w:rPr>
          <w:rFonts w:ascii="Helvetica Neue" w:eastAsia="楷体" w:hAnsi="Helvetica Neue" w:cs="宋体"/>
          <w:b/>
          <w:bCs/>
          <w:color w:val="000000" w:themeColor="text1"/>
          <w:spacing w:val="8"/>
          <w:kern w:val="0"/>
          <w:sz w:val="28"/>
          <w:szCs w:val="23"/>
          <w:u w:val="single"/>
        </w:rPr>
        <w:t>善人</w:t>
      </w:r>
      <w:r w:rsidRPr="0055724E">
        <w:rPr>
          <w:rFonts w:ascii="Helvetica Neue" w:eastAsia="楷体" w:hAnsi="Helvetica Neue" w:cs="宋体"/>
          <w:color w:val="000000" w:themeColor="text1"/>
          <w:spacing w:val="8"/>
          <w:kern w:val="0"/>
          <w:sz w:val="28"/>
          <w:szCs w:val="23"/>
        </w:rPr>
        <w:t>之謂，若之何奪之？</w:t>
      </w:r>
      <w:r w:rsidRPr="0055724E">
        <w:rPr>
          <w:rFonts w:ascii="Helvetica Neue" w:eastAsia="楷体" w:hAnsi="Helvetica Neue" w:cs="宋体"/>
          <w:color w:val="000000" w:themeColor="text1"/>
          <w:spacing w:val="8"/>
          <w:kern w:val="0"/>
          <w:sz w:val="28"/>
          <w:szCs w:val="23"/>
        </w:rPr>
        <w:t>’</w:t>
      </w:r>
      <w:r w:rsidRPr="0055724E">
        <w:rPr>
          <w:rFonts w:ascii="Helvetica Neue" w:hAnsi="Helvetica Neue" w:cs="宋体"/>
          <w:color w:val="353736"/>
          <w:spacing w:val="8"/>
          <w:kern w:val="0"/>
          <w:sz w:val="28"/>
          <w:szCs w:val="23"/>
        </w:rPr>
        <w:t>”</w:t>
      </w:r>
    </w:p>
    <w:p w14:paraId="2DCA9B87" w14:textId="7AE967DC"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5</w:t>
      </w:r>
      <w:r w:rsidRPr="0055724E">
        <w:rPr>
          <w:rFonts w:ascii="Helvetica Neue" w:hAnsi="Helvetica Neue" w:cs="宋体"/>
          <w:color w:val="353736"/>
          <w:spacing w:val="8"/>
          <w:kern w:val="0"/>
          <w:sz w:val="28"/>
          <w:szCs w:val="23"/>
        </w:rPr>
        <w:t>）《左傳</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宣公十六年》：</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春，晋士會帥師滅赤狄甲氏及留吁、鐸辰。三月，獻狄俘。晋侯請于王，戊申，以黻冕命士會將中軍，且爲大傅。於是晋國之盜逃奔于秦。羊舌職曰：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吾聞之：</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禹稱</w:t>
      </w:r>
      <w:r w:rsidRPr="0055724E">
        <w:rPr>
          <w:rFonts w:ascii="Helvetica Neue" w:hAnsi="Helvetica Neue" w:cs="宋体"/>
          <w:color w:val="353736"/>
          <w:spacing w:val="8"/>
          <w:kern w:val="0"/>
          <w:sz w:val="18"/>
          <w:szCs w:val="18"/>
        </w:rPr>
        <w:t>（杜注：稱，舉也）</w:t>
      </w:r>
      <w:r w:rsidRPr="0055724E">
        <w:rPr>
          <w:rFonts w:ascii="Helvetica Neue" w:eastAsia="楷体" w:hAnsi="Helvetica Neue" w:cs="宋体"/>
          <w:b/>
          <w:bCs/>
          <w:color w:val="000000" w:themeColor="text1"/>
          <w:spacing w:val="8"/>
          <w:kern w:val="0"/>
          <w:sz w:val="28"/>
          <w:szCs w:val="23"/>
          <w:u w:val="single"/>
        </w:rPr>
        <w:t>善人</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b/>
          <w:bCs/>
          <w:color w:val="000000" w:themeColor="text1"/>
          <w:spacing w:val="8"/>
          <w:kern w:val="0"/>
          <w:sz w:val="28"/>
          <w:szCs w:val="23"/>
          <w:u w:val="single"/>
        </w:rPr>
        <w:t>不善人</w:t>
      </w:r>
      <w:r w:rsidRPr="0055724E">
        <w:rPr>
          <w:rFonts w:ascii="Helvetica Neue" w:eastAsia="楷体" w:hAnsi="Helvetica Neue" w:cs="宋体"/>
          <w:color w:val="000000" w:themeColor="text1"/>
          <w:spacing w:val="8"/>
          <w:kern w:val="0"/>
          <w:sz w:val="28"/>
          <w:szCs w:val="23"/>
        </w:rPr>
        <w:t>遠。</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此之謂也。夫《詩》曰：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戰</w:t>
      </w:r>
      <w:r w:rsidRPr="0055724E">
        <w:rPr>
          <w:rFonts w:ascii="Helvetica Neue" w:eastAsia="楷体" w:hAnsi="Helvetica Neue" w:cs="宋体"/>
          <w:color w:val="000000" w:themeColor="text1"/>
          <w:spacing w:val="8"/>
          <w:kern w:val="0"/>
          <w:sz w:val="28"/>
          <w:szCs w:val="23"/>
        </w:rPr>
        <w:lastRenderedPageBreak/>
        <w:t>戰兢兢，如臨深淵，如履薄冰。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b/>
          <w:bCs/>
          <w:color w:val="000000" w:themeColor="text1"/>
          <w:spacing w:val="8"/>
          <w:kern w:val="0"/>
          <w:sz w:val="28"/>
          <w:szCs w:val="23"/>
          <w:u w:val="single"/>
        </w:rPr>
        <w:t>善人</w:t>
      </w:r>
      <w:r w:rsidRPr="0055724E">
        <w:rPr>
          <w:rFonts w:ascii="Helvetica Neue" w:eastAsia="楷体" w:hAnsi="Helvetica Neue" w:cs="宋体"/>
          <w:color w:val="000000" w:themeColor="text1"/>
          <w:spacing w:val="8"/>
          <w:kern w:val="0"/>
          <w:sz w:val="28"/>
          <w:szCs w:val="23"/>
        </w:rPr>
        <w:t>在上也。</w:t>
      </w:r>
      <w:r w:rsidRPr="0055724E">
        <w:rPr>
          <w:rFonts w:ascii="Helvetica Neue" w:eastAsia="楷体" w:hAnsi="Helvetica Neue" w:cs="宋体"/>
          <w:b/>
          <w:bCs/>
          <w:color w:val="000000" w:themeColor="text1"/>
          <w:spacing w:val="8"/>
          <w:kern w:val="0"/>
          <w:sz w:val="28"/>
          <w:szCs w:val="23"/>
          <w:u w:val="single"/>
        </w:rPr>
        <w:t>善人</w:t>
      </w:r>
      <w:r w:rsidRPr="0055724E">
        <w:rPr>
          <w:rFonts w:ascii="Helvetica Neue" w:eastAsia="楷体" w:hAnsi="Helvetica Neue" w:cs="宋体"/>
          <w:color w:val="000000" w:themeColor="text1"/>
          <w:spacing w:val="8"/>
          <w:kern w:val="0"/>
          <w:sz w:val="28"/>
          <w:szCs w:val="23"/>
        </w:rPr>
        <w:t>在上，則國無幸民。諺曰：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民之多幸，國之不幸也。</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是無</w:t>
      </w:r>
      <w:r w:rsidRPr="0055724E">
        <w:rPr>
          <w:rFonts w:ascii="Helvetica Neue" w:eastAsia="楷体" w:hAnsi="Helvetica Neue" w:cs="宋体"/>
          <w:b/>
          <w:bCs/>
          <w:color w:val="000000" w:themeColor="text1"/>
          <w:spacing w:val="8"/>
          <w:kern w:val="0"/>
          <w:sz w:val="28"/>
          <w:szCs w:val="23"/>
          <w:u w:val="single"/>
        </w:rPr>
        <w:t>善人</w:t>
      </w:r>
      <w:r w:rsidRPr="0055724E">
        <w:rPr>
          <w:rFonts w:ascii="Helvetica Neue" w:eastAsia="楷体" w:hAnsi="Helvetica Neue" w:cs="宋体"/>
          <w:color w:val="000000" w:themeColor="text1"/>
          <w:spacing w:val="8"/>
          <w:kern w:val="0"/>
          <w:sz w:val="28"/>
          <w:szCs w:val="23"/>
        </w:rPr>
        <w:t>之謂也。</w:t>
      </w:r>
      <w:r w:rsidRPr="0055724E">
        <w:rPr>
          <w:rFonts w:ascii="Helvetica Neue" w:eastAsia="楷体" w:hAnsi="Helvetica Neue" w:cs="宋体"/>
          <w:color w:val="000000" w:themeColor="text1"/>
          <w:spacing w:val="8"/>
          <w:kern w:val="0"/>
          <w:sz w:val="28"/>
          <w:szCs w:val="23"/>
        </w:rPr>
        <w:t>’</w:t>
      </w:r>
      <w:r w:rsidRPr="0055724E">
        <w:rPr>
          <w:rFonts w:ascii="Helvetica Neue" w:hAnsi="Helvetica Neue" w:cs="宋体"/>
          <w:color w:val="353736"/>
          <w:spacing w:val="8"/>
          <w:kern w:val="0"/>
          <w:sz w:val="28"/>
          <w:szCs w:val="23"/>
        </w:rPr>
        <w:t>”</w:t>
      </w:r>
    </w:p>
    <w:p w14:paraId="09214FA5" w14:textId="33A9CF6B"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6</w:t>
      </w:r>
      <w:r w:rsidRPr="0055724E">
        <w:rPr>
          <w:rFonts w:ascii="Helvetica Neue" w:hAnsi="Helvetica Neue" w:cs="宋体"/>
          <w:color w:val="353736"/>
          <w:spacing w:val="8"/>
          <w:kern w:val="0"/>
          <w:sz w:val="28"/>
          <w:szCs w:val="23"/>
        </w:rPr>
        <w:t>）《左傳</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成公十五年》：</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晋三郤害伯宗，譖而殺之，及欒弗忌。伯州犁奔楚。韓獻子曰：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郤氏其不免乎？</w:t>
      </w:r>
      <w:r w:rsidRPr="0055724E">
        <w:rPr>
          <w:rFonts w:ascii="Helvetica Neue" w:eastAsia="楷体" w:hAnsi="Helvetica Neue" w:cs="宋体"/>
          <w:b/>
          <w:bCs/>
          <w:color w:val="000000" w:themeColor="text1"/>
          <w:spacing w:val="8"/>
          <w:kern w:val="0"/>
          <w:sz w:val="28"/>
          <w:szCs w:val="23"/>
          <w:u w:val="single"/>
        </w:rPr>
        <w:t>善人</w:t>
      </w:r>
      <w:r w:rsidRPr="0055724E">
        <w:rPr>
          <w:rFonts w:ascii="Helvetica Neue" w:eastAsia="楷体" w:hAnsi="Helvetica Neue" w:cs="宋体"/>
          <w:color w:val="000000" w:themeColor="text1"/>
          <w:spacing w:val="8"/>
          <w:kern w:val="0"/>
          <w:sz w:val="28"/>
          <w:szCs w:val="23"/>
        </w:rPr>
        <w:t>，天地之紀也，而驟絶之，不亡何待。</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初，伯宗每朝，其妻必戒之曰：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盜憎主人，民惡其上。子好直言，必及於難。</w:t>
      </w:r>
      <w:r w:rsidRPr="0055724E">
        <w:rPr>
          <w:rFonts w:ascii="Helvetica Neue" w:eastAsia="楷体" w:hAnsi="Helvetica Neue" w:cs="宋体"/>
          <w:color w:val="000000" w:themeColor="text1"/>
          <w:spacing w:val="8"/>
          <w:kern w:val="0"/>
          <w:sz w:val="28"/>
          <w:szCs w:val="23"/>
        </w:rPr>
        <w:t>’</w:t>
      </w:r>
      <w:r w:rsidRPr="0055724E">
        <w:rPr>
          <w:rFonts w:ascii="Helvetica Neue" w:hAnsi="Helvetica Neue" w:cs="宋体"/>
          <w:color w:val="353736"/>
          <w:spacing w:val="8"/>
          <w:kern w:val="0"/>
          <w:sz w:val="28"/>
          <w:szCs w:val="23"/>
        </w:rPr>
        <w:t>”</w:t>
      </w:r>
    </w:p>
    <w:p w14:paraId="38FBBEF1" w14:textId="468628B6"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7</w:t>
      </w:r>
      <w:r w:rsidRPr="0055724E">
        <w:rPr>
          <w:rFonts w:ascii="Helvetica Neue" w:hAnsi="Helvetica Neue" w:cs="宋体"/>
          <w:color w:val="353736"/>
          <w:spacing w:val="8"/>
          <w:kern w:val="0"/>
          <w:sz w:val="28"/>
          <w:szCs w:val="23"/>
        </w:rPr>
        <w:t>）《左傳</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成公十六年》：</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晋人執季文子于苕丘。公還，待于鄆，使子叔聲伯請季孫于晋。</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范文子謂欒武子曰：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季孫於魯，相二君矣，妾不衣帛，馬不食粟，可不謂忠乎。信讒慝而棄忠良，若諸侯何？子叔嬰齊奉君命無私，謀國家不貳，圖其身不忘其君。若虚其請，是棄</w:t>
      </w:r>
      <w:r w:rsidRPr="0055724E">
        <w:rPr>
          <w:rFonts w:ascii="Helvetica Neue" w:eastAsia="楷体" w:hAnsi="Helvetica Neue" w:cs="宋体"/>
          <w:b/>
          <w:bCs/>
          <w:color w:val="000000" w:themeColor="text1"/>
          <w:spacing w:val="8"/>
          <w:kern w:val="0"/>
          <w:sz w:val="28"/>
          <w:szCs w:val="23"/>
          <w:u w:val="single"/>
        </w:rPr>
        <w:t>善人</w:t>
      </w:r>
      <w:r w:rsidRPr="0055724E">
        <w:rPr>
          <w:rFonts w:ascii="Helvetica Neue" w:eastAsia="楷体" w:hAnsi="Helvetica Neue" w:cs="宋体"/>
          <w:color w:val="000000" w:themeColor="text1"/>
          <w:spacing w:val="8"/>
          <w:kern w:val="0"/>
          <w:sz w:val="28"/>
          <w:szCs w:val="23"/>
        </w:rPr>
        <w:t>也，子其圖之。</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乃許魯平，赦季孫。</w:t>
      </w:r>
      <w:r w:rsidRPr="0055724E">
        <w:rPr>
          <w:rFonts w:ascii="Helvetica Neue" w:hAnsi="Helvetica Neue" w:cs="宋体"/>
          <w:color w:val="353736"/>
          <w:spacing w:val="8"/>
          <w:kern w:val="0"/>
          <w:sz w:val="28"/>
          <w:szCs w:val="23"/>
        </w:rPr>
        <w:t>”</w:t>
      </w:r>
    </w:p>
    <w:p w14:paraId="196CCECC" w14:textId="1612A23E"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8</w:t>
      </w:r>
      <w:r w:rsidRPr="0055724E">
        <w:rPr>
          <w:rFonts w:ascii="Helvetica Neue" w:hAnsi="Helvetica Neue" w:cs="宋体"/>
          <w:color w:val="353736"/>
          <w:spacing w:val="8"/>
          <w:kern w:val="0"/>
          <w:sz w:val="28"/>
          <w:szCs w:val="23"/>
        </w:rPr>
        <w:t>）《左傳</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昭公五年》：</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鄭罕虎</w:t>
      </w:r>
      <w:r w:rsidRPr="0055724E">
        <w:rPr>
          <w:rFonts w:ascii="Helvetica Neue" w:hAnsi="Helvetica Neue" w:cs="宋体"/>
          <w:color w:val="353736"/>
          <w:spacing w:val="8"/>
          <w:kern w:val="0"/>
          <w:sz w:val="18"/>
          <w:szCs w:val="18"/>
        </w:rPr>
        <w:t>（按：罕虎即子皮，已見襄公三十年《傳》）</w:t>
      </w:r>
      <w:r w:rsidRPr="0055724E">
        <w:rPr>
          <w:rFonts w:ascii="Helvetica Neue" w:eastAsia="楷体" w:hAnsi="Helvetica Neue" w:cs="宋体"/>
          <w:color w:val="000000" w:themeColor="text1"/>
          <w:spacing w:val="8"/>
          <w:kern w:val="0"/>
          <w:sz w:val="28"/>
          <w:szCs w:val="23"/>
        </w:rPr>
        <w:t>如齊，娶於子尾氏。晏子驟見之。陳桓子問其故。對曰：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能用善人，民之主也。</w:t>
      </w:r>
      <w:r w:rsidRPr="0055724E">
        <w:rPr>
          <w:rFonts w:ascii="Helvetica Neue" w:eastAsia="楷体" w:hAnsi="Helvetica Neue" w:cs="宋体"/>
          <w:color w:val="000000" w:themeColor="text1"/>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杜預在此文末注曰：</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謂授子産政。</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18"/>
          <w:szCs w:val="18"/>
        </w:rPr>
        <w:t>［按：事見襄公三十年《傳》。我們在講</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善</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可以用在要對方把某事做得很好的場合時已引過有關《傳》文，見一（五）例（</w:t>
      </w:r>
      <w:r w:rsidR="00687FDE" w:rsidRPr="00687FDE">
        <w:rPr>
          <w:rFonts w:hAnsi="Helvetica Neue" w:cs="宋体"/>
          <w:color w:val="353736"/>
          <w:spacing w:val="8"/>
          <w:kern w:val="0"/>
          <w:sz w:val="18"/>
          <w:szCs w:val="18"/>
        </w:rPr>
        <w:t>3</w:t>
      </w:r>
      <w:r w:rsidRPr="0055724E">
        <w:rPr>
          <w:rFonts w:ascii="Helvetica Neue" w:hAnsi="Helvetica Neue" w:cs="宋体"/>
          <w:color w:val="353736"/>
          <w:spacing w:val="8"/>
          <w:kern w:val="0"/>
          <w:sz w:val="18"/>
          <w:szCs w:val="18"/>
        </w:rPr>
        <w:t>）］</w:t>
      </w:r>
    </w:p>
    <w:p w14:paraId="66F2A93E" w14:textId="2DE735D1"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lastRenderedPageBreak/>
        <w:t>（</w:t>
      </w:r>
      <w:r w:rsidR="00687FDE" w:rsidRPr="00687FDE">
        <w:rPr>
          <w:rFonts w:hAnsi="Helvetica Neue" w:cs="宋体"/>
          <w:color w:val="353736"/>
          <w:spacing w:val="8"/>
          <w:kern w:val="0"/>
          <w:sz w:val="28"/>
          <w:szCs w:val="23"/>
        </w:rPr>
        <w:t>9</w:t>
      </w:r>
      <w:r w:rsidRPr="0055724E">
        <w:rPr>
          <w:rFonts w:ascii="Helvetica Neue" w:hAnsi="Helvetica Neue" w:cs="宋体"/>
          <w:color w:val="353736"/>
          <w:spacing w:val="8"/>
          <w:kern w:val="0"/>
          <w:sz w:val="28"/>
          <w:szCs w:val="23"/>
        </w:rPr>
        <w:t>）《左傳</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昭公六年》：</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韓宣子之適楚也，楚人弗逆，公子棄疾及晋竟，晋侯將亦弗逆。叔向曰：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楚辟我衷，若何效辟？詩曰：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爾之教矣，民胥效矣。</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從我而已，焉用效人之辟。書曰：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聖作則。</w:t>
      </w:r>
      <w:r w:rsidRPr="0055724E">
        <w:rPr>
          <w:rFonts w:ascii="Helvetica Neue" w:eastAsia="楷体" w:hAnsi="Helvetica Neue" w:cs="宋体"/>
          <w:color w:val="000000" w:themeColor="text1"/>
          <w:spacing w:val="8"/>
          <w:kern w:val="0"/>
          <w:sz w:val="28"/>
          <w:szCs w:val="23"/>
        </w:rPr>
        <w:t>”</w:t>
      </w:r>
      <w:r w:rsidRPr="0055724E">
        <w:rPr>
          <w:rFonts w:ascii="Helvetica Neue" w:hAnsi="Helvetica Neue" w:cs="宋体"/>
          <w:color w:val="353736"/>
          <w:spacing w:val="8"/>
          <w:kern w:val="0"/>
          <w:sz w:val="18"/>
          <w:szCs w:val="18"/>
        </w:rPr>
        <w:t>（杜預注：逸書。則，法也）</w:t>
      </w:r>
      <w:r w:rsidRPr="0055724E">
        <w:rPr>
          <w:rFonts w:ascii="Helvetica Neue" w:eastAsia="楷体" w:hAnsi="Helvetica Neue" w:cs="宋体"/>
          <w:color w:val="000000" w:themeColor="text1"/>
          <w:spacing w:val="8"/>
          <w:kern w:val="0"/>
          <w:sz w:val="28"/>
          <w:szCs w:val="23"/>
        </w:rPr>
        <w:t>無寧以</w:t>
      </w:r>
      <w:r w:rsidRPr="0055724E">
        <w:rPr>
          <w:rFonts w:ascii="Helvetica Neue" w:eastAsia="楷体" w:hAnsi="Helvetica Neue" w:cs="宋体"/>
          <w:b/>
          <w:bCs/>
          <w:color w:val="000000" w:themeColor="text1"/>
          <w:spacing w:val="8"/>
          <w:kern w:val="0"/>
          <w:sz w:val="28"/>
          <w:szCs w:val="23"/>
          <w:u w:val="single"/>
        </w:rPr>
        <w:t>善人</w:t>
      </w:r>
      <w:r w:rsidRPr="0055724E">
        <w:rPr>
          <w:rFonts w:ascii="Helvetica Neue" w:eastAsia="楷体" w:hAnsi="Helvetica Neue" w:cs="宋体"/>
          <w:color w:val="000000" w:themeColor="text1"/>
          <w:spacing w:val="8"/>
          <w:kern w:val="0"/>
          <w:sz w:val="28"/>
          <w:szCs w:val="23"/>
        </w:rPr>
        <w:t>爲則，而則人之辟乎？匹夫爲善，民猶則之，況國君乎。</w:t>
      </w:r>
      <w:r w:rsidRPr="0055724E">
        <w:rPr>
          <w:rFonts w:ascii="Helvetica Neue" w:eastAsia="楷体" w:hAnsi="Helvetica Neue" w:cs="宋体"/>
          <w:color w:val="000000" w:themeColor="text1"/>
          <w:spacing w:val="8"/>
          <w:kern w:val="0"/>
          <w:sz w:val="28"/>
          <w:szCs w:val="23"/>
        </w:rPr>
        <w:t>’</w:t>
      </w:r>
      <w:r w:rsidRPr="0055724E">
        <w:rPr>
          <w:rFonts w:ascii="Helvetica Neue" w:hAnsi="Helvetica Neue" w:cs="宋体"/>
          <w:color w:val="353736"/>
          <w:spacing w:val="8"/>
          <w:kern w:val="0"/>
          <w:sz w:val="28"/>
          <w:szCs w:val="23"/>
        </w:rPr>
        <w:t>”</w:t>
      </w:r>
    </w:p>
    <w:p w14:paraId="50CBE3CC" w14:textId="77F17C00"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10</w:t>
      </w:r>
      <w:r w:rsidRPr="0055724E">
        <w:rPr>
          <w:rFonts w:ascii="Helvetica Neue" w:hAnsi="Helvetica Neue" w:cs="宋体"/>
          <w:color w:val="353736"/>
          <w:spacing w:val="8"/>
          <w:kern w:val="0"/>
          <w:sz w:val="28"/>
          <w:szCs w:val="23"/>
        </w:rPr>
        <w:t>）《左傳</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襄公二十六年》：</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善爲國者，賞不僭而刑不濫。賞僭則懼及淫人，刑濫則懼及</w:t>
      </w:r>
      <w:r w:rsidRPr="0055724E">
        <w:rPr>
          <w:rFonts w:ascii="Helvetica Neue" w:eastAsia="楷体" w:hAnsi="Helvetica Neue" w:cs="宋体"/>
          <w:b/>
          <w:bCs/>
          <w:color w:val="000000" w:themeColor="text1"/>
          <w:spacing w:val="8"/>
          <w:kern w:val="0"/>
          <w:sz w:val="28"/>
          <w:szCs w:val="23"/>
          <w:u w:val="single"/>
        </w:rPr>
        <w:t>善人</w:t>
      </w:r>
      <w:r w:rsidRPr="0055724E">
        <w:rPr>
          <w:rFonts w:ascii="Helvetica Neue" w:eastAsia="楷体" w:hAnsi="Helvetica Neue" w:cs="宋体"/>
          <w:color w:val="000000" w:themeColor="text1"/>
          <w:spacing w:val="8"/>
          <w:kern w:val="0"/>
          <w:sz w:val="28"/>
          <w:szCs w:val="23"/>
        </w:rPr>
        <w:t>。若不幸而過，寧僭無濫。與其失善，寧其利淫。無</w:t>
      </w:r>
      <w:r w:rsidRPr="0055724E">
        <w:rPr>
          <w:rFonts w:ascii="Helvetica Neue" w:eastAsia="楷体" w:hAnsi="Helvetica Neue" w:cs="宋体"/>
          <w:b/>
          <w:bCs/>
          <w:color w:val="000000" w:themeColor="text1"/>
          <w:spacing w:val="8"/>
          <w:kern w:val="0"/>
          <w:sz w:val="28"/>
          <w:szCs w:val="23"/>
          <w:u w:val="single"/>
        </w:rPr>
        <w:t>善人</w:t>
      </w:r>
      <w:r w:rsidRPr="0055724E">
        <w:rPr>
          <w:rFonts w:ascii="Helvetica Neue" w:eastAsia="楷体" w:hAnsi="Helvetica Neue" w:cs="宋体"/>
          <w:color w:val="000000" w:themeColor="text1"/>
          <w:spacing w:val="8"/>
          <w:kern w:val="0"/>
          <w:sz w:val="28"/>
          <w:szCs w:val="23"/>
        </w:rPr>
        <w:t>，則國從之。詩曰：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人之云亡，邦國殄瘁。</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無</w:t>
      </w:r>
      <w:r w:rsidRPr="0055724E">
        <w:rPr>
          <w:rFonts w:ascii="Helvetica Neue" w:eastAsia="楷体" w:hAnsi="Helvetica Neue" w:cs="宋体"/>
          <w:b/>
          <w:bCs/>
          <w:color w:val="000000" w:themeColor="text1"/>
          <w:spacing w:val="8"/>
          <w:kern w:val="0"/>
          <w:sz w:val="28"/>
          <w:szCs w:val="23"/>
          <w:u w:val="single"/>
        </w:rPr>
        <w:t>善人</w:t>
      </w:r>
      <w:r w:rsidRPr="0055724E">
        <w:rPr>
          <w:rFonts w:ascii="Helvetica Neue" w:eastAsia="楷体" w:hAnsi="Helvetica Neue" w:cs="宋体"/>
          <w:color w:val="000000" w:themeColor="text1"/>
          <w:spacing w:val="8"/>
          <w:kern w:val="0"/>
          <w:sz w:val="28"/>
          <w:szCs w:val="23"/>
        </w:rPr>
        <w:t>之謂也。故夏書曰：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與其殺不辜，寧失不經。</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懼失善也。</w:t>
      </w:r>
      <w:r w:rsidRPr="0055724E">
        <w:rPr>
          <w:rFonts w:ascii="Helvetica Neue" w:eastAsia="楷体" w:hAnsi="Helvetica Neue" w:cs="宋体"/>
          <w:color w:val="000000" w:themeColor="text1"/>
          <w:spacing w:val="8"/>
          <w:kern w:val="0"/>
          <w:sz w:val="28"/>
          <w:szCs w:val="23"/>
        </w:rPr>
        <w:t>……</w:t>
      </w:r>
      <w:r w:rsidRPr="0055724E">
        <w:rPr>
          <w:rFonts w:ascii="Helvetica Neue" w:hAnsi="Helvetica Neue" w:cs="宋体"/>
          <w:color w:val="353736"/>
          <w:spacing w:val="8"/>
          <w:kern w:val="0"/>
          <w:sz w:val="28"/>
          <w:szCs w:val="23"/>
        </w:rPr>
        <w:t>”</w:t>
      </w:r>
    </w:p>
    <w:p w14:paraId="40AA88C2" w14:textId="35E141F6"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11</w:t>
      </w:r>
      <w:r w:rsidRPr="0055724E">
        <w:rPr>
          <w:rFonts w:ascii="Helvetica Neue" w:hAnsi="Helvetica Neue" w:cs="宋体"/>
          <w:color w:val="353736"/>
          <w:spacing w:val="8"/>
          <w:kern w:val="0"/>
          <w:sz w:val="28"/>
          <w:szCs w:val="23"/>
        </w:rPr>
        <w:t>）《左傳</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昭公三十一年》：</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君子曰：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春秋之稱微而顯，婉而辨，上之人能使昭明，</w:t>
      </w:r>
      <w:r w:rsidRPr="0055724E">
        <w:rPr>
          <w:rFonts w:ascii="Helvetica Neue" w:eastAsia="楷体" w:hAnsi="Helvetica Neue" w:cs="宋体"/>
          <w:b/>
          <w:bCs/>
          <w:color w:val="000000" w:themeColor="text1"/>
          <w:spacing w:val="8"/>
          <w:kern w:val="0"/>
          <w:sz w:val="28"/>
          <w:szCs w:val="23"/>
          <w:u w:val="single"/>
        </w:rPr>
        <w:t>善人</w:t>
      </w:r>
      <w:r w:rsidRPr="0055724E">
        <w:rPr>
          <w:rFonts w:ascii="Helvetica Neue" w:eastAsia="楷体" w:hAnsi="Helvetica Neue" w:cs="宋体"/>
          <w:color w:val="000000" w:themeColor="text1"/>
          <w:spacing w:val="8"/>
          <w:kern w:val="0"/>
          <w:sz w:val="28"/>
          <w:szCs w:val="23"/>
        </w:rPr>
        <w:t>勸焉，淫人懼焉，是以君子貴之。</w:t>
      </w:r>
      <w:r w:rsidRPr="0055724E">
        <w:rPr>
          <w:rFonts w:ascii="Helvetica Neue" w:hAnsi="Helvetica Neue" w:cs="宋体"/>
          <w:color w:val="353736"/>
          <w:spacing w:val="8"/>
          <w:kern w:val="0"/>
          <w:sz w:val="28"/>
          <w:szCs w:val="23"/>
        </w:rPr>
        <w:t>”</w:t>
      </w:r>
    </w:p>
    <w:p w14:paraId="56D67707" w14:textId="788E96C2"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12</w:t>
      </w:r>
      <w:r w:rsidRPr="0055724E">
        <w:rPr>
          <w:rFonts w:ascii="Helvetica Neue" w:hAnsi="Helvetica Neue" w:cs="宋体"/>
          <w:color w:val="353736"/>
          <w:spacing w:val="8"/>
          <w:kern w:val="0"/>
          <w:sz w:val="28"/>
          <w:szCs w:val="23"/>
        </w:rPr>
        <w:t>）《國語</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晋語四》：</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（重耳）過衛，衛文公有邢、狄之虞，不能禮焉。甯莊子言於公曰：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夫禮，國之紀也；親，民之結也；善，德之建也。國無紀不可以終，民無結不可以固，德無建不可以立。此三者，君之所慎也。今君棄之，無乃不可乎！晋公</w:t>
      </w:r>
      <w:r w:rsidRPr="0055724E">
        <w:rPr>
          <w:rFonts w:ascii="Helvetica Neue" w:eastAsia="楷体" w:hAnsi="Helvetica Neue" w:cs="宋体"/>
          <w:color w:val="000000" w:themeColor="text1"/>
          <w:spacing w:val="8"/>
          <w:kern w:val="0"/>
          <w:sz w:val="28"/>
          <w:szCs w:val="23"/>
        </w:rPr>
        <w:lastRenderedPageBreak/>
        <w:t>子，</w:t>
      </w:r>
      <w:r w:rsidRPr="0055724E">
        <w:rPr>
          <w:rFonts w:ascii="Helvetica Neue" w:eastAsia="楷体" w:hAnsi="Helvetica Neue" w:cs="宋体"/>
          <w:b/>
          <w:bCs/>
          <w:color w:val="000000" w:themeColor="text1"/>
          <w:spacing w:val="8"/>
          <w:kern w:val="0"/>
          <w:sz w:val="28"/>
          <w:szCs w:val="23"/>
          <w:u w:val="single"/>
        </w:rPr>
        <w:t>善人</w:t>
      </w:r>
      <w:r w:rsidRPr="0055724E">
        <w:rPr>
          <w:rFonts w:ascii="Helvetica Neue" w:eastAsia="楷体" w:hAnsi="Helvetica Neue" w:cs="宋体"/>
          <w:color w:val="000000" w:themeColor="text1"/>
          <w:spacing w:val="8"/>
          <w:kern w:val="0"/>
          <w:sz w:val="28"/>
          <w:szCs w:val="23"/>
        </w:rPr>
        <w:t>也，而衛親也。君不禮焉，棄三德矣。臣故云君其圖之。</w:t>
      </w:r>
      <w:r w:rsidRPr="0055724E">
        <w:rPr>
          <w:rFonts w:ascii="Helvetica Neue" w:eastAsia="楷体" w:hAnsi="Helvetica Neue" w:cs="宋体"/>
          <w:color w:val="000000" w:themeColor="text1"/>
          <w:spacing w:val="8"/>
          <w:kern w:val="0"/>
          <w:sz w:val="28"/>
          <w:szCs w:val="23"/>
        </w:rPr>
        <w:t>……’</w:t>
      </w:r>
      <w:r w:rsidRPr="0055724E">
        <w:rPr>
          <w:rFonts w:ascii="Helvetica Neue" w:hAnsi="Helvetica Neue" w:cs="宋体"/>
          <w:color w:val="353736"/>
          <w:spacing w:val="8"/>
          <w:kern w:val="0"/>
          <w:sz w:val="28"/>
          <w:szCs w:val="23"/>
        </w:rPr>
        <w:t>”</w:t>
      </w:r>
    </w:p>
    <w:p w14:paraId="4E172C6D" w14:textId="62AC3D3A"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13</w:t>
      </w:r>
      <w:r w:rsidRPr="0055724E">
        <w:rPr>
          <w:rFonts w:ascii="Helvetica Neue" w:hAnsi="Helvetica Neue" w:cs="宋体"/>
          <w:color w:val="353736"/>
          <w:spacing w:val="8"/>
          <w:kern w:val="0"/>
          <w:sz w:val="28"/>
          <w:szCs w:val="23"/>
        </w:rPr>
        <w:t>）《國語</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晋語八》記魯昭公元年，諸侯在東虢會盟，重溫襄公二十七年在宋舉行的弭兵之會。魯叔孫豹與會，盟會尚未結束，魯人即背盟伐莒，楚令尹圍主張將叔孫豹殺死。晋樂王鮒向叔孫豹索要賄賂，叔孫豹不予。趙文子勸叔孫豹逃跑，叔孫豹</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對曰：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豹也受命於君，以從諸侯之盟，爲社稷也。若魯有罪，而受盟者逃，必不免，是吾出而危之也。若爲諸侯戮者，魯誅盡矣，必不加師，請爲戮也。夫戮出於身實難，自他及之何害？苟可以安君利國，美惡一也。</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文子將請之於楚，樂王鮒曰：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諸侯有盟，未退而魯背之，安用齊盟？縱不能討，又免其受盟者，晋何以爲盟主矣？必殺叔孫豹。</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文子曰：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有人不難以死安利其國，可無愛乎！若皆恤國如是，則大不喪威，而小不見陵矣。若是道也果，可以教訓，何敗國之有！吾聞之曰：</w:t>
      </w:r>
      <w:r w:rsidRPr="0055724E">
        <w:rPr>
          <w:rFonts w:ascii="Helvetica Neue" w:eastAsia="楷体" w:hAnsi="Helvetica Neue" w:cs="宋体"/>
          <w:b/>
          <w:bCs/>
          <w:color w:val="000000" w:themeColor="text1"/>
          <w:spacing w:val="8"/>
          <w:kern w:val="0"/>
          <w:sz w:val="28"/>
          <w:szCs w:val="23"/>
          <w:u w:val="single"/>
        </w:rPr>
        <w:t>善人</w:t>
      </w:r>
      <w:r w:rsidRPr="0055724E">
        <w:rPr>
          <w:rFonts w:ascii="Helvetica Neue" w:eastAsia="楷体" w:hAnsi="Helvetica Neue" w:cs="宋体"/>
          <w:color w:val="000000" w:themeColor="text1"/>
          <w:spacing w:val="8"/>
          <w:kern w:val="0"/>
          <w:sz w:val="28"/>
          <w:szCs w:val="23"/>
        </w:rPr>
        <w:t>在患，弗救不祥；惡人在位，不去亦不祥。必免叔孫。</w:t>
      </w:r>
      <w:r w:rsidRPr="0055724E">
        <w:rPr>
          <w:rFonts w:ascii="Helvetica Neue" w:eastAsia="楷体" w:hAnsi="Helvetica Neue" w:cs="宋体"/>
          <w:color w:val="000000" w:themeColor="text1"/>
          <w:spacing w:val="8"/>
          <w:kern w:val="0"/>
          <w:sz w:val="28"/>
          <w:szCs w:val="23"/>
        </w:rPr>
        <w:t>’</w:t>
      </w:r>
      <w:r w:rsidRPr="0055724E">
        <w:rPr>
          <w:rFonts w:ascii="Helvetica Neue" w:hAnsi="Helvetica Neue" w:cs="宋体"/>
          <w:color w:val="353736"/>
          <w:spacing w:val="8"/>
          <w:kern w:val="0"/>
          <w:sz w:val="28"/>
          <w:szCs w:val="23"/>
        </w:rPr>
        <w:t>”</w:t>
      </w:r>
    </w:p>
    <w:p w14:paraId="0A50AE80" w14:textId="19F586C3"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14</w:t>
      </w:r>
      <w:r w:rsidRPr="0055724E">
        <w:rPr>
          <w:rFonts w:ascii="Helvetica Neue" w:hAnsi="Helvetica Neue" w:cs="宋体"/>
          <w:color w:val="353736"/>
          <w:spacing w:val="8"/>
          <w:kern w:val="0"/>
          <w:sz w:val="28"/>
          <w:szCs w:val="23"/>
        </w:rPr>
        <w:t>）《國語</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楚語上》：</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莊王使士亹傅太子箴，辭曰：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臣不才，無能益焉。</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王曰：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賴子之善，善之也。</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對曰：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夫善在太子，太子欲善，</w:t>
      </w:r>
      <w:r w:rsidRPr="0055724E">
        <w:rPr>
          <w:rFonts w:ascii="Helvetica Neue" w:eastAsia="楷体" w:hAnsi="Helvetica Neue" w:cs="宋体"/>
          <w:b/>
          <w:bCs/>
          <w:color w:val="000000" w:themeColor="text1"/>
          <w:spacing w:val="8"/>
          <w:kern w:val="0"/>
          <w:sz w:val="28"/>
          <w:szCs w:val="23"/>
          <w:u w:val="single"/>
        </w:rPr>
        <w:t>善人</w:t>
      </w:r>
      <w:r w:rsidRPr="0055724E">
        <w:rPr>
          <w:rFonts w:ascii="Helvetica Neue" w:eastAsia="楷体" w:hAnsi="Helvetica Neue" w:cs="宋体"/>
          <w:color w:val="000000" w:themeColor="text1"/>
          <w:spacing w:val="8"/>
          <w:kern w:val="0"/>
          <w:sz w:val="28"/>
          <w:szCs w:val="23"/>
        </w:rPr>
        <w:t>將至；若不欲善，善則不用。故堯有丹朱，舜有</w:t>
      </w:r>
      <w:r w:rsidRPr="0055724E">
        <w:rPr>
          <w:rFonts w:ascii="Helvetica Neue" w:eastAsia="楷体" w:hAnsi="Helvetica Neue" w:cs="宋体"/>
          <w:color w:val="000000" w:themeColor="text1"/>
          <w:spacing w:val="8"/>
          <w:kern w:val="0"/>
          <w:sz w:val="28"/>
          <w:szCs w:val="23"/>
        </w:rPr>
        <w:lastRenderedPageBreak/>
        <w:t>商均，啟有五觀，湯有太甲，文王有管、蔡。是五王者，皆有元德也，而有奸子。夫豈不欲其善，不能故也。</w:t>
      </w:r>
      <w:r w:rsidRPr="0055724E">
        <w:rPr>
          <w:rFonts w:ascii="Helvetica Neue" w:eastAsia="楷体" w:hAnsi="Helvetica Neue" w:cs="宋体"/>
          <w:color w:val="000000" w:themeColor="text1"/>
          <w:spacing w:val="8"/>
          <w:kern w:val="0"/>
          <w:sz w:val="28"/>
          <w:szCs w:val="23"/>
        </w:rPr>
        <w:t>’</w:t>
      </w:r>
      <w:r w:rsidRPr="0055724E">
        <w:rPr>
          <w:rFonts w:ascii="Helvetica Neue" w:hAnsi="Helvetica Neue" w:cs="宋体"/>
          <w:color w:val="353736"/>
          <w:spacing w:val="8"/>
          <w:kern w:val="0"/>
          <w:sz w:val="28"/>
          <w:szCs w:val="23"/>
        </w:rPr>
        <w:t>”</w:t>
      </w:r>
    </w:p>
    <w:p w14:paraId="2CC7E5D2" w14:textId="4DC5F526"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例（</w:t>
      </w:r>
      <w:r w:rsidR="00687FDE" w:rsidRPr="00687FDE">
        <w:rPr>
          <w:rFonts w:hAnsi="Helvetica Neue" w:cs="宋体"/>
          <w:color w:val="353736"/>
          <w:spacing w:val="8"/>
          <w:kern w:val="0"/>
          <w:sz w:val="28"/>
          <w:szCs w:val="23"/>
        </w:rPr>
        <w:t>3</w:t>
      </w:r>
      <w:r w:rsidRPr="0055724E">
        <w:rPr>
          <w:rFonts w:ascii="Helvetica Neue" w:hAnsi="Helvetica Neue" w:cs="宋体"/>
          <w:color w:val="353736"/>
          <w:spacing w:val="8"/>
          <w:kern w:val="0"/>
          <w:sz w:val="28"/>
          <w:szCs w:val="23"/>
        </w:rPr>
        <w:t>）所説的介之推跟隨晋公子重耳</w:t>
      </w:r>
      <w:r w:rsidRPr="0055724E">
        <w:rPr>
          <w:rFonts w:ascii="Helvetica Neue" w:hAnsi="Helvetica Neue" w:cs="宋体"/>
          <w:color w:val="353736"/>
          <w:spacing w:val="8"/>
          <w:kern w:val="0"/>
          <w:sz w:val="18"/>
          <w:szCs w:val="18"/>
        </w:rPr>
        <w:t>（後來的晋文公）</w:t>
      </w:r>
      <w:r w:rsidRPr="0055724E">
        <w:rPr>
          <w:rFonts w:ascii="Helvetica Neue" w:hAnsi="Helvetica Neue" w:cs="宋体"/>
          <w:color w:val="353736"/>
          <w:spacing w:val="8"/>
          <w:kern w:val="0"/>
          <w:sz w:val="28"/>
          <w:szCs w:val="23"/>
        </w:rPr>
        <w:t>在外顛沛流亡多年，重耳最後歸國繼承君位，其中當然有介之推的功勞，但他卻口不言禄，退隱而死，品德很高，所以晋文公認爲他是應該表揚的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p>
    <w:p w14:paraId="25E85FD6" w14:textId="567F5403"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例（</w:t>
      </w:r>
      <w:r w:rsidR="00687FDE" w:rsidRPr="00687FDE">
        <w:rPr>
          <w:rFonts w:hAnsi="Helvetica Neue" w:cs="宋体"/>
          <w:color w:val="353736"/>
          <w:spacing w:val="8"/>
          <w:kern w:val="0"/>
          <w:sz w:val="28"/>
          <w:szCs w:val="23"/>
        </w:rPr>
        <w:t>4</w:t>
      </w:r>
      <w:r w:rsidRPr="0055724E">
        <w:rPr>
          <w:rFonts w:ascii="Helvetica Neue" w:hAnsi="Helvetica Neue" w:cs="宋体"/>
          <w:color w:val="353736"/>
          <w:spacing w:val="8"/>
          <w:kern w:val="0"/>
          <w:sz w:val="28"/>
          <w:szCs w:val="23"/>
        </w:rPr>
        <w:t>）所引的《黃鳥》詩見於《詩經</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秦風》，詩中説子車氏三兄弟是</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百夫之特</w:t>
      </w:r>
      <w:r w:rsidRPr="0055724E">
        <w:rPr>
          <w:rFonts w:ascii="Helvetica Neue" w:hAnsi="Helvetica Neue" w:cs="宋体"/>
          <w:color w:val="353736"/>
          <w:spacing w:val="8"/>
          <w:kern w:val="0"/>
          <w:sz w:val="18"/>
          <w:szCs w:val="18"/>
        </w:rPr>
        <w:t>（鄭箋：百夫之中最雄俊也）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百夫之防</w:t>
      </w:r>
      <w:r w:rsidRPr="0055724E">
        <w:rPr>
          <w:rFonts w:ascii="Helvetica Neue" w:hAnsi="Helvetica Neue" w:cs="宋体"/>
          <w:color w:val="353736"/>
          <w:spacing w:val="8"/>
          <w:kern w:val="0"/>
          <w:sz w:val="18"/>
          <w:szCs w:val="18"/>
        </w:rPr>
        <w:t>（鄭箋：防猶當也，言此一人當百夫）</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百夫之禦</w:t>
      </w:r>
      <w:r w:rsidRPr="0055724E">
        <w:rPr>
          <w:rFonts w:ascii="Helvetica Neue" w:hAnsi="Helvetica Neue" w:cs="宋体"/>
          <w:color w:val="353736"/>
          <w:spacing w:val="8"/>
          <w:kern w:val="0"/>
          <w:sz w:val="18"/>
          <w:szCs w:val="18"/>
        </w:rPr>
        <w:t>（鄭箋：禦，當也）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，可知</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三良</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是有極高能力的勇力之士，穆公生前他們一定是忠心耿耿，把保衛穆公的工作做得非常好的，所以以三良殉穆公，要他們在地下繼續保護穆公。像三良這樣德才具備的傑出勇士，在國家有危難的時候無疑能在保衛國家的戰爭中發揮重要作用，所以君子認爲使三良殉葬是奪走了能影響國家興亡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p>
    <w:p w14:paraId="53D00B22" w14:textId="19522CCA"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例（</w:t>
      </w:r>
      <w:r w:rsidR="00687FDE" w:rsidRPr="00687FDE">
        <w:rPr>
          <w:rFonts w:hAnsi="Helvetica Neue" w:cs="宋体"/>
          <w:color w:val="353736"/>
          <w:spacing w:val="8"/>
          <w:kern w:val="0"/>
          <w:sz w:val="28"/>
          <w:szCs w:val="23"/>
        </w:rPr>
        <w:t>5</w:t>
      </w:r>
      <w:r w:rsidRPr="0055724E">
        <w:rPr>
          <w:rFonts w:ascii="Helvetica Neue" w:hAnsi="Helvetica Neue" w:cs="宋体"/>
          <w:color w:val="353736"/>
          <w:spacing w:val="8"/>
          <w:kern w:val="0"/>
          <w:sz w:val="28"/>
          <w:szCs w:val="23"/>
        </w:rPr>
        <w:t>）中被羊舌職説成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的士會是一位才德具備的爲政者，他執晋國之政後，</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晋國之盜逃奔于秦</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，顯然是懼怕在他治下會受到懲處。羊舌職的評論中有</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善人在上，則國無幸民</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一語，</w:t>
      </w:r>
      <w:r w:rsidRPr="0055724E">
        <w:rPr>
          <w:rFonts w:ascii="Helvetica Neue" w:hAnsi="Helvetica Neue" w:cs="宋体"/>
          <w:color w:val="353736"/>
          <w:spacing w:val="8"/>
          <w:kern w:val="0"/>
          <w:sz w:val="28"/>
          <w:szCs w:val="23"/>
        </w:rPr>
        <w:lastRenderedPageBreak/>
        <w:t>説的也是同樣的道理。羊舌職所引</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禹稱善人，不善人遠</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之語，與《論語</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顏淵》所記子夏之語</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舜有天下，選於眾，舉皋陶，不仁者遠矣。湯有天下，選於眾，舉伊尹，不仁者遠矣</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所説之事相類</w:t>
      </w:r>
      <w:r w:rsidRPr="00965627">
        <w:rPr>
          <w:rStyle w:val="ae"/>
          <w:rFonts w:ascii="Helvetica Neue" w:hAnsi="Helvetica Neue" w:cs="宋体"/>
          <w:color w:val="353736"/>
          <w:spacing w:val="8"/>
          <w:kern w:val="0"/>
          <w:sz w:val="28"/>
          <w:szCs w:val="23"/>
        </w:rPr>
        <w:endnoteReference w:id="122"/>
      </w:r>
      <w:r w:rsidRPr="0055724E">
        <w:rPr>
          <w:rFonts w:ascii="Helvetica Neue" w:hAnsi="Helvetica Neue" w:cs="宋体"/>
          <w:color w:val="353736"/>
          <w:spacing w:val="8"/>
          <w:kern w:val="0"/>
          <w:sz w:val="28"/>
          <w:szCs w:val="23"/>
        </w:rPr>
        <w:t>，禹所稱舉的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應該就是皋陶</w:t>
      </w:r>
      <w:r w:rsidRPr="0055724E">
        <w:rPr>
          <w:rFonts w:ascii="Helvetica Neue" w:hAnsi="Helvetica Neue" w:cs="宋体"/>
          <w:color w:val="353736"/>
          <w:spacing w:val="8"/>
          <w:kern w:val="0"/>
          <w:sz w:val="18"/>
          <w:szCs w:val="18"/>
        </w:rPr>
        <w:t>（傳説皋陶也是禹臣）</w:t>
      </w:r>
      <w:r w:rsidRPr="0055724E">
        <w:rPr>
          <w:rFonts w:ascii="Helvetica Neue" w:hAnsi="Helvetica Neue" w:cs="宋体"/>
          <w:color w:val="353736"/>
          <w:spacing w:val="8"/>
          <w:kern w:val="0"/>
          <w:sz w:val="28"/>
          <w:szCs w:val="23"/>
        </w:rPr>
        <w:t>、伊尹那樣才德具備的爲政者，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就相當於子夏所説的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不仁者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，可見這裏與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相對的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主要是就其品德不好而言的，這從反面反映出這裏的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一定是指不但有才能而且品德也很好的人的。不過，羊舌職以其所聞</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禹稱善人，不善人遠</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之語來與士會</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將中軍，且爲大傅。於是晋國之盜逃奔于秦</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的現象相比照，並不很合適，因爲他所引之語中的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顯然是指從事政治的那些不善人，盜賊的身份與他們並不相同；不過，在品德壞這一點上，他們是相類的。</w:t>
      </w:r>
    </w:p>
    <w:p w14:paraId="37BD224C" w14:textId="7A9F2066"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例（</w:t>
      </w:r>
      <w:r w:rsidR="00687FDE" w:rsidRPr="00687FDE">
        <w:rPr>
          <w:rFonts w:hAnsi="Helvetica Neue" w:cs="宋体"/>
          <w:color w:val="353736"/>
          <w:spacing w:val="8"/>
          <w:kern w:val="0"/>
          <w:sz w:val="28"/>
          <w:szCs w:val="23"/>
        </w:rPr>
        <w:t>6</w:t>
      </w:r>
      <w:r w:rsidRPr="0055724E">
        <w:rPr>
          <w:rFonts w:ascii="Helvetica Neue" w:hAnsi="Helvetica Neue" w:cs="宋体"/>
          <w:color w:val="353736"/>
          <w:spacing w:val="8"/>
          <w:kern w:val="0"/>
          <w:sz w:val="28"/>
          <w:szCs w:val="23"/>
        </w:rPr>
        <w:t>）説伯宗在晋國朝廷上持正不阿，不顧個人安危，而</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好直言</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，終於因此而被殺。《論語</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顏淵》：</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樊遲問仁。子曰：</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愛人。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問知。子曰：</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知人。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樊遲未達。子曰：</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舉直錯諸枉，能使枉者直。</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《衛靈公》篇：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子曰：直哉史魚！邦有道，如矢；邦無道，如矢。</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《微子》篇：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柳下惠爲士師，三黜。人曰：</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子未可以去乎？</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曰：</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直道而事人，焉往而不三黜？枉道而事人，何必</w:t>
      </w:r>
      <w:r w:rsidRPr="0055724E">
        <w:rPr>
          <w:rFonts w:ascii="Helvetica Neue" w:hAnsi="Helvetica Neue" w:cs="宋体"/>
          <w:color w:val="353736"/>
          <w:spacing w:val="8"/>
          <w:kern w:val="0"/>
          <w:sz w:val="28"/>
          <w:szCs w:val="23"/>
        </w:rPr>
        <w:lastRenderedPageBreak/>
        <w:t>去父母之邦。</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可見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直</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是爲政、從政者極爲重要的一種品德，韓獻子稱贊伯宗是可以爲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天地之紀</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，是有道理的。</w:t>
      </w:r>
    </w:p>
    <w:p w14:paraId="50ECD8EE" w14:textId="1DBA7465"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例（</w:t>
      </w:r>
      <w:r w:rsidR="00687FDE" w:rsidRPr="00687FDE">
        <w:rPr>
          <w:rFonts w:hAnsi="Helvetica Neue" w:cs="宋体"/>
          <w:color w:val="353736"/>
          <w:spacing w:val="8"/>
          <w:kern w:val="0"/>
          <w:sz w:val="28"/>
          <w:szCs w:val="23"/>
        </w:rPr>
        <w:t>7</w:t>
      </w:r>
      <w:r w:rsidRPr="0055724E">
        <w:rPr>
          <w:rFonts w:ascii="Helvetica Neue" w:hAnsi="Helvetica Neue" w:cs="宋体"/>
          <w:color w:val="353736"/>
          <w:spacing w:val="8"/>
          <w:kern w:val="0"/>
          <w:sz w:val="28"/>
          <w:szCs w:val="23"/>
        </w:rPr>
        <w:t>）中范文子對魯季文子和子叔嬰齊的評論主要贊揚了他們忠而無私的品德。</w:t>
      </w:r>
    </w:p>
    <w:p w14:paraId="3D5360EC" w14:textId="2E452A4F"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例（</w:t>
      </w:r>
      <w:r w:rsidR="00687FDE" w:rsidRPr="00687FDE">
        <w:rPr>
          <w:rFonts w:hAnsi="Helvetica Neue" w:cs="宋体"/>
          <w:color w:val="353736"/>
          <w:spacing w:val="8"/>
          <w:kern w:val="0"/>
          <w:sz w:val="28"/>
          <w:szCs w:val="23"/>
        </w:rPr>
        <w:t>8</w:t>
      </w:r>
      <w:r w:rsidRPr="0055724E">
        <w:rPr>
          <w:rFonts w:ascii="Helvetica Neue" w:hAnsi="Helvetica Neue" w:cs="宋体"/>
          <w:color w:val="353736"/>
          <w:spacing w:val="8"/>
          <w:kern w:val="0"/>
          <w:sz w:val="28"/>
          <w:szCs w:val="23"/>
        </w:rPr>
        <w:t>）的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指鄭國承接子皮任執政的子產。子產是公認的才德具備的人。孔子對子產評價很高，《論語</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公冶長》：</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子謂子產：</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有君子之道四焉：其行己也恭，其事上也敬，其養民也惠，其使民也義。</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《憲問》：</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或問子產。子曰：</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惠人也。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他應該像晏子一樣，也是把子產看作</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w:t>
      </w:r>
    </w:p>
    <w:p w14:paraId="74B79BA5" w14:textId="2AD97F96"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例（</w:t>
      </w:r>
      <w:r w:rsidR="00687FDE" w:rsidRPr="00687FDE">
        <w:rPr>
          <w:rFonts w:hAnsi="Helvetica Neue" w:cs="宋体"/>
          <w:color w:val="353736"/>
          <w:spacing w:val="8"/>
          <w:kern w:val="0"/>
          <w:sz w:val="28"/>
          <w:szCs w:val="23"/>
        </w:rPr>
        <w:t>9</w:t>
      </w:r>
      <w:r w:rsidRPr="0055724E">
        <w:rPr>
          <w:rFonts w:ascii="Helvetica Neue" w:hAnsi="Helvetica Neue" w:cs="宋体"/>
          <w:color w:val="353736"/>
          <w:spacing w:val="8"/>
          <w:kern w:val="0"/>
          <w:sz w:val="28"/>
          <w:szCs w:val="23"/>
        </w:rPr>
        <w:t>）中叔向所説的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指其行爲可以爲法的爲政者，他們顯然也是才德具備的。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匹夫爲善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應指善事，以</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的例子詳後</w:t>
      </w:r>
      <w:r w:rsidRPr="0055724E">
        <w:rPr>
          <w:rFonts w:ascii="Helvetica Neue" w:hAnsi="Helvetica Neue" w:cs="宋体"/>
          <w:color w:val="353736"/>
          <w:spacing w:val="8"/>
          <w:kern w:val="0"/>
          <w:sz w:val="18"/>
          <w:szCs w:val="18"/>
        </w:rPr>
        <w:t>［四（一）］</w:t>
      </w:r>
      <w:r w:rsidRPr="0055724E">
        <w:rPr>
          <w:rFonts w:ascii="Helvetica Neue" w:hAnsi="Helvetica Neue" w:cs="宋体"/>
          <w:color w:val="353736"/>
          <w:spacing w:val="8"/>
          <w:kern w:val="0"/>
          <w:sz w:val="28"/>
          <w:szCs w:val="23"/>
        </w:rPr>
        <w:t>。</w:t>
      </w:r>
    </w:p>
    <w:p w14:paraId="672BAB7F" w14:textId="4BDA9F92"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例（</w:t>
      </w:r>
      <w:r w:rsidR="00687FDE" w:rsidRPr="00687FDE">
        <w:rPr>
          <w:rFonts w:hAnsi="Helvetica Neue" w:cs="宋体"/>
          <w:color w:val="353736"/>
          <w:spacing w:val="8"/>
          <w:kern w:val="0"/>
          <w:sz w:val="28"/>
          <w:szCs w:val="23"/>
        </w:rPr>
        <w:t>10</w:t>
      </w:r>
      <w:r w:rsidRPr="0055724E">
        <w:rPr>
          <w:rFonts w:ascii="Helvetica Neue" w:hAnsi="Helvetica Neue" w:cs="宋体"/>
          <w:color w:val="353736"/>
          <w:spacing w:val="8"/>
          <w:kern w:val="0"/>
          <w:sz w:val="28"/>
          <w:szCs w:val="23"/>
        </w:rPr>
        <w:t>）以</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淫人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對言，而且説</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無善人，則國從之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也應指爲政、從政者中那些才德具備的人。以</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淫人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對舉，跟例（</w:t>
      </w:r>
      <w:r w:rsidR="00687FDE" w:rsidRPr="00687FDE">
        <w:rPr>
          <w:rFonts w:hAnsi="Helvetica Neue" w:cs="宋体"/>
          <w:color w:val="353736"/>
          <w:spacing w:val="8"/>
          <w:kern w:val="0"/>
          <w:sz w:val="28"/>
          <w:szCs w:val="23"/>
        </w:rPr>
        <w:t>5</w:t>
      </w:r>
      <w:r w:rsidRPr="0055724E">
        <w:rPr>
          <w:rFonts w:ascii="Helvetica Neue" w:hAnsi="Helvetica Neue" w:cs="宋体"/>
          <w:color w:val="353736"/>
          <w:spacing w:val="8"/>
          <w:kern w:val="0"/>
          <w:sz w:val="28"/>
          <w:szCs w:val="23"/>
        </w:rPr>
        <w:t>）羊舌職所聞之語以</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對舉一樣，突出了</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的品德這一方面。此例中有兩次説到</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失善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都指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p>
    <w:p w14:paraId="09E82C9E" w14:textId="3601ABF2"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lastRenderedPageBreak/>
        <w:t>例（</w:t>
      </w:r>
      <w:r w:rsidR="00687FDE" w:rsidRPr="00687FDE">
        <w:rPr>
          <w:rFonts w:hAnsi="Helvetica Neue" w:cs="宋体"/>
          <w:color w:val="353736"/>
          <w:spacing w:val="8"/>
          <w:kern w:val="0"/>
          <w:sz w:val="28"/>
          <w:szCs w:val="23"/>
        </w:rPr>
        <w:t>11</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君子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之言以</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淫人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對舉，與例（</w:t>
      </w:r>
      <w:r w:rsidR="00687FDE" w:rsidRPr="00687FDE">
        <w:rPr>
          <w:rFonts w:hAnsi="Helvetica Neue" w:cs="宋体"/>
          <w:color w:val="353736"/>
          <w:spacing w:val="8"/>
          <w:kern w:val="0"/>
          <w:sz w:val="28"/>
          <w:szCs w:val="23"/>
        </w:rPr>
        <w:t>10</w:t>
      </w:r>
      <w:r w:rsidRPr="0055724E">
        <w:rPr>
          <w:rFonts w:ascii="Helvetica Neue" w:hAnsi="Helvetica Neue" w:cs="宋体"/>
          <w:color w:val="353736"/>
          <w:spacing w:val="8"/>
          <w:kern w:val="0"/>
          <w:sz w:val="28"/>
          <w:szCs w:val="23"/>
        </w:rPr>
        <w:t>）同。</w:t>
      </w:r>
    </w:p>
    <w:p w14:paraId="62DE9E5D" w14:textId="0C467222"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例（</w:t>
      </w:r>
      <w:r w:rsidR="00687FDE" w:rsidRPr="00687FDE">
        <w:rPr>
          <w:rFonts w:hAnsi="Helvetica Neue" w:cs="宋体"/>
          <w:color w:val="353736"/>
          <w:spacing w:val="8"/>
          <w:kern w:val="0"/>
          <w:sz w:val="28"/>
          <w:szCs w:val="23"/>
        </w:rPr>
        <w:t>12</w:t>
      </w:r>
      <w:r w:rsidRPr="0055724E">
        <w:rPr>
          <w:rFonts w:ascii="Helvetica Neue" w:hAnsi="Helvetica Neue" w:cs="宋体"/>
          <w:color w:val="353736"/>
          <w:spacing w:val="8"/>
          <w:kern w:val="0"/>
          <w:sz w:val="28"/>
          <w:szCs w:val="23"/>
        </w:rPr>
        <w:t>）甯莊子稱重耳爲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當是由於他認爲從重耳各方面的表現看，他是一個才德具備的人材。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善，德之建也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句韋昭注：</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建，立也。言能善善，所以立德。</w:t>
      </w:r>
      <w:r w:rsidRPr="0055724E">
        <w:rPr>
          <w:rFonts w:ascii="Helvetica Neue" w:hAnsi="Helvetica Neue" w:cs="宋体"/>
          <w:color w:val="353736"/>
          <w:spacing w:val="8"/>
          <w:kern w:val="0"/>
          <w:sz w:val="28"/>
          <w:szCs w:val="23"/>
        </w:rPr>
        <w:t>”</w:t>
      </w:r>
      <w:r w:rsidRPr="00965627">
        <w:rPr>
          <w:rStyle w:val="ae"/>
          <w:rFonts w:ascii="Helvetica Neue" w:hAnsi="Helvetica Neue" w:cs="宋体"/>
          <w:color w:val="353736"/>
          <w:spacing w:val="8"/>
          <w:kern w:val="0"/>
          <w:sz w:val="28"/>
          <w:szCs w:val="23"/>
        </w:rPr>
        <w:endnoteReference w:id="123"/>
      </w:r>
      <w:r w:rsidRPr="0055724E">
        <w:rPr>
          <w:rFonts w:ascii="Helvetica Neue" w:hAnsi="Helvetica Neue" w:cs="宋体"/>
          <w:color w:val="353736"/>
          <w:spacing w:val="8"/>
          <w:kern w:val="0"/>
          <w:sz w:val="28"/>
          <w:szCs w:val="23"/>
        </w:rPr>
        <w:t>所謂</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應是能善待善人之義。韋昭注所以這樣説，當是由於甯莊子這段話是爲了勸衛文公善待重耳而説的緣故。甯莊子所説的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禮，國之紀也；親，民之結也；善，德之建也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不知是否有所據，從其下文體會，他應該是用</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來指善人的；但如果他是有所據的，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善，德之建也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的原意似乎可以理解爲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要立德，就必須有較高的才能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p>
    <w:p w14:paraId="4BE67622" w14:textId="7BAA2321"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例（</w:t>
      </w:r>
      <w:r w:rsidR="00687FDE" w:rsidRPr="00687FDE">
        <w:rPr>
          <w:rFonts w:hAnsi="Helvetica Neue" w:cs="宋体"/>
          <w:color w:val="353736"/>
          <w:spacing w:val="8"/>
          <w:kern w:val="0"/>
          <w:sz w:val="28"/>
          <w:szCs w:val="23"/>
        </w:rPr>
        <w:t>13</w:t>
      </w:r>
      <w:r w:rsidRPr="0055724E">
        <w:rPr>
          <w:rFonts w:ascii="Helvetica Neue" w:hAnsi="Helvetica Neue" w:cs="宋体"/>
          <w:color w:val="353736"/>
          <w:spacing w:val="8"/>
          <w:kern w:val="0"/>
          <w:sz w:val="28"/>
          <w:szCs w:val="23"/>
        </w:rPr>
        <w:t>）所記之事亦見《左傳</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昭公元年》，那裏還記有趙文子爲叔孫豹向楚人求情時所説的一段話：</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魯雖有罪，其執事不辟難，畏威而敬命矣。子若免之，以勸左右可也。若子之群吏處不辟汙，出不逃難，其何患之有？患之所生，汙而不治，難而不守，所由來也。能是二者，又何患焉？不靖其能，其誰從之？魯叔孫豹可謂能矣，請免之以靖能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由《國語》《左傳》這兩處的記載可以清楚地看出，趙文子認爲魯國大夫叔孫豹是一位才德具備、可以取法的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。趙文子評價叔孫豹行爲的那些話明顯地反映出，古代的賢人是非常重視與品德密切結合在一起的那種才能的。</w:t>
      </w:r>
      <w:r w:rsidRPr="0055724E">
        <w:rPr>
          <w:rFonts w:ascii="Helvetica Neue" w:hAnsi="Helvetica Neue" w:cs="宋体"/>
          <w:color w:val="353736"/>
          <w:spacing w:val="8"/>
          <w:kern w:val="0"/>
          <w:sz w:val="28"/>
          <w:szCs w:val="23"/>
        </w:rPr>
        <w:lastRenderedPageBreak/>
        <w:t>他所引成語</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善人在患，弗救不祥；惡人在位，不去亦不祥</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，以</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惡人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相對，上舉例（</w:t>
      </w:r>
      <w:r w:rsidR="00687FDE" w:rsidRPr="00687FDE">
        <w:rPr>
          <w:rFonts w:hAnsi="Helvetica Neue" w:cs="宋体"/>
          <w:color w:val="353736"/>
          <w:spacing w:val="8"/>
          <w:kern w:val="0"/>
          <w:sz w:val="28"/>
          <w:szCs w:val="23"/>
        </w:rPr>
        <w:t>10</w:t>
      </w: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11</w:t>
      </w:r>
      <w:r w:rsidRPr="0055724E">
        <w:rPr>
          <w:rFonts w:ascii="Helvetica Neue" w:hAnsi="Helvetica Neue" w:cs="宋体"/>
          <w:color w:val="353736"/>
          <w:spacing w:val="8"/>
          <w:kern w:val="0"/>
          <w:sz w:val="28"/>
          <w:szCs w:val="23"/>
        </w:rPr>
        <w:t>）以</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淫人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相對，情況相類。</w:t>
      </w:r>
    </w:p>
    <w:p w14:paraId="6062274F" w14:textId="6C368B71"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例（</w:t>
      </w:r>
      <w:r w:rsidR="00687FDE" w:rsidRPr="00687FDE">
        <w:rPr>
          <w:rFonts w:hAnsi="Helvetica Neue" w:cs="宋体"/>
          <w:color w:val="353736"/>
          <w:spacing w:val="8"/>
          <w:kern w:val="0"/>
          <w:sz w:val="28"/>
          <w:szCs w:val="23"/>
        </w:rPr>
        <w:t>14</w:t>
      </w:r>
      <w:r w:rsidRPr="0055724E">
        <w:rPr>
          <w:rFonts w:ascii="Helvetica Neue" w:hAnsi="Helvetica Neue" w:cs="宋体"/>
          <w:color w:val="353736"/>
          <w:spacing w:val="8"/>
          <w:kern w:val="0"/>
          <w:sz w:val="28"/>
          <w:szCs w:val="23"/>
        </w:rPr>
        <w:t>）中，士亹所説的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當然也是才德具備、可以爲太子之傅的人。此段引文中莊王與士亹所説的話裏單用的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字共有七個，其中</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善則不用</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，從與其相對的上文中的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善人將至</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來看，即指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，情況與例（</w:t>
      </w:r>
      <w:r w:rsidR="00687FDE" w:rsidRPr="00687FDE">
        <w:rPr>
          <w:rFonts w:hAnsi="Helvetica Neue" w:cs="宋体"/>
          <w:color w:val="353736"/>
          <w:spacing w:val="8"/>
          <w:kern w:val="0"/>
          <w:sz w:val="28"/>
          <w:szCs w:val="23"/>
        </w:rPr>
        <w:t>10</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失善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相同。《禮記</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大學》</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楚書曰：</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楚國無以爲寶，惟善以爲寶。</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此</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亦指善人（朱熹《大學集注》注此句曰</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言不寶金玉而寶善人也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）。《大學》又説：</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見賢而不能舉，舉而不能先，命也；見不善而不能退，退而不能遠，過也。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此</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即指不善人，上引例（</w:t>
      </w:r>
      <w:r w:rsidR="00687FDE" w:rsidRPr="00687FDE">
        <w:rPr>
          <w:rFonts w:hAnsi="Helvetica Neue" w:cs="宋体"/>
          <w:color w:val="353736"/>
          <w:spacing w:val="8"/>
          <w:kern w:val="0"/>
          <w:sz w:val="28"/>
          <w:szCs w:val="23"/>
        </w:rPr>
        <w:t>5</w:t>
      </w:r>
      <w:r w:rsidRPr="0055724E">
        <w:rPr>
          <w:rFonts w:ascii="Helvetica Neue" w:hAnsi="Helvetica Neue" w:cs="宋体"/>
          <w:color w:val="353736"/>
          <w:spacing w:val="8"/>
          <w:kern w:val="0"/>
          <w:sz w:val="28"/>
          <w:szCs w:val="23"/>
        </w:rPr>
        <w:t>）即有</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不善人遠矣</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，可參照。</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指才德兼備的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與之同義。其他</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字的具體含義將在後文關於</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有</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爲人好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做好人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一類意義的討論中談到</w:t>
      </w:r>
      <w:r w:rsidRPr="0055724E">
        <w:rPr>
          <w:rFonts w:ascii="Helvetica Neue" w:hAnsi="Helvetica Neue" w:cs="宋体"/>
          <w:color w:val="353736"/>
          <w:spacing w:val="8"/>
          <w:kern w:val="0"/>
          <w:sz w:val="18"/>
          <w:szCs w:val="18"/>
        </w:rPr>
        <w:t>［見三（四）］</w:t>
      </w:r>
      <w:r w:rsidRPr="0055724E">
        <w:rPr>
          <w:rFonts w:ascii="Helvetica Neue" w:hAnsi="Helvetica Neue" w:cs="宋体"/>
          <w:color w:val="353736"/>
          <w:spacing w:val="8"/>
          <w:kern w:val="0"/>
          <w:sz w:val="28"/>
          <w:szCs w:val="23"/>
        </w:rPr>
        <w:t>。</w:t>
      </w:r>
    </w:p>
    <w:p w14:paraId="5CDB0EDC" w14:textId="4B3E5528"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《論語》中五次説到</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，除上文已舉的例（</w:t>
      </w:r>
      <w:r w:rsidR="00687FDE" w:rsidRPr="00687FDE">
        <w:rPr>
          <w:rFonts w:hAnsi="Helvetica Neue" w:cs="宋体"/>
          <w:color w:val="353736"/>
          <w:spacing w:val="8"/>
          <w:kern w:val="0"/>
          <w:sz w:val="28"/>
          <w:szCs w:val="23"/>
        </w:rPr>
        <w:t>2</w:t>
      </w:r>
      <w:r w:rsidRPr="0055724E">
        <w:rPr>
          <w:rFonts w:ascii="Helvetica Neue" w:hAnsi="Helvetica Neue" w:cs="宋体"/>
          <w:color w:val="353736"/>
          <w:spacing w:val="8"/>
          <w:kern w:val="0"/>
          <w:sz w:val="28"/>
          <w:szCs w:val="23"/>
        </w:rPr>
        <w:t>）《堯曰》所記古語中的一例外，其他四例如下：</w:t>
      </w:r>
    </w:p>
    <w:p w14:paraId="5DC6B761" w14:textId="1B398C31"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lastRenderedPageBreak/>
        <w:t>（</w:t>
      </w:r>
      <w:r w:rsidR="00687FDE" w:rsidRPr="00687FDE">
        <w:rPr>
          <w:rFonts w:hAnsi="Helvetica Neue" w:cs="宋体"/>
          <w:color w:val="353736"/>
          <w:spacing w:val="8"/>
          <w:kern w:val="0"/>
          <w:sz w:val="28"/>
          <w:szCs w:val="23"/>
        </w:rPr>
        <w:t>15</w:t>
      </w:r>
      <w:r w:rsidRPr="0055724E">
        <w:rPr>
          <w:rFonts w:ascii="Helvetica Neue" w:hAnsi="Helvetica Neue" w:cs="宋体"/>
          <w:color w:val="353736"/>
          <w:spacing w:val="8"/>
          <w:kern w:val="0"/>
          <w:sz w:val="28"/>
          <w:szCs w:val="23"/>
        </w:rPr>
        <w:t>）《論語</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述而》：</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子曰：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b/>
          <w:bCs/>
          <w:color w:val="000000" w:themeColor="text1"/>
          <w:spacing w:val="8"/>
          <w:kern w:val="0"/>
          <w:sz w:val="28"/>
          <w:szCs w:val="23"/>
          <w:u w:val="single"/>
        </w:rPr>
        <w:t>善人</w:t>
      </w:r>
      <w:r w:rsidRPr="0055724E">
        <w:rPr>
          <w:rFonts w:ascii="Helvetica Neue" w:eastAsia="楷体" w:hAnsi="Helvetica Neue" w:cs="宋体"/>
          <w:color w:val="000000" w:themeColor="text1"/>
          <w:spacing w:val="8"/>
          <w:kern w:val="0"/>
          <w:sz w:val="28"/>
          <w:szCs w:val="23"/>
        </w:rPr>
        <w:t>，吾不得而見之矣；得見有恒者，斯可矣。亡而爲有，虚而爲盈，約而爲泰，難乎有恒矣。</w:t>
      </w:r>
      <w:r w:rsidRPr="0055724E">
        <w:rPr>
          <w:rFonts w:ascii="Helvetica Neue" w:eastAsia="楷体" w:hAnsi="Helvetica Neue" w:cs="宋体"/>
          <w:color w:val="000000" w:themeColor="text1"/>
          <w:spacing w:val="8"/>
          <w:kern w:val="0"/>
          <w:sz w:val="28"/>
          <w:szCs w:val="23"/>
        </w:rPr>
        <w:t>’</w:t>
      </w:r>
      <w:r w:rsidRPr="0055724E">
        <w:rPr>
          <w:rFonts w:ascii="Helvetica Neue" w:hAnsi="Helvetica Neue" w:cs="宋体"/>
          <w:color w:val="353736"/>
          <w:spacing w:val="8"/>
          <w:kern w:val="0"/>
          <w:sz w:val="28"/>
          <w:szCs w:val="23"/>
        </w:rPr>
        <w:t>”</w:t>
      </w:r>
    </w:p>
    <w:p w14:paraId="2B75DC81" w14:textId="470B8E96"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16</w:t>
      </w:r>
      <w:r w:rsidRPr="0055724E">
        <w:rPr>
          <w:rFonts w:ascii="Helvetica Neue" w:hAnsi="Helvetica Neue" w:cs="宋体"/>
          <w:color w:val="353736"/>
          <w:spacing w:val="8"/>
          <w:kern w:val="0"/>
          <w:sz w:val="28"/>
          <w:szCs w:val="23"/>
        </w:rPr>
        <w:t>）《論語</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先進》：</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子張問</w:t>
      </w:r>
      <w:r w:rsidRPr="0055724E">
        <w:rPr>
          <w:rFonts w:ascii="Helvetica Neue" w:eastAsia="楷体" w:hAnsi="Helvetica Neue" w:cs="宋体"/>
          <w:b/>
          <w:bCs/>
          <w:color w:val="000000" w:themeColor="text1"/>
          <w:spacing w:val="8"/>
          <w:kern w:val="0"/>
          <w:sz w:val="28"/>
          <w:szCs w:val="23"/>
          <w:u w:val="single"/>
        </w:rPr>
        <w:t>善人</w:t>
      </w:r>
      <w:r w:rsidRPr="0055724E">
        <w:rPr>
          <w:rFonts w:ascii="Helvetica Neue" w:eastAsia="楷体" w:hAnsi="Helvetica Neue" w:cs="宋体"/>
          <w:color w:val="000000" w:themeColor="text1"/>
          <w:spacing w:val="8"/>
          <w:kern w:val="0"/>
          <w:sz w:val="28"/>
          <w:szCs w:val="23"/>
        </w:rPr>
        <w:t>之道。子曰：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不踐迹，亦不入於室。</w:t>
      </w:r>
      <w:r w:rsidRPr="0055724E">
        <w:rPr>
          <w:rFonts w:ascii="Helvetica Neue" w:eastAsia="楷体" w:hAnsi="Helvetica Neue" w:cs="宋体"/>
          <w:color w:val="000000" w:themeColor="text1"/>
          <w:spacing w:val="8"/>
          <w:kern w:val="0"/>
          <w:sz w:val="28"/>
          <w:szCs w:val="23"/>
        </w:rPr>
        <w:t>’</w:t>
      </w:r>
      <w:r w:rsidRPr="0055724E">
        <w:rPr>
          <w:rFonts w:ascii="Helvetica Neue" w:hAnsi="Helvetica Neue" w:cs="宋体"/>
          <w:color w:val="353736"/>
          <w:spacing w:val="8"/>
          <w:kern w:val="0"/>
          <w:sz w:val="28"/>
          <w:szCs w:val="23"/>
        </w:rPr>
        <w:t>”</w:t>
      </w:r>
    </w:p>
    <w:p w14:paraId="639919A7" w14:textId="22EB7F0D"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17</w:t>
      </w:r>
      <w:r w:rsidRPr="0055724E">
        <w:rPr>
          <w:rFonts w:ascii="Helvetica Neue" w:hAnsi="Helvetica Neue" w:cs="宋体"/>
          <w:color w:val="353736"/>
          <w:spacing w:val="8"/>
          <w:kern w:val="0"/>
          <w:sz w:val="28"/>
          <w:szCs w:val="23"/>
        </w:rPr>
        <w:t>）《論語</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子路》：</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子曰：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b/>
          <w:bCs/>
          <w:color w:val="000000" w:themeColor="text1"/>
          <w:spacing w:val="8"/>
          <w:kern w:val="0"/>
          <w:sz w:val="28"/>
          <w:szCs w:val="23"/>
          <w:u w:val="single"/>
        </w:rPr>
        <w:t>善人</w:t>
      </w:r>
      <w:r w:rsidRPr="0055724E">
        <w:rPr>
          <w:rFonts w:ascii="Helvetica Neue" w:eastAsia="楷体" w:hAnsi="Helvetica Neue" w:cs="宋体"/>
          <w:color w:val="000000" w:themeColor="text1"/>
          <w:spacing w:val="8"/>
          <w:kern w:val="0"/>
          <w:sz w:val="28"/>
          <w:szCs w:val="23"/>
        </w:rPr>
        <w:t>爲邦百年，亦可以勝殘去殺矣。誠哉是言也！</w:t>
      </w:r>
      <w:r w:rsidRPr="0055724E">
        <w:rPr>
          <w:rFonts w:ascii="Helvetica Neue" w:eastAsia="楷体" w:hAnsi="Helvetica Neue" w:cs="宋体"/>
          <w:color w:val="000000" w:themeColor="text1"/>
          <w:spacing w:val="8"/>
          <w:kern w:val="0"/>
          <w:sz w:val="28"/>
          <w:szCs w:val="23"/>
        </w:rPr>
        <w:t>’</w:t>
      </w:r>
      <w:r w:rsidRPr="0055724E">
        <w:rPr>
          <w:rFonts w:ascii="Helvetica Neue" w:hAnsi="Helvetica Neue" w:cs="宋体"/>
          <w:color w:val="353736"/>
          <w:spacing w:val="8"/>
          <w:kern w:val="0"/>
          <w:sz w:val="28"/>
          <w:szCs w:val="23"/>
        </w:rPr>
        <w:t>”</w:t>
      </w:r>
    </w:p>
    <w:p w14:paraId="0379FEE1" w14:textId="565017E6"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18</w:t>
      </w:r>
      <w:r w:rsidRPr="0055724E">
        <w:rPr>
          <w:rFonts w:ascii="Helvetica Neue" w:hAnsi="Helvetica Neue" w:cs="宋体"/>
          <w:color w:val="353736"/>
          <w:spacing w:val="8"/>
          <w:kern w:val="0"/>
          <w:sz w:val="28"/>
          <w:szCs w:val="23"/>
        </w:rPr>
        <w:t>）《論語</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子路》：</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子曰：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b/>
          <w:bCs/>
          <w:color w:val="000000" w:themeColor="text1"/>
          <w:spacing w:val="8"/>
          <w:kern w:val="0"/>
          <w:sz w:val="28"/>
          <w:szCs w:val="23"/>
          <w:u w:val="single"/>
        </w:rPr>
        <w:t>善人</w:t>
      </w:r>
      <w:r w:rsidRPr="0055724E">
        <w:rPr>
          <w:rFonts w:ascii="Helvetica Neue" w:eastAsia="楷体" w:hAnsi="Helvetica Neue" w:cs="宋体"/>
          <w:color w:val="000000" w:themeColor="text1"/>
          <w:spacing w:val="8"/>
          <w:kern w:val="0"/>
          <w:sz w:val="28"/>
          <w:szCs w:val="23"/>
        </w:rPr>
        <w:t>教民七年，亦可以即戎矣。</w:t>
      </w:r>
      <w:r w:rsidRPr="0055724E">
        <w:rPr>
          <w:rFonts w:ascii="Helvetica Neue" w:eastAsia="楷体" w:hAnsi="Helvetica Neue" w:cs="宋体"/>
          <w:color w:val="000000" w:themeColor="text1"/>
          <w:spacing w:val="8"/>
          <w:kern w:val="0"/>
          <w:sz w:val="28"/>
          <w:szCs w:val="23"/>
        </w:rPr>
        <w:t>’</w:t>
      </w:r>
      <w:r w:rsidRPr="0055724E">
        <w:rPr>
          <w:rFonts w:ascii="Helvetica Neue" w:hAnsi="Helvetica Neue" w:cs="宋体"/>
          <w:color w:val="353736"/>
          <w:spacing w:val="8"/>
          <w:kern w:val="0"/>
          <w:sz w:val="28"/>
          <w:szCs w:val="23"/>
        </w:rPr>
        <w:t>”</w:t>
      </w:r>
    </w:p>
    <w:p w14:paraId="2936FE47" w14:textId="1E4600D2"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一般都認爲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是就道德而言的，《辭源》《漢語大詞典》</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條第一個義項就是</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有道德的人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，所舉第一條書證都是我們上引的《論語</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述而》那一條。其實，《論語》的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也應該是指才德具備的人，而且像上舉《左傳》《國語》中的很多</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一樣，指的是爲政、從政的善人</w:t>
      </w:r>
      <w:r w:rsidRPr="00965627">
        <w:rPr>
          <w:rStyle w:val="ae"/>
          <w:rFonts w:ascii="Helvetica Neue" w:hAnsi="Helvetica Neue" w:cs="宋体"/>
          <w:color w:val="353736"/>
          <w:spacing w:val="8"/>
          <w:kern w:val="0"/>
          <w:sz w:val="28"/>
          <w:szCs w:val="23"/>
        </w:rPr>
        <w:endnoteReference w:id="124"/>
      </w:r>
      <w:r w:rsidRPr="0055724E">
        <w:rPr>
          <w:rFonts w:ascii="Helvetica Neue" w:hAnsi="Helvetica Neue" w:cs="宋体"/>
          <w:color w:val="353736"/>
          <w:spacing w:val="8"/>
          <w:kern w:val="0"/>
          <w:sz w:val="28"/>
          <w:szCs w:val="23"/>
        </w:rPr>
        <w:t>。《子路》篇所説的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爲邦</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教民</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，顯然是爲政者。上引《述而》篇文是緊接在</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子曰</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聖人，吾不得而見之矣；得見君子者，斯可矣</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章之後的，前人多將這兩章放在一起解釋，可從。《論語</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述而》篇記孔子評論自己的話説</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若聖與仁，則吾豈敢？抑爲之不厭，誨人不倦，則可謂云爾已矣</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，《雍也》篇記</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子貢曰：</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如有博施於民而能濟眾，何如？</w:t>
      </w:r>
      <w:r w:rsidRPr="0055724E">
        <w:rPr>
          <w:rFonts w:ascii="Helvetica Neue" w:hAnsi="Helvetica Neue" w:cs="宋体"/>
          <w:color w:val="353736"/>
          <w:spacing w:val="8"/>
          <w:kern w:val="0"/>
          <w:sz w:val="28"/>
          <w:szCs w:val="23"/>
        </w:rPr>
        <w:lastRenderedPageBreak/>
        <w:t>可謂仁乎？</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子曰：</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何事於仁，必也聖乎！堯舜其猶病諸</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，《禮記</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中庸》篇記</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子曰：舜其大孝也與！德爲聖人，尊爲天子，富有四海之内，宗廟饗之，子孫保之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，可見在孔子的心目中，</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是比他所推崇的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仁</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更高的境界，他認爲自己够不上</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，大概只有堯、舜之類的聖王才够得上</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的標準。</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聖人，吾不得而見之矣，得見君子者，斯可矣</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意思應該是説：能稱爲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的君主，我是看不到了，能看到像個君子的，就很可以了。孔子的這句話如果只是就爲人的品德高低而説的，那在下句的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君子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之下就不必再加</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字了。接著的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善人，吾不得而見之矣，得見有恒者，斯可矣</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意思應該是説：能稱爲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的爲政者，我是看不到了，能看到做事持之以恒的，就很可以了。《子路》篇：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子曰：</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南人有言曰：</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人而無恒，不可以作巫醫。</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善夫</w:t>
      </w:r>
      <w:r w:rsidRPr="0055724E">
        <w:rPr>
          <w:rFonts w:ascii="Helvetica Neue" w:hAnsi="Helvetica Neue" w:cs="宋体"/>
          <w:color w:val="353736"/>
          <w:spacing w:val="8"/>
          <w:kern w:val="0"/>
          <w:sz w:val="18"/>
          <w:szCs w:val="18"/>
        </w:rPr>
        <w:t>［按：</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夫</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的用法近</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乎</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。説</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善夫</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是肯定</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南人</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的話説得好，參看二（五）］</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無論想做好什麼事情，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有恒</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都是必須的條件，爲政當然也如此，所以下句説</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得見有恒者，斯可矣</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p>
    <w:p w14:paraId="667BF4B2" w14:textId="768C3E60"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子張問善人之道</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也應該指爲政的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道</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道理，方法</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一類意義本是由</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道路</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的意義引申出來的，孔子的答語就以行路的情況來作比喻，皇侃《義疏》解釋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不踐迹，亦不入</w:t>
      </w:r>
      <w:r w:rsidRPr="0055724E">
        <w:rPr>
          <w:rFonts w:ascii="Helvetica Neue" w:hAnsi="Helvetica Neue" w:cs="宋体"/>
          <w:color w:val="353736"/>
          <w:spacing w:val="8"/>
          <w:kern w:val="0"/>
          <w:sz w:val="28"/>
          <w:szCs w:val="23"/>
        </w:rPr>
        <w:lastRenderedPageBreak/>
        <w:t>於室</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句説：</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踐，循也。迹，舊迹也。言善人之道亦當别宜創建善事，不得唯依循前人舊迹而已。又雖有創立，而未必使能入聖人奥室也。</w:t>
      </w:r>
      <w:r w:rsidRPr="0055724E">
        <w:rPr>
          <w:rFonts w:ascii="Helvetica Neue" w:hAnsi="Helvetica Neue" w:cs="宋体"/>
          <w:color w:val="353736"/>
          <w:spacing w:val="8"/>
          <w:kern w:val="0"/>
          <w:sz w:val="28"/>
          <w:szCs w:val="23"/>
        </w:rPr>
        <w:t>”</w:t>
      </w:r>
      <w:r w:rsidRPr="00965627">
        <w:rPr>
          <w:rStyle w:val="ae"/>
          <w:rFonts w:ascii="Helvetica Neue" w:hAnsi="Helvetica Neue" w:cs="宋体"/>
          <w:color w:val="353736"/>
          <w:spacing w:val="8"/>
          <w:kern w:val="0"/>
          <w:sz w:val="28"/>
          <w:szCs w:val="23"/>
        </w:rPr>
        <w:endnoteReference w:id="125"/>
      </w:r>
      <w:r w:rsidRPr="0055724E">
        <w:rPr>
          <w:rFonts w:ascii="Helvetica Neue" w:hAnsi="Helvetica Neue" w:cs="宋体"/>
          <w:color w:val="353736"/>
          <w:spacing w:val="8"/>
          <w:kern w:val="0"/>
          <w:sz w:val="28"/>
          <w:szCs w:val="23"/>
        </w:rPr>
        <w:t>大意可從。</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不踐迹</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當指不遵循一般的世俗的做法，像子產堅持自己正確的主張，不毀鄉校</w:t>
      </w:r>
      <w:r w:rsidRPr="0055724E">
        <w:rPr>
          <w:rFonts w:ascii="Helvetica Neue" w:hAnsi="Helvetica Neue" w:cs="宋体"/>
          <w:color w:val="353736"/>
          <w:spacing w:val="8"/>
          <w:kern w:val="0"/>
          <w:sz w:val="18"/>
          <w:szCs w:val="18"/>
        </w:rPr>
        <w:t>（見《左傳</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襄公三十一年》）</w:t>
      </w:r>
      <w:r w:rsidRPr="0055724E">
        <w:rPr>
          <w:rFonts w:ascii="Helvetica Neue" w:hAnsi="Helvetica Neue" w:cs="宋体"/>
          <w:color w:val="353736"/>
          <w:spacing w:val="8"/>
          <w:kern w:val="0"/>
          <w:sz w:val="28"/>
          <w:szCs w:val="23"/>
        </w:rPr>
        <w:t>，作丘賦</w:t>
      </w:r>
      <w:r w:rsidRPr="0055724E">
        <w:rPr>
          <w:rFonts w:ascii="Helvetica Neue" w:hAnsi="Helvetica Neue" w:cs="宋体"/>
          <w:color w:val="353736"/>
          <w:spacing w:val="8"/>
          <w:kern w:val="0"/>
          <w:sz w:val="18"/>
          <w:szCs w:val="18"/>
        </w:rPr>
        <w:t>［見《左傳</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昭公四年》，詳四（一）例（</w:t>
      </w:r>
      <w:r w:rsidR="00687FDE" w:rsidRPr="00687FDE">
        <w:rPr>
          <w:rFonts w:hAnsi="Helvetica Neue" w:cs="宋体"/>
          <w:color w:val="353736"/>
          <w:spacing w:val="8"/>
          <w:kern w:val="0"/>
          <w:sz w:val="18"/>
          <w:szCs w:val="18"/>
        </w:rPr>
        <w:t>1</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28"/>
          <w:szCs w:val="23"/>
        </w:rPr>
        <w:t>，就是</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不踐迹</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的表現。</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亦不入於室</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與《先進》篇孔子評論子路所説的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由也升堂矣，未入於室也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未入於室</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句義近，在此當指爲政的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還達不到上引《述而》章之前一章所説的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的境界。需要説明的是，我們説孔子認爲大概只有堯、舜之類的聖王才够得上</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的標準，並以爲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聖人，吾不得而見之矣</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的意思是説當世没有够得上稱</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的君主，都是就事論事的，毫無孔子認爲只有君主中才智品德都極高的人才能稱</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的意思。</w:t>
      </w:r>
    </w:p>
    <w:p w14:paraId="5E7A15A7" w14:textId="3C4DB771"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孔子把</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當作才智與品德最高的理想人物，</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君子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和</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都是比</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低一等的才德很高的人物，邢昺《論語疏》把《述而》篇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善人，吾不得而见之矣</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句的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就解釋爲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君子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18"/>
          <w:szCs w:val="18"/>
        </w:rPr>
        <w:t>（我們認爲孔子所説的</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善人</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似專指爲政者中的</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善人</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君子</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指稱的範圍比較廣泛）</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本指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能幹的人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，到春秋時代產生了指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才能與品德兼備之人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18"/>
          <w:szCs w:val="18"/>
        </w:rPr>
        <w:t>（一般指統治階層中才德兼備之人）</w:t>
      </w:r>
      <w:r w:rsidRPr="0055724E">
        <w:rPr>
          <w:rFonts w:ascii="Helvetica Neue" w:hAnsi="Helvetica Neue" w:cs="宋体"/>
          <w:color w:val="353736"/>
          <w:spacing w:val="8"/>
          <w:kern w:val="0"/>
          <w:sz w:val="28"/>
          <w:szCs w:val="23"/>
        </w:rPr>
        <w:t>的含義。</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君子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本指貴族階層的男子，到春秋時</w:t>
      </w:r>
      <w:r w:rsidRPr="0055724E">
        <w:rPr>
          <w:rFonts w:ascii="Helvetica Neue" w:hAnsi="Helvetica Neue" w:cs="宋体"/>
          <w:color w:val="353736"/>
          <w:spacing w:val="8"/>
          <w:kern w:val="0"/>
          <w:sz w:val="28"/>
          <w:szCs w:val="23"/>
        </w:rPr>
        <w:lastRenderedPageBreak/>
        <w:t>代產生了指統治階層中才德兼備之人的含義</w:t>
      </w:r>
      <w:r w:rsidRPr="00965627">
        <w:rPr>
          <w:rStyle w:val="ae"/>
          <w:rFonts w:ascii="Helvetica Neue" w:hAnsi="Helvetica Neue" w:cs="宋体"/>
          <w:color w:val="353736"/>
          <w:spacing w:val="8"/>
          <w:kern w:val="0"/>
          <w:sz w:val="28"/>
          <w:szCs w:val="23"/>
        </w:rPr>
        <w:endnoteReference w:id="126"/>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本指聰明的人，到春秋時代逐漸演變出了指才德最高的理想人物的含義</w:t>
      </w:r>
      <w:r w:rsidRPr="00965627">
        <w:rPr>
          <w:rStyle w:val="ae"/>
          <w:rFonts w:ascii="Helvetica Neue" w:hAnsi="Helvetica Neue" w:cs="宋体"/>
          <w:color w:val="353736"/>
          <w:spacing w:val="8"/>
          <w:kern w:val="0"/>
          <w:sz w:val="28"/>
          <w:szCs w:val="23"/>
        </w:rPr>
        <w:endnoteReference w:id="127"/>
      </w:r>
      <w:r w:rsidRPr="0055724E">
        <w:rPr>
          <w:rFonts w:ascii="Helvetica Neue" w:hAnsi="Helvetica Neue" w:cs="宋体"/>
          <w:color w:val="353736"/>
          <w:spacing w:val="8"/>
          <w:kern w:val="0"/>
          <w:sz w:val="28"/>
          <w:szCs w:val="23"/>
        </w:rPr>
        <w:t>。三者的情況有類似之處。張毅在討論</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君子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的用法時根據《左傳》所記時人口中的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君子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指出在春秋中期至孔子出生的一百多年中，貴族政治家中已有根據</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政治才幹</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和</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德性</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兩方面的標準來判斷他人是否</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君子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的風氣，並指出與孔子所説的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君子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相比，他們的標準比較偏重於</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政治才幹</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方面，而孔子則比較偏重於</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德性</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方面</w:t>
      </w:r>
      <w:r w:rsidRPr="00965627">
        <w:rPr>
          <w:rStyle w:val="ae"/>
          <w:rFonts w:ascii="Helvetica Neue" w:hAnsi="Helvetica Neue" w:cs="宋体"/>
          <w:color w:val="353736"/>
          <w:spacing w:val="8"/>
          <w:kern w:val="0"/>
          <w:sz w:val="28"/>
          <w:szCs w:val="23"/>
        </w:rPr>
        <w:endnoteReference w:id="128"/>
      </w:r>
      <w:r w:rsidRPr="0055724E">
        <w:rPr>
          <w:rFonts w:ascii="Helvetica Neue" w:hAnsi="Helvetica Neue" w:cs="宋体"/>
          <w:color w:val="353736"/>
          <w:spacing w:val="8"/>
          <w:kern w:val="0"/>
          <w:sz w:val="28"/>
          <w:szCs w:val="23"/>
        </w:rPr>
        <w:t>。其説可信。</w:t>
      </w:r>
    </w:p>
    <w:p w14:paraId="133E95BA" w14:textId="77777777"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指能幹之人的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和指聰明通達之人的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在治國理政等方面都是很需要的，所以清華簡《子產》篇稱贊子產能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由善用聖</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18"/>
          <w:szCs w:val="18"/>
        </w:rPr>
        <w:t>［見二（七）］</w:t>
      </w:r>
      <w:r w:rsidRPr="0055724E">
        <w:rPr>
          <w:rFonts w:ascii="Helvetica Neue" w:hAnsi="Helvetica Neue" w:cs="宋体"/>
          <w:color w:val="353736"/>
          <w:spacing w:val="8"/>
          <w:kern w:val="0"/>
          <w:sz w:val="28"/>
          <w:szCs w:val="23"/>
        </w:rPr>
        <w:t>。聰明通達的人往往能高瞻遠矚，籌劃全局，他們受重視的程度通常無疑要高於能幹的人。就在春秋時代，尤其是在</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賢人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哲人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一類人中，出現了在評論人物時很注重其品德的風氣，我們上面引過的《左傳》《國語》中評論</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的那些話明顯地反映了這種現象。他們要求有很强能力的人同時也要有很高的品德，因此</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就有了德才具備之人的含義。</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含義的這種演變跟學者們已經指出的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君子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含義的演變情況顯然很相似。在上面所説的春秋時代評論人物的那種風氣之下，人們要求</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lastRenderedPageBreak/>
        <w:t>所應有的品德無疑要比</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君子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更高，這從下面所引的兩段《左傳》之文就可以看出來。</w:t>
      </w:r>
    </w:p>
    <w:p w14:paraId="7B1532C4" w14:textId="21F18EBA"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《襄公二十九年》記</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吴公子札來聘</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請觀於周樂。</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見舞韶濩</w:t>
      </w:r>
      <w:r w:rsidRPr="0055724E">
        <w:rPr>
          <w:rFonts w:ascii="Helvetica Neue" w:hAnsi="Helvetica Neue" w:cs="宋体"/>
          <w:color w:val="353736"/>
          <w:spacing w:val="8"/>
          <w:kern w:val="0"/>
          <w:sz w:val="18"/>
          <w:szCs w:val="18"/>
        </w:rPr>
        <w:t>（杜注：殷湯樂）</w:t>
      </w:r>
      <w:r w:rsidRPr="0055724E">
        <w:rPr>
          <w:rFonts w:ascii="Helvetica Neue" w:hAnsi="Helvetica Neue" w:cs="宋体"/>
          <w:color w:val="353736"/>
          <w:spacing w:val="8"/>
          <w:kern w:val="0"/>
          <w:sz w:val="28"/>
          <w:szCs w:val="23"/>
        </w:rPr>
        <w:t>者，曰</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聖人之弘也，而猶有慚德，聖人之難也</w:t>
      </w:r>
      <w:r w:rsidRPr="0055724E">
        <w:rPr>
          <w:rFonts w:ascii="Helvetica Neue" w:hAnsi="Helvetica Neue" w:cs="宋体"/>
          <w:color w:val="353736"/>
          <w:spacing w:val="8"/>
          <w:kern w:val="0"/>
          <w:sz w:val="18"/>
          <w:szCs w:val="18"/>
        </w:rPr>
        <w:t>（杜注：慚於始伐）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。季札在評論商湯的樂舞時稱湯爲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，但因他不是像傳説中的舜、禹那樣以禪讓得天下，而開始以征伐取天下，認爲他</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猶有慚德</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，也就是説他的品德尚有不足之處，這跟孔子認爲武王的樂舞《武》</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盡美矣，未盡善也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其意相類</w:t>
      </w:r>
      <w:r w:rsidRPr="00965627">
        <w:rPr>
          <w:rStyle w:val="ae"/>
          <w:rFonts w:ascii="Helvetica Neue" w:hAnsi="Helvetica Neue" w:cs="宋体"/>
          <w:color w:val="353736"/>
          <w:spacing w:val="8"/>
          <w:kern w:val="0"/>
          <w:sz w:val="28"/>
          <w:szCs w:val="23"/>
        </w:rPr>
        <w:endnoteReference w:id="129"/>
      </w:r>
      <w:r w:rsidRPr="0055724E">
        <w:rPr>
          <w:rFonts w:ascii="Helvetica Neue" w:hAnsi="Helvetica Neue" w:cs="宋体"/>
          <w:color w:val="353736"/>
          <w:spacing w:val="8"/>
          <w:kern w:val="0"/>
          <w:sz w:val="28"/>
          <w:szCs w:val="23"/>
        </w:rPr>
        <w:t>，可見季札對</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尤其是作爲君主的聖人的品德的要求是非常高的，是很難達到的，所以他又加了一句</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聖人之難也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p>
    <w:p w14:paraId="5CF517D6" w14:textId="53E5A243"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《昭公七年》：</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孟僖子病不能相禮，乃講學之，苟能禮者從之。及其將死也，召其大夫曰：</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禮，人之幹也，無禮無以立。吾聞將有達者曰孔丘，聖人之後也，而滅於宋。其祖弗父何，以有宋而授厲公。及正考父，佐戴、武、宣，三命兹益共。</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臧孫紇有言曰：</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聖人有明德者，若不當世，其後必有達人。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今其將在孔丘乎？我若獲没，必屬説與何忌於夫子，使事之而學禮焉，以定其位。</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孟僖子以孔子祖先弗父何、正考父爲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聖人有明德者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，周人所謂</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明德</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，不能就按照字面理解爲顯明的品德，</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明德</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跟所</w:t>
      </w:r>
      <w:r w:rsidRPr="0055724E">
        <w:rPr>
          <w:rFonts w:ascii="Helvetica Neue" w:hAnsi="Helvetica Neue" w:cs="宋体"/>
          <w:color w:val="353736"/>
          <w:spacing w:val="8"/>
          <w:kern w:val="0"/>
          <w:sz w:val="28"/>
          <w:szCs w:val="23"/>
        </w:rPr>
        <w:lastRenderedPageBreak/>
        <w:t>謂</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懿德</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相類，也是指一種高級的品德，而二者的具體性質又有所區別。我們將在《説道德》一文中加以討論。弗父何、正考父是並非帝王的一般</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，説他們是</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聖人有明德者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並不意味著一般</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就没有好的品德，只是强調他們有超於一般聖人的品德</w:t>
      </w:r>
      <w:r w:rsidRPr="00965627">
        <w:rPr>
          <w:rStyle w:val="ae"/>
          <w:rFonts w:ascii="Helvetica Neue" w:hAnsi="Helvetica Neue" w:cs="宋体"/>
          <w:color w:val="353736"/>
          <w:spacing w:val="8"/>
          <w:kern w:val="0"/>
          <w:sz w:val="28"/>
          <w:szCs w:val="23"/>
        </w:rPr>
        <w:endnoteReference w:id="130"/>
      </w:r>
      <w:r w:rsidRPr="0055724E">
        <w:rPr>
          <w:rFonts w:ascii="Helvetica Neue" w:hAnsi="Helvetica Neue" w:cs="宋体"/>
          <w:color w:val="353736"/>
          <w:spacing w:val="8"/>
          <w:kern w:val="0"/>
          <w:sz w:val="28"/>
          <w:szCs w:val="23"/>
        </w:rPr>
        <w:t>。對</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中品德特別突出的人的推崇，也説明當時人對</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的品德是很重視的。</w:t>
      </w:r>
    </w:p>
    <w:p w14:paraId="3CA994D6" w14:textId="31CD16B9"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《國語》中説到</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時對他們都是非常推崇的，而且有時也明確講到他們的品德，如：《國語</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周語中》</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晋既克楚於鄢使郤至告慶於周</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章</w:t>
      </w:r>
      <w:r w:rsidRPr="0055724E">
        <w:rPr>
          <w:rFonts w:ascii="Helvetica Neue" w:hAnsi="Helvetica Neue" w:cs="宋体"/>
          <w:color w:val="353736"/>
          <w:spacing w:val="8"/>
          <w:kern w:val="0"/>
          <w:sz w:val="18"/>
          <w:szCs w:val="18"/>
        </w:rPr>
        <w:t>（按：晋克楚於鄢事在鲁成公十六年，前</w:t>
      </w:r>
      <w:r w:rsidR="00687FDE" w:rsidRPr="00687FDE">
        <w:rPr>
          <w:rFonts w:hAnsi="Helvetica Neue" w:cs="宋体"/>
          <w:color w:val="353736"/>
          <w:spacing w:val="8"/>
          <w:kern w:val="0"/>
          <w:sz w:val="18"/>
          <w:szCs w:val="18"/>
        </w:rPr>
        <w:t>575</w:t>
      </w:r>
      <w:r w:rsidRPr="0055724E">
        <w:rPr>
          <w:rFonts w:ascii="Helvetica Neue" w:hAnsi="Helvetica Neue" w:cs="宋体"/>
          <w:color w:val="353736"/>
          <w:spacing w:val="8"/>
          <w:kern w:val="0"/>
          <w:sz w:val="18"/>
          <w:szCs w:val="18"/>
        </w:rPr>
        <w:t>年）</w:t>
      </w:r>
      <w:r w:rsidRPr="0055724E">
        <w:rPr>
          <w:rFonts w:ascii="Helvetica Neue" w:hAnsi="Helvetica Neue" w:cs="宋体"/>
          <w:color w:val="353736"/>
          <w:spacing w:val="8"/>
          <w:kern w:val="0"/>
          <w:sz w:val="28"/>
          <w:szCs w:val="23"/>
        </w:rPr>
        <w:t>記有單襄公的一段話，他在强調對人不可采取居上陵下的態度時就説</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聖人貴讓</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。《國語</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周語下》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景王二十一年將鑄大錢</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章</w:t>
      </w:r>
      <w:r w:rsidRPr="0055724E">
        <w:rPr>
          <w:rFonts w:ascii="Helvetica Neue" w:hAnsi="Helvetica Neue" w:cs="宋体"/>
          <w:color w:val="353736"/>
          <w:spacing w:val="8"/>
          <w:kern w:val="0"/>
          <w:sz w:val="18"/>
          <w:szCs w:val="18"/>
        </w:rPr>
        <w:t>（事在鲁昭公十八年，前</w:t>
      </w:r>
      <w:r w:rsidR="00687FDE" w:rsidRPr="00687FDE">
        <w:rPr>
          <w:rFonts w:hAnsi="Helvetica Neue" w:cs="宋体"/>
          <w:color w:val="353736"/>
          <w:spacing w:val="8"/>
          <w:kern w:val="0"/>
          <w:sz w:val="18"/>
          <w:szCs w:val="18"/>
        </w:rPr>
        <w:t>573</w:t>
      </w:r>
      <w:r w:rsidRPr="0055724E">
        <w:rPr>
          <w:rFonts w:ascii="Helvetica Neue" w:hAnsi="Helvetica Neue" w:cs="宋体"/>
          <w:color w:val="353736"/>
          <w:spacing w:val="8"/>
          <w:kern w:val="0"/>
          <w:sz w:val="18"/>
          <w:szCs w:val="18"/>
        </w:rPr>
        <w:t>年）</w:t>
      </w:r>
      <w:r w:rsidRPr="0055724E">
        <w:rPr>
          <w:rFonts w:ascii="Helvetica Neue" w:hAnsi="Helvetica Neue" w:cs="宋体"/>
          <w:color w:val="353736"/>
          <w:spacing w:val="8"/>
          <w:kern w:val="0"/>
          <w:sz w:val="28"/>
          <w:szCs w:val="23"/>
        </w:rPr>
        <w:t>記單穆公説民不從令是在上者之患，</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故聖人樹德於民以除之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p>
    <w:p w14:paraId="63DF82E3" w14:textId="77777777"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張毅根據《左傳》的資料認爲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君子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一語被加上道德方面的含義是春秋中期以後的事。《左傳》《國語》中爲我們所引的講</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和</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的資料，没有早於魯僖公晚期的，大部分都在成公、襄公以後，其時代也可以説在春秋中期以後。這當然不能説明論人時重視品德的風氣是從春秋中期開始的，但似可説明這種風氣的盛行是開始於春秋中期的。</w:t>
      </w:r>
    </w:p>
    <w:p w14:paraId="5DA6A1B1" w14:textId="7E3B6570"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lastRenderedPageBreak/>
        <w:t>在春秋時代崇尚</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的才智、品德的氣氛下，孔子把具有他心目中的最高人格的人稱爲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是相當自然的。老子與孔子在思想上彼此是對立面，但《老子》書中也把具有他心目中的最高人格的人稱爲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，只不過老子的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是最能體認他所崇尚的作爲宇宙本原的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道</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的精神並全心全意想使整個人類社會變得合於</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道</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的精神的人</w:t>
      </w:r>
      <w:r w:rsidRPr="00965627">
        <w:rPr>
          <w:rStyle w:val="ae"/>
          <w:rFonts w:ascii="Helvetica Neue" w:hAnsi="Helvetica Neue" w:cs="宋体"/>
          <w:color w:val="353736"/>
          <w:spacing w:val="8"/>
          <w:kern w:val="0"/>
          <w:sz w:val="28"/>
          <w:szCs w:val="23"/>
        </w:rPr>
        <w:endnoteReference w:id="131"/>
      </w:r>
      <w:r w:rsidRPr="0055724E">
        <w:rPr>
          <w:rFonts w:ascii="Helvetica Neue" w:hAnsi="Helvetica Neue" w:cs="宋体"/>
          <w:color w:val="353736"/>
          <w:spacing w:val="8"/>
          <w:kern w:val="0"/>
          <w:sz w:val="28"/>
          <w:szCs w:val="23"/>
        </w:rPr>
        <w:t>，孔子的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則是最能體現並推行他所崇尚的仁義之道的人。《老子》中也有</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，見於</w:t>
      </w:r>
      <w:r w:rsidR="00687FDE" w:rsidRPr="00687FDE">
        <w:rPr>
          <w:rFonts w:hAnsi="Helvetica Neue" w:cs="宋体"/>
          <w:color w:val="353736"/>
          <w:spacing w:val="8"/>
          <w:kern w:val="0"/>
          <w:sz w:val="28"/>
          <w:szCs w:val="23"/>
        </w:rPr>
        <w:t>27</w:t>
      </w:r>
      <w:r w:rsidRPr="0055724E">
        <w:rPr>
          <w:rFonts w:ascii="Helvetica Neue" w:hAnsi="Helvetica Neue" w:cs="宋体"/>
          <w:color w:val="353736"/>
          <w:spacing w:val="8"/>
          <w:kern w:val="0"/>
          <w:sz w:val="28"/>
          <w:szCs w:val="23"/>
        </w:rPr>
        <w:t>章和</w:t>
      </w:r>
      <w:r w:rsidR="00687FDE" w:rsidRPr="00687FDE">
        <w:rPr>
          <w:rFonts w:hAnsi="Helvetica Neue" w:cs="宋体"/>
          <w:color w:val="353736"/>
          <w:spacing w:val="8"/>
          <w:kern w:val="0"/>
          <w:sz w:val="28"/>
          <w:szCs w:val="23"/>
        </w:rPr>
        <w:t>62</w:t>
      </w:r>
      <w:r w:rsidRPr="0055724E">
        <w:rPr>
          <w:rFonts w:ascii="Helvetica Neue" w:hAnsi="Helvetica Neue" w:cs="宋体"/>
          <w:color w:val="353736"/>
          <w:spacing w:val="8"/>
          <w:kern w:val="0"/>
          <w:sz w:val="28"/>
          <w:szCs w:val="23"/>
        </w:rPr>
        <w:t>章。</w:t>
      </w:r>
      <w:r w:rsidR="00687FDE" w:rsidRPr="00687FDE">
        <w:rPr>
          <w:rFonts w:hAnsi="Helvetica Neue" w:cs="宋体"/>
          <w:color w:val="353736"/>
          <w:spacing w:val="8"/>
          <w:kern w:val="0"/>
          <w:sz w:val="28"/>
          <w:szCs w:val="23"/>
        </w:rPr>
        <w:t>27</w:t>
      </w:r>
      <w:r w:rsidRPr="0055724E">
        <w:rPr>
          <w:rFonts w:ascii="Helvetica Neue" w:hAnsi="Helvetica Neue" w:cs="宋体"/>
          <w:color w:val="353736"/>
          <w:spacing w:val="8"/>
          <w:kern w:val="0"/>
          <w:sz w:val="28"/>
          <w:szCs w:val="23"/>
        </w:rPr>
        <w:t>章的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情況比較特殊，將在後面講《老子》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字的部分中另加討論。</w:t>
      </w:r>
      <w:r w:rsidR="00687FDE" w:rsidRPr="00687FDE">
        <w:rPr>
          <w:rFonts w:hAnsi="Helvetica Neue" w:cs="宋体"/>
          <w:color w:val="353736"/>
          <w:spacing w:val="8"/>
          <w:kern w:val="0"/>
          <w:sz w:val="28"/>
          <w:szCs w:val="23"/>
        </w:rPr>
        <w:t>62</w:t>
      </w:r>
      <w:r w:rsidRPr="0055724E">
        <w:rPr>
          <w:rFonts w:ascii="Helvetica Neue" w:hAnsi="Helvetica Neue" w:cs="宋体"/>
          <w:color w:val="353736"/>
          <w:spacing w:val="8"/>
          <w:kern w:val="0"/>
          <w:sz w:val="28"/>
          <w:szCs w:val="23"/>
        </w:rPr>
        <w:t>章的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據文意應該是指下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一等的體道、行道者的。</w:t>
      </w:r>
      <w:r w:rsidRPr="0055724E">
        <w:rPr>
          <w:rFonts w:ascii="Helvetica Neue" w:hAnsi="Helvetica Neue" w:cs="宋体"/>
          <w:color w:val="353736"/>
          <w:spacing w:val="8"/>
          <w:kern w:val="0"/>
          <w:sz w:val="18"/>
          <w:szCs w:val="18"/>
        </w:rPr>
        <w:t>［參看六］</w:t>
      </w:r>
      <w:r w:rsidRPr="0055724E">
        <w:rPr>
          <w:rFonts w:ascii="Helvetica Neue" w:hAnsi="Helvetica Neue" w:cs="宋体"/>
          <w:color w:val="353736"/>
          <w:spacing w:val="8"/>
          <w:kern w:val="0"/>
          <w:sz w:val="28"/>
          <w:szCs w:val="23"/>
        </w:rPr>
        <w:t>。所以，如果撇開由於思想立場的不同而產生的意涵上的差異，《老子》中</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的用法與春秋晚期以後古書中</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常見的用法是相當一致的。</w:t>
      </w:r>
    </w:p>
    <w:p w14:paraId="00E08B3F" w14:textId="2BAFE36B"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19</w:t>
      </w:r>
      <w:r w:rsidRPr="0055724E">
        <w:rPr>
          <w:rFonts w:ascii="Helvetica Neue" w:hAnsi="Helvetica Neue" w:cs="宋体"/>
          <w:color w:val="353736"/>
          <w:spacing w:val="8"/>
          <w:kern w:val="0"/>
          <w:sz w:val="28"/>
          <w:szCs w:val="23"/>
        </w:rPr>
        <w:t>）《墨子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非命中》：</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夫有命者</w:t>
      </w:r>
      <w:r w:rsidRPr="0055724E">
        <w:rPr>
          <w:rFonts w:ascii="Helvetica Neue" w:hAnsi="Helvetica Neue" w:cs="宋体"/>
          <w:color w:val="353736"/>
          <w:spacing w:val="8"/>
          <w:kern w:val="0"/>
          <w:sz w:val="18"/>
          <w:szCs w:val="18"/>
        </w:rPr>
        <w:t>（引者按：指持有命之説的人）</w:t>
      </w:r>
      <w:r w:rsidRPr="0055724E">
        <w:rPr>
          <w:rFonts w:ascii="Helvetica Neue" w:eastAsia="楷体" w:hAnsi="Helvetica Neue" w:cs="宋体"/>
          <w:color w:val="000000" w:themeColor="text1"/>
          <w:spacing w:val="8"/>
          <w:kern w:val="0"/>
          <w:sz w:val="28"/>
          <w:szCs w:val="23"/>
        </w:rPr>
        <w:t>，不志</w:t>
      </w:r>
      <w:r w:rsidRPr="0055724E">
        <w:rPr>
          <w:rFonts w:ascii="Helvetica Neue" w:hAnsi="Helvetica Neue" w:cs="宋体"/>
          <w:color w:val="353736"/>
          <w:spacing w:val="8"/>
          <w:kern w:val="0"/>
          <w:sz w:val="18"/>
          <w:szCs w:val="18"/>
        </w:rPr>
        <w:t>（按當從下篇讀爲</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識</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w:t>
      </w:r>
      <w:r w:rsidRPr="0055724E">
        <w:rPr>
          <w:rFonts w:ascii="Helvetica Neue" w:eastAsia="楷体" w:hAnsi="Helvetica Neue" w:cs="宋体"/>
          <w:color w:val="000000" w:themeColor="text1"/>
          <w:spacing w:val="8"/>
          <w:kern w:val="0"/>
          <w:sz w:val="28"/>
          <w:szCs w:val="23"/>
        </w:rPr>
        <w:t>昔也三代之</w:t>
      </w:r>
      <w:r w:rsidRPr="0055724E">
        <w:rPr>
          <w:rFonts w:ascii="Helvetica Neue" w:eastAsia="楷体" w:hAnsi="Helvetica Neue" w:cs="宋体"/>
          <w:b/>
          <w:bCs/>
          <w:color w:val="000000" w:themeColor="text1"/>
          <w:spacing w:val="8"/>
          <w:kern w:val="0"/>
          <w:sz w:val="28"/>
          <w:szCs w:val="23"/>
          <w:u w:val="single"/>
        </w:rPr>
        <w:t>聖、善人</w:t>
      </w:r>
      <w:r w:rsidRPr="0055724E">
        <w:rPr>
          <w:rFonts w:ascii="Helvetica Neue" w:eastAsia="楷体" w:hAnsi="Helvetica Neue" w:cs="宋体"/>
          <w:color w:val="000000" w:themeColor="text1"/>
          <w:spacing w:val="8"/>
          <w:kern w:val="0"/>
          <w:sz w:val="28"/>
          <w:szCs w:val="23"/>
        </w:rPr>
        <w:t>與？意亡</w:t>
      </w:r>
      <w:r w:rsidRPr="0055724E">
        <w:rPr>
          <w:rFonts w:ascii="Helvetica Neue" w:hAnsi="Helvetica Neue" w:cs="宋体"/>
          <w:color w:val="353736"/>
          <w:spacing w:val="8"/>
          <w:kern w:val="0"/>
          <w:sz w:val="18"/>
          <w:szCs w:val="18"/>
        </w:rPr>
        <w:t>（孫詒讓《間詁》在《非攻下》</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意亡</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句下注云：意與抑同，亡與無同，皆詞也）</w:t>
      </w:r>
      <w:r w:rsidRPr="0055724E">
        <w:rPr>
          <w:rFonts w:ascii="Helvetica Neue" w:eastAsia="楷体" w:hAnsi="Helvetica Neue" w:cs="宋体"/>
          <w:color w:val="000000" w:themeColor="text1"/>
          <w:spacing w:val="8"/>
          <w:kern w:val="0"/>
          <w:sz w:val="28"/>
          <w:szCs w:val="23"/>
        </w:rPr>
        <w:t>昔三代之暴、不肖人也？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後文將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慎言知行</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上有以規諫其君長，下有以教順其百姓</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列士、桀大夫</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作爲不言</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者的代表，將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三代之暴王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窮民</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僞民</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作爲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有命者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的代表。《非命下》有類似内容，開頭也説</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夫有命</w:t>
      </w:r>
      <w:r w:rsidRPr="0055724E">
        <w:rPr>
          <w:rFonts w:ascii="Helvetica Neue" w:eastAsia="楷体" w:hAnsi="Helvetica Neue" w:cs="宋体"/>
          <w:color w:val="000000" w:themeColor="text1"/>
          <w:spacing w:val="8"/>
          <w:kern w:val="0"/>
          <w:sz w:val="28"/>
          <w:szCs w:val="23"/>
        </w:rPr>
        <w:lastRenderedPageBreak/>
        <w:t>者，不識昔也三代之</w:t>
      </w:r>
      <w:r w:rsidRPr="0055724E">
        <w:rPr>
          <w:rFonts w:ascii="Helvetica Neue" w:eastAsia="楷体" w:hAnsi="Helvetica Neue" w:cs="宋体"/>
          <w:b/>
          <w:bCs/>
          <w:color w:val="000000" w:themeColor="text1"/>
          <w:spacing w:val="8"/>
          <w:kern w:val="0"/>
          <w:sz w:val="28"/>
          <w:szCs w:val="23"/>
          <w:u w:val="single"/>
        </w:rPr>
        <w:t>聖、善人</w:t>
      </w:r>
      <w:r w:rsidRPr="0055724E">
        <w:rPr>
          <w:rFonts w:ascii="Helvetica Neue" w:eastAsia="楷体" w:hAnsi="Helvetica Neue" w:cs="宋体"/>
          <w:color w:val="000000" w:themeColor="text1"/>
          <w:spacing w:val="8"/>
          <w:kern w:val="0"/>
          <w:sz w:val="28"/>
          <w:szCs w:val="23"/>
        </w:rPr>
        <w:t>與？意亡昔三代之暴、不肖人與？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其後文字與《非命中》頗有出入，未言持非命説的代表，講持有命説的代表時將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窮民</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説成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罷不肖之民</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。《墨子》中</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多見，有時並與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暴王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對言。《非命》所説的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顯然指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列士、桀大夫</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這些才智、品德都很高的人。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應該是</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的合稱。</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也是次於</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一等的。但要注意的是，《墨子》應無以</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專指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等聖明的君主、以</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列士、傑大夫</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等人的意思。《墨子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親士》：</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是故江河不惡小谷之滿己也，故能大。聖人者，事無辭也，物無違也，故能爲天下器。</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按照</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器</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字的一般用法看，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當指能治理天下的、有高度的才智和品德的賢能之人，至少不會是專指聖明的君主的。墨家學派稱其首領</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巨子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聖人</w:t>
      </w:r>
      <w:r w:rsidRPr="0055724E">
        <w:rPr>
          <w:rFonts w:ascii="Helvetica Neue" w:hAnsi="Helvetica Neue" w:cs="宋体"/>
          <w:color w:val="353736"/>
          <w:spacing w:val="8"/>
          <w:kern w:val="0"/>
          <w:sz w:val="28"/>
          <w:szCs w:val="23"/>
        </w:rPr>
        <w:t>”</w:t>
      </w:r>
      <w:r w:rsidRPr="00965627">
        <w:rPr>
          <w:rStyle w:val="ae"/>
          <w:rFonts w:ascii="Helvetica Neue" w:hAnsi="Helvetica Neue" w:cs="宋体"/>
          <w:color w:val="353736"/>
          <w:spacing w:val="8"/>
          <w:kern w:val="0"/>
          <w:sz w:val="28"/>
          <w:szCs w:val="23"/>
        </w:rPr>
        <w:endnoteReference w:id="132"/>
      </w:r>
      <w:r w:rsidRPr="0055724E">
        <w:rPr>
          <w:rFonts w:ascii="Helvetica Neue" w:hAnsi="Helvetica Neue" w:cs="宋体"/>
          <w:color w:val="353736"/>
          <w:spacing w:val="8"/>
          <w:kern w:val="0"/>
          <w:sz w:val="28"/>
          <w:szCs w:val="23"/>
        </w:rPr>
        <w:t>，對於墨子這位先師，更不用説是把他看作聖人的了，可見《墨子》是不會專門用</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來稱呼聖王的。</w:t>
      </w:r>
    </w:p>
    <w:p w14:paraId="6991DFA0" w14:textId="5489C077"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20</w:t>
      </w:r>
      <w:r w:rsidRPr="0055724E">
        <w:rPr>
          <w:rFonts w:ascii="Helvetica Neue" w:hAnsi="Helvetica Neue" w:cs="宋体"/>
          <w:color w:val="353736"/>
          <w:spacing w:val="8"/>
          <w:kern w:val="0"/>
          <w:sz w:val="28"/>
          <w:szCs w:val="23"/>
        </w:rPr>
        <w:t>）《孟子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盡心下》也説到了</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浩生不害問曰：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樂正子，何人也？</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孟子曰：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b/>
          <w:bCs/>
          <w:color w:val="000000" w:themeColor="text1"/>
          <w:spacing w:val="8"/>
          <w:kern w:val="0"/>
          <w:sz w:val="28"/>
          <w:szCs w:val="23"/>
          <w:u w:val="single"/>
        </w:rPr>
        <w:t>善人</w:t>
      </w:r>
      <w:r w:rsidRPr="0055724E">
        <w:rPr>
          <w:rFonts w:ascii="Helvetica Neue" w:eastAsia="楷体" w:hAnsi="Helvetica Neue" w:cs="宋体"/>
          <w:color w:val="000000" w:themeColor="text1"/>
          <w:spacing w:val="8"/>
          <w:kern w:val="0"/>
          <w:sz w:val="28"/>
          <w:szCs w:val="23"/>
        </w:rPr>
        <w:t>也，信人也。</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何謂善？何謂信？</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可欲之謂善，有諸己之謂信</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《孟子》中還有一段與上引之文關係非常密切的文字，見《告子下》：</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魯欲使樂正子爲政。孟子聞之，喜而不寐。公孫丑曰：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樂正子强乎？</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否。</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有知</w:t>
      </w:r>
      <w:r w:rsidRPr="0055724E">
        <w:rPr>
          <w:rFonts w:ascii="Helvetica Neue" w:eastAsia="楷体" w:hAnsi="Helvetica Neue" w:cs="宋体"/>
          <w:color w:val="000000" w:themeColor="text1"/>
          <w:spacing w:val="8"/>
          <w:kern w:val="0"/>
          <w:sz w:val="28"/>
          <w:szCs w:val="23"/>
        </w:rPr>
        <w:lastRenderedPageBreak/>
        <w:t>慮乎？</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否。</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多聞識乎？</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否。</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然則奚爲喜而不寐？</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其爲人也</w:t>
      </w:r>
      <w:r w:rsidRPr="0055724E">
        <w:rPr>
          <w:rFonts w:ascii="Helvetica Neue" w:eastAsia="楷体" w:hAnsi="Helvetica Neue" w:cs="宋体"/>
          <w:b/>
          <w:bCs/>
          <w:color w:val="000000" w:themeColor="text1"/>
          <w:spacing w:val="8"/>
          <w:kern w:val="0"/>
          <w:sz w:val="28"/>
          <w:szCs w:val="23"/>
          <w:u w:val="single"/>
        </w:rPr>
        <w:t>好善</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b/>
          <w:bCs/>
          <w:color w:val="000000" w:themeColor="text1"/>
          <w:spacing w:val="8"/>
          <w:kern w:val="0"/>
          <w:sz w:val="28"/>
          <w:szCs w:val="23"/>
          <w:u w:val="single"/>
        </w:rPr>
        <w:t>好善</w:t>
      </w:r>
      <w:r w:rsidRPr="0055724E">
        <w:rPr>
          <w:rFonts w:ascii="Helvetica Neue" w:eastAsia="楷体" w:hAnsi="Helvetica Neue" w:cs="宋体"/>
          <w:color w:val="000000" w:themeColor="text1"/>
          <w:spacing w:val="8"/>
          <w:kern w:val="0"/>
          <w:sz w:val="28"/>
          <w:szCs w:val="23"/>
        </w:rPr>
        <w:t>足乎？</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b/>
          <w:bCs/>
          <w:color w:val="000000" w:themeColor="text1"/>
          <w:spacing w:val="8"/>
          <w:kern w:val="0"/>
          <w:sz w:val="28"/>
          <w:szCs w:val="23"/>
          <w:u w:val="single"/>
        </w:rPr>
        <w:t>好善</w:t>
      </w:r>
      <w:r w:rsidRPr="0055724E">
        <w:rPr>
          <w:rFonts w:ascii="Helvetica Neue" w:eastAsia="楷体" w:hAnsi="Helvetica Neue" w:cs="宋体"/>
          <w:color w:val="000000" w:themeColor="text1"/>
          <w:spacing w:val="8"/>
          <w:kern w:val="0"/>
          <w:sz w:val="28"/>
          <w:szCs w:val="23"/>
        </w:rPr>
        <w:t>優於天下，而況魯國乎？夫苟</w:t>
      </w:r>
      <w:r w:rsidRPr="0055724E">
        <w:rPr>
          <w:rFonts w:ascii="Helvetica Neue" w:eastAsia="楷体" w:hAnsi="Helvetica Neue" w:cs="宋体"/>
          <w:b/>
          <w:bCs/>
          <w:color w:val="000000" w:themeColor="text1"/>
          <w:spacing w:val="8"/>
          <w:kern w:val="0"/>
          <w:sz w:val="28"/>
          <w:szCs w:val="23"/>
          <w:u w:val="single"/>
        </w:rPr>
        <w:t>好善</w:t>
      </w:r>
      <w:r w:rsidRPr="0055724E">
        <w:rPr>
          <w:rFonts w:ascii="Helvetica Neue" w:eastAsia="楷体" w:hAnsi="Helvetica Neue" w:cs="宋体"/>
          <w:color w:val="000000" w:themeColor="text1"/>
          <w:spacing w:val="8"/>
          <w:kern w:val="0"/>
          <w:sz w:val="28"/>
          <w:szCs w:val="23"/>
        </w:rPr>
        <w:t>，則四海之内皆將輕千里而來</w:t>
      </w:r>
      <w:r w:rsidRPr="0055724E">
        <w:rPr>
          <w:rFonts w:ascii="Helvetica Neue" w:eastAsia="楷体" w:hAnsi="Helvetica Neue" w:cs="宋体"/>
          <w:b/>
          <w:bCs/>
          <w:color w:val="000000" w:themeColor="text1"/>
          <w:spacing w:val="8"/>
          <w:kern w:val="0"/>
          <w:sz w:val="28"/>
          <w:szCs w:val="23"/>
          <w:u w:val="single"/>
        </w:rPr>
        <w:t>告之以善</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浩生不害問樂正子於孟子，應該也在</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魯欲使樂正子爲政</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的消息傳出之後。孟子稱樂正子爲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，情況與春秋時人評爲政、從政者爲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相似，但從他與公孫丑論樂正子的那段話來看，孟子對</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的理解顯然有他自己的特點。公孫丑問孟子樂正子是否</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、是否</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有知慮</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、是否</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多聞識</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，孟子皆曰</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否</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，而説樂正子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爲人也好善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，可見他並不重視樂正子的智能，而重視他的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好善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，所以他説樂正子是</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一定也不是側重其才能而是側重其品德的。</w:t>
      </w:r>
    </w:p>
    <w:p w14:paraId="68DE078F" w14:textId="1D4D0F40"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孟子極其重</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仁義</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孟子見梁惠王。王曰：</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叟不遠千里而來，亦將有以利吾國乎？</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孟子對曰：</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王何必曰利？亦有仁義而已矣</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18"/>
          <w:szCs w:val="18"/>
        </w:rPr>
        <w:t>（《孟子</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梁惠王上》）</w:t>
      </w:r>
      <w:r w:rsidRPr="0055724E">
        <w:rPr>
          <w:rFonts w:ascii="Helvetica Neue" w:hAnsi="Helvetica Neue" w:cs="宋体"/>
          <w:color w:val="353736"/>
          <w:spacing w:val="8"/>
          <w:kern w:val="0"/>
          <w:sz w:val="28"/>
          <w:szCs w:val="23"/>
        </w:rPr>
        <w:t>。郭店簡有《五行》篇</w:t>
      </w:r>
      <w:r w:rsidRPr="00965627">
        <w:rPr>
          <w:rStyle w:val="ae"/>
          <w:rFonts w:ascii="Helvetica Neue" w:hAnsi="Helvetica Neue" w:cs="宋体"/>
          <w:color w:val="353736"/>
          <w:spacing w:val="8"/>
          <w:kern w:val="0"/>
          <w:sz w:val="28"/>
          <w:szCs w:val="23"/>
        </w:rPr>
        <w:endnoteReference w:id="133"/>
      </w:r>
      <w:r w:rsidRPr="0055724E">
        <w:rPr>
          <w:rFonts w:ascii="Helvetica Neue" w:hAnsi="Helvetica Neue" w:cs="宋体"/>
          <w:color w:val="353736"/>
          <w:spacing w:val="8"/>
          <w:kern w:val="0"/>
          <w:sz w:val="28"/>
          <w:szCs w:val="23"/>
        </w:rPr>
        <w:t>，其所論者，就是《荀子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非十二子》中大加斥責的、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子思唱之，孟軻和之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五行</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説。《五行》篇第二章説</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德之行五</w:t>
      </w:r>
      <w:r w:rsidRPr="0055724E">
        <w:rPr>
          <w:rFonts w:ascii="Helvetica Neue" w:hAnsi="Helvetica Neue" w:cs="宋体"/>
          <w:color w:val="353736"/>
          <w:spacing w:val="8"/>
          <w:kern w:val="0"/>
          <w:sz w:val="18"/>
          <w:szCs w:val="18"/>
        </w:rPr>
        <w:t>（引者按：據第一章，此</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五行</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即仁義禮智聖）</w:t>
      </w:r>
      <w:r w:rsidRPr="0055724E">
        <w:rPr>
          <w:rFonts w:ascii="Helvetica Neue" w:hAnsi="Helvetica Neue" w:cs="宋体"/>
          <w:color w:val="353736"/>
          <w:spacing w:val="8"/>
          <w:kern w:val="0"/>
          <w:sz w:val="28"/>
          <w:szCs w:val="23"/>
        </w:rPr>
        <w:t>，和謂之德；四行</w:t>
      </w:r>
      <w:r w:rsidRPr="0055724E">
        <w:rPr>
          <w:rFonts w:ascii="Helvetica Neue" w:hAnsi="Helvetica Neue" w:cs="宋体"/>
          <w:color w:val="353736"/>
          <w:spacing w:val="8"/>
          <w:kern w:val="0"/>
          <w:sz w:val="18"/>
          <w:szCs w:val="18"/>
        </w:rPr>
        <w:t>（引者按：當指仁義禮智）</w:t>
      </w:r>
      <w:r w:rsidRPr="0055724E">
        <w:rPr>
          <w:rFonts w:ascii="Helvetica Neue" w:hAnsi="Helvetica Neue" w:cs="宋体"/>
          <w:color w:val="353736"/>
          <w:spacing w:val="8"/>
          <w:kern w:val="0"/>
          <w:sz w:val="28"/>
          <w:szCs w:val="23"/>
        </w:rPr>
        <w:t>，和謂之善。善，人道也；德，天道也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四行，和謂之善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的意思大概是説仁義禮智具備並相互協調就達到了</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的境界，達到這種境界的人當然就是</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了。</w:t>
      </w:r>
      <w:r w:rsidRPr="0055724E">
        <w:rPr>
          <w:rFonts w:ascii="Helvetica Neue" w:hAnsi="Helvetica Neue" w:cs="宋体"/>
          <w:color w:val="353736"/>
          <w:spacing w:val="8"/>
          <w:kern w:val="0"/>
          <w:sz w:val="28"/>
          <w:szCs w:val="23"/>
        </w:rPr>
        <w:lastRenderedPageBreak/>
        <w:t>孟子主張</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性善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，其主要根據就是仁義禮智之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端</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18"/>
          <w:szCs w:val="18"/>
        </w:rPr>
        <w:t>（即所謂</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四端</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28"/>
          <w:szCs w:val="23"/>
        </w:rPr>
        <w:t>皆爲人性所固有</w:t>
      </w:r>
      <w:r w:rsidRPr="0055724E">
        <w:rPr>
          <w:rFonts w:ascii="Helvetica Neue" w:hAnsi="Helvetica Neue" w:cs="宋体"/>
          <w:color w:val="353736"/>
          <w:spacing w:val="8"/>
          <w:kern w:val="0"/>
          <w:sz w:val="18"/>
          <w:szCs w:val="18"/>
        </w:rPr>
        <w:t>（見《公孫丑上》《告子上》）</w:t>
      </w:r>
      <w:r w:rsidRPr="0055724E">
        <w:rPr>
          <w:rFonts w:ascii="Helvetica Neue" w:hAnsi="Helvetica Neue" w:cs="宋体"/>
          <w:color w:val="353736"/>
          <w:spacing w:val="8"/>
          <w:kern w:val="0"/>
          <w:sz w:val="28"/>
          <w:szCs w:val="23"/>
        </w:rPr>
        <w:t>，把</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五行</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説又推進了一步。</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四行</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中最受孟子重視的顯然是</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仁義</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，在孟子的心目中，要達到</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或</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的境界，最重要的條件應該就是真心信從仁義之道，他説樂正子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好善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、是</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，應該就是由於他認爲樂正子是真心信從仁義之道的。他回答浩生不害説</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可欲之謂善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，朱熹《集注》：</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天下之理，其善者必可欲，其惡者必可惡。其爲人也，可欲而不可惡，則可謂善人矣。</w:t>
      </w:r>
      <w:r w:rsidRPr="0055724E">
        <w:rPr>
          <w:rFonts w:ascii="Helvetica Neue" w:hAnsi="Helvetica Neue" w:cs="宋体"/>
          <w:color w:val="353736"/>
          <w:spacing w:val="8"/>
          <w:kern w:val="0"/>
          <w:sz w:val="28"/>
          <w:szCs w:val="23"/>
        </w:rPr>
        <w:t>”</w:t>
      </w:r>
      <w:r w:rsidRPr="00965627">
        <w:rPr>
          <w:rStyle w:val="ae"/>
          <w:rFonts w:ascii="Helvetica Neue" w:hAnsi="Helvetica Neue" w:cs="宋体"/>
          <w:color w:val="353736"/>
          <w:spacing w:val="8"/>
          <w:kern w:val="0"/>
          <w:sz w:val="28"/>
          <w:szCs w:val="23"/>
        </w:rPr>
        <w:endnoteReference w:id="134"/>
      </w:r>
      <w:r w:rsidRPr="0055724E">
        <w:rPr>
          <w:rFonts w:ascii="Helvetica Neue" w:hAnsi="Helvetica Neue" w:cs="宋体"/>
          <w:color w:val="353736"/>
          <w:spacing w:val="8"/>
          <w:kern w:val="0"/>
          <w:sz w:val="28"/>
          <w:szCs w:val="23"/>
        </w:rPr>
        <w:t>在孟子看來，真心講仁義的爲政者，當然是爲百姓所</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的。《孟子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盡心上》：</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孟子曰：古之賢王好善而忘勢，古之賢士何獨不然？樂其道而忘人之勢</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好善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顯然指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，即才能和品德都很高的賢人。朱熹《集注》在此章之末總括全章之意時説：</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言君當屈己以下賢，士不枉道而求利。二者勢若相反，而實則相成，蓋亦各盡其道而已。</w:t>
      </w:r>
      <w:r w:rsidRPr="0055724E">
        <w:rPr>
          <w:rFonts w:ascii="Helvetica Neue" w:hAnsi="Helvetica Neue" w:cs="宋体"/>
          <w:color w:val="353736"/>
          <w:spacing w:val="8"/>
          <w:kern w:val="0"/>
          <w:sz w:val="28"/>
          <w:szCs w:val="23"/>
        </w:rPr>
        <w:t>”</w:t>
      </w:r>
      <w:r w:rsidRPr="00965627">
        <w:rPr>
          <w:rStyle w:val="ae"/>
          <w:rFonts w:ascii="Helvetica Neue" w:hAnsi="Helvetica Neue" w:cs="宋体"/>
          <w:color w:val="353736"/>
          <w:spacing w:val="8"/>
          <w:kern w:val="0"/>
          <w:sz w:val="28"/>
          <w:szCs w:val="23"/>
        </w:rPr>
        <w:endnoteReference w:id="135"/>
      </w:r>
      <w:r w:rsidRPr="0055724E">
        <w:rPr>
          <w:rFonts w:ascii="Helvetica Neue" w:hAnsi="Helvetica Neue" w:cs="宋体"/>
          <w:color w:val="353736"/>
          <w:spacing w:val="8"/>
          <w:kern w:val="0"/>
          <w:sz w:val="28"/>
          <w:szCs w:val="23"/>
        </w:rPr>
        <w:t>大意可從</w:t>
      </w:r>
      <w:r w:rsidRPr="00965627">
        <w:rPr>
          <w:rStyle w:val="ae"/>
          <w:rFonts w:ascii="Helvetica Neue" w:hAnsi="Helvetica Neue" w:cs="宋体"/>
          <w:color w:val="353736"/>
          <w:spacing w:val="8"/>
          <w:kern w:val="0"/>
          <w:sz w:val="28"/>
          <w:szCs w:val="23"/>
        </w:rPr>
        <w:endnoteReference w:id="136"/>
      </w:r>
      <w:r w:rsidRPr="0055724E">
        <w:rPr>
          <w:rFonts w:ascii="Helvetica Neue" w:hAnsi="Helvetica Neue" w:cs="宋体"/>
          <w:color w:val="353736"/>
          <w:spacing w:val="8"/>
          <w:kern w:val="0"/>
          <w:sz w:val="28"/>
          <w:szCs w:val="23"/>
        </w:rPr>
        <w:t>。當然，在孟子看來，只有像他這樣崇尚仁義之道的賢人才最值得賢王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忘勢</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而禮待。</w:t>
      </w:r>
    </w:p>
    <w:p w14:paraId="0AF19B2A" w14:textId="62E238F9"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《孟子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盡心下》所記孟子回答浩生不害的話在</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可欲之謂善，有諸己之謂信</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下接著還説</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充實之謂美，充實而有光輝之謂大，大而化之之謂聖，聖而不可知之之謂神。樂正子，二之中，四之</w:t>
      </w:r>
      <w:r w:rsidRPr="0055724E">
        <w:rPr>
          <w:rFonts w:ascii="Helvetica Neue" w:hAnsi="Helvetica Neue" w:cs="宋体"/>
          <w:color w:val="353736"/>
          <w:spacing w:val="8"/>
          <w:kern w:val="0"/>
          <w:sz w:val="28"/>
          <w:szCs w:val="23"/>
        </w:rPr>
        <w:lastRenderedPageBreak/>
        <w:t>下也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。趙岐注解釋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大而化之之謂聖</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之意爲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大行其道，使天下化之，是爲聖人</w:t>
      </w:r>
      <w:r w:rsidRPr="0055724E">
        <w:rPr>
          <w:rFonts w:ascii="Helvetica Neue" w:hAnsi="Helvetica Neue" w:cs="宋体"/>
          <w:color w:val="353736"/>
          <w:spacing w:val="8"/>
          <w:kern w:val="0"/>
          <w:sz w:val="28"/>
          <w:szCs w:val="23"/>
        </w:rPr>
        <w:t>”</w:t>
      </w:r>
      <w:r w:rsidRPr="00965627">
        <w:rPr>
          <w:rStyle w:val="ae"/>
          <w:rFonts w:ascii="Helvetica Neue" w:hAnsi="Helvetica Neue" w:cs="宋体"/>
          <w:color w:val="353736"/>
          <w:spacing w:val="8"/>
          <w:kern w:val="0"/>
          <w:sz w:val="28"/>
          <w:szCs w:val="23"/>
        </w:rPr>
        <w:endnoteReference w:id="137"/>
      </w:r>
      <w:r w:rsidRPr="0055724E">
        <w:rPr>
          <w:rFonts w:ascii="Helvetica Neue" w:hAnsi="Helvetica Neue" w:cs="宋体"/>
          <w:color w:val="353736"/>
          <w:spacing w:val="8"/>
          <w:kern w:val="0"/>
          <w:sz w:val="28"/>
          <w:szCs w:val="23"/>
        </w:rPr>
        <w:t>。孟子説</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樂正子，二之中，四之下也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，其確切意義雖然不大好解釋，但他也認爲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的才德修養較</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爲低，則是很明顯的。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五行</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説中以仁義禮智四行和爲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，加上</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以後才能謂之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德</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，並謂</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善，人道也；德，天道也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也是高於</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的。《孟子》中提到過不少古代的聖人，而孔子則被他推崇爲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自有生民以来</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未曾有過的大聖人</w:t>
      </w:r>
      <w:r w:rsidRPr="0055724E">
        <w:rPr>
          <w:rFonts w:ascii="Helvetica Neue" w:hAnsi="Helvetica Neue" w:cs="宋体"/>
          <w:color w:val="353736"/>
          <w:spacing w:val="8"/>
          <w:kern w:val="0"/>
          <w:sz w:val="18"/>
          <w:szCs w:val="18"/>
        </w:rPr>
        <w:t>（《公孫丑上》）</w:t>
      </w:r>
      <w:r w:rsidRPr="0055724E">
        <w:rPr>
          <w:rFonts w:ascii="Helvetica Neue" w:hAnsi="Helvetica Neue" w:cs="宋体"/>
          <w:color w:val="353736"/>
          <w:spacing w:val="8"/>
          <w:kern w:val="0"/>
          <w:sz w:val="28"/>
          <w:szCs w:val="23"/>
        </w:rPr>
        <w:t>。</w:t>
      </w:r>
    </w:p>
    <w:p w14:paraId="61D8F4F4" w14:textId="1D762596"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21</w:t>
      </w:r>
      <w:r w:rsidRPr="0055724E">
        <w:rPr>
          <w:rFonts w:ascii="Helvetica Neue" w:hAnsi="Helvetica Neue" w:cs="宋体"/>
          <w:color w:val="353736"/>
          <w:spacing w:val="8"/>
          <w:kern w:val="0"/>
          <w:sz w:val="28"/>
          <w:szCs w:val="23"/>
        </w:rPr>
        <w:t>）《莊子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胠篋》篇：</w:t>
      </w:r>
      <w:r w:rsidRPr="0055724E">
        <w:rPr>
          <w:rFonts w:ascii="Helvetica Neue" w:hAnsi="Helvetica Neue" w:cs="宋体"/>
          <w:color w:val="353736"/>
          <w:spacing w:val="8"/>
          <w:kern w:val="0"/>
          <w:sz w:val="28"/>
          <w:szCs w:val="23"/>
        </w:rPr>
        <w:t>“</w:t>
      </w:r>
      <w:r w:rsidRPr="0055724E">
        <w:rPr>
          <w:rFonts w:ascii="Helvetica Neue" w:eastAsia="楷体" w:hAnsi="Helvetica Neue" w:cs="宋体"/>
          <w:b/>
          <w:bCs/>
          <w:color w:val="000000" w:themeColor="text1"/>
          <w:spacing w:val="8"/>
          <w:kern w:val="0"/>
          <w:sz w:val="28"/>
          <w:szCs w:val="23"/>
          <w:u w:val="single"/>
        </w:rPr>
        <w:t>善人</w:t>
      </w:r>
      <w:r w:rsidRPr="0055724E">
        <w:rPr>
          <w:rFonts w:ascii="Helvetica Neue" w:eastAsia="楷体" w:hAnsi="Helvetica Neue" w:cs="宋体"/>
          <w:color w:val="000000" w:themeColor="text1"/>
          <w:spacing w:val="8"/>
          <w:kern w:val="0"/>
          <w:sz w:val="28"/>
          <w:szCs w:val="23"/>
        </w:rPr>
        <w:t>不得聖人之道不立，跖不得聖人之道不行；天下之</w:t>
      </w:r>
      <w:r w:rsidRPr="0055724E">
        <w:rPr>
          <w:rFonts w:ascii="Helvetica Neue" w:eastAsia="楷体" w:hAnsi="Helvetica Neue" w:cs="宋体"/>
          <w:b/>
          <w:bCs/>
          <w:color w:val="000000" w:themeColor="text1"/>
          <w:spacing w:val="8"/>
          <w:kern w:val="0"/>
          <w:sz w:val="28"/>
          <w:szCs w:val="23"/>
          <w:u w:val="single"/>
        </w:rPr>
        <w:t>善人</w:t>
      </w:r>
      <w:r w:rsidRPr="0055724E">
        <w:rPr>
          <w:rFonts w:ascii="Helvetica Neue" w:eastAsia="楷体" w:hAnsi="Helvetica Neue" w:cs="宋体"/>
          <w:color w:val="000000" w:themeColor="text1"/>
          <w:spacing w:val="8"/>
          <w:kern w:val="0"/>
          <w:sz w:val="28"/>
          <w:szCs w:val="23"/>
        </w:rPr>
        <w:t>少而</w:t>
      </w:r>
      <w:r w:rsidRPr="0055724E">
        <w:rPr>
          <w:rFonts w:ascii="Helvetica Neue" w:eastAsia="楷体" w:hAnsi="Helvetica Neue" w:cs="宋体"/>
          <w:b/>
          <w:bCs/>
          <w:color w:val="000000" w:themeColor="text1"/>
          <w:spacing w:val="8"/>
          <w:kern w:val="0"/>
          <w:sz w:val="28"/>
          <w:szCs w:val="23"/>
          <w:u w:val="single"/>
        </w:rPr>
        <w:t>不善</w:t>
      </w:r>
      <w:r w:rsidRPr="0055724E">
        <w:rPr>
          <w:rFonts w:ascii="Helvetica Neue" w:eastAsia="楷体" w:hAnsi="Helvetica Neue" w:cs="宋体"/>
          <w:color w:val="000000" w:themeColor="text1"/>
          <w:spacing w:val="8"/>
          <w:kern w:val="0"/>
          <w:sz w:val="28"/>
          <w:szCs w:val="23"/>
        </w:rPr>
        <w:t>人多，則聖人之利天下也少而害天下也多。</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此文作者雖然對一般所謂</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持諷刺態度，但從</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善人不得聖人之道不立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之語看，這裏所説的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也應指一般所謂才德具備之人。他以</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對言，情況與上文例（</w:t>
      </w:r>
      <w:r w:rsidR="00687FDE" w:rsidRPr="00687FDE">
        <w:rPr>
          <w:rFonts w:hAnsi="Helvetica Neue" w:cs="宋体"/>
          <w:color w:val="353736"/>
          <w:spacing w:val="8"/>
          <w:kern w:val="0"/>
          <w:sz w:val="28"/>
          <w:szCs w:val="23"/>
        </w:rPr>
        <w:t>5</w:t>
      </w:r>
      <w:r w:rsidRPr="0055724E">
        <w:rPr>
          <w:rFonts w:ascii="Helvetica Neue" w:hAnsi="Helvetica Neue" w:cs="宋体"/>
          <w:color w:val="353736"/>
          <w:spacing w:val="8"/>
          <w:kern w:val="0"/>
          <w:sz w:val="28"/>
          <w:szCs w:val="23"/>
        </w:rPr>
        <w:t>）羊舌職所引</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禹稱善人，不善人遠</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相類。此文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也是次於</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一等的。</w:t>
      </w:r>
    </w:p>
    <w:p w14:paraId="6188E578" w14:textId="77777777"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在先秦子書中，還有一些可以理解爲指才德具備者的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的用例，如：</w:t>
      </w:r>
    </w:p>
    <w:p w14:paraId="0BAF08A7" w14:textId="63456F55"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lastRenderedPageBreak/>
        <w:t>（</w:t>
      </w:r>
      <w:r w:rsidR="00687FDE" w:rsidRPr="00687FDE">
        <w:rPr>
          <w:rFonts w:hAnsi="Helvetica Neue" w:cs="宋体"/>
          <w:color w:val="353736"/>
          <w:spacing w:val="8"/>
          <w:kern w:val="0"/>
          <w:sz w:val="28"/>
          <w:szCs w:val="23"/>
        </w:rPr>
        <w:t>22</w:t>
      </w:r>
      <w:r w:rsidRPr="0055724E">
        <w:rPr>
          <w:rFonts w:ascii="Helvetica Neue" w:hAnsi="Helvetica Neue" w:cs="宋体"/>
          <w:color w:val="353736"/>
          <w:spacing w:val="8"/>
          <w:kern w:val="0"/>
          <w:sz w:val="28"/>
          <w:szCs w:val="23"/>
        </w:rPr>
        <w:t>）《管子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小稱》：</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天下者無常亂，無常治，</w:t>
      </w:r>
      <w:r w:rsidRPr="0055724E">
        <w:rPr>
          <w:rFonts w:ascii="Helvetica Neue" w:eastAsia="楷体" w:hAnsi="Helvetica Neue" w:cs="宋体"/>
          <w:b/>
          <w:bCs/>
          <w:color w:val="000000" w:themeColor="text1"/>
          <w:spacing w:val="8"/>
          <w:kern w:val="0"/>
          <w:sz w:val="28"/>
          <w:szCs w:val="23"/>
          <w:u w:val="single"/>
        </w:rPr>
        <w:t>不善人</w:t>
      </w:r>
      <w:r w:rsidRPr="0055724E">
        <w:rPr>
          <w:rFonts w:ascii="Helvetica Neue" w:eastAsia="楷体" w:hAnsi="Helvetica Neue" w:cs="宋体"/>
          <w:color w:val="000000" w:themeColor="text1"/>
          <w:spacing w:val="8"/>
          <w:kern w:val="0"/>
          <w:sz w:val="28"/>
          <w:szCs w:val="23"/>
        </w:rPr>
        <w:t>在則亂，</w:t>
      </w:r>
      <w:r w:rsidRPr="0055724E">
        <w:rPr>
          <w:rFonts w:ascii="Helvetica Neue" w:eastAsia="楷体" w:hAnsi="Helvetica Neue" w:cs="宋体"/>
          <w:b/>
          <w:bCs/>
          <w:color w:val="000000" w:themeColor="text1"/>
          <w:spacing w:val="8"/>
          <w:kern w:val="0"/>
          <w:sz w:val="28"/>
          <w:szCs w:val="23"/>
          <w:u w:val="single"/>
        </w:rPr>
        <w:t>善人</w:t>
      </w:r>
      <w:r w:rsidRPr="0055724E">
        <w:rPr>
          <w:rFonts w:ascii="Helvetica Neue" w:eastAsia="楷体" w:hAnsi="Helvetica Neue" w:cs="宋体"/>
          <w:color w:val="000000" w:themeColor="text1"/>
          <w:spacing w:val="8"/>
          <w:kern w:val="0"/>
          <w:sz w:val="28"/>
          <w:szCs w:val="23"/>
        </w:rPr>
        <w:t>在則治，在於既善所以感之也。</w:t>
      </w:r>
      <w:r w:rsidRPr="0055724E">
        <w:rPr>
          <w:rFonts w:ascii="Helvetica Neue" w:hAnsi="Helvetica Neue" w:cs="宋体"/>
          <w:color w:val="353736"/>
          <w:spacing w:val="8"/>
          <w:kern w:val="0"/>
          <w:sz w:val="28"/>
          <w:szCs w:val="23"/>
        </w:rPr>
        <w:t>”</w:t>
      </w:r>
    </w:p>
    <w:p w14:paraId="6E567B82" w14:textId="41B8FC11"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23</w:t>
      </w:r>
      <w:r w:rsidRPr="0055724E">
        <w:rPr>
          <w:rFonts w:ascii="Helvetica Neue" w:hAnsi="Helvetica Neue" w:cs="宋体"/>
          <w:color w:val="353736"/>
          <w:spacing w:val="8"/>
          <w:kern w:val="0"/>
          <w:sz w:val="28"/>
          <w:szCs w:val="23"/>
        </w:rPr>
        <w:t>）《管子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君臣上》：</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不言智能，而順事治，國患解，大臣之任也。不言於聰明，而</w:t>
      </w:r>
      <w:r w:rsidRPr="0055724E">
        <w:rPr>
          <w:rFonts w:ascii="Helvetica Neue" w:eastAsia="楷体" w:hAnsi="Helvetica Neue" w:cs="宋体"/>
          <w:b/>
          <w:bCs/>
          <w:color w:val="000000" w:themeColor="text1"/>
          <w:spacing w:val="8"/>
          <w:kern w:val="0"/>
          <w:sz w:val="28"/>
          <w:szCs w:val="23"/>
          <w:u w:val="single"/>
        </w:rPr>
        <w:t>善人</w:t>
      </w:r>
      <w:r w:rsidRPr="0055724E">
        <w:rPr>
          <w:rFonts w:ascii="Helvetica Neue" w:eastAsia="楷体" w:hAnsi="Helvetica Neue" w:cs="宋体"/>
          <w:color w:val="000000" w:themeColor="text1"/>
          <w:spacing w:val="8"/>
          <w:kern w:val="0"/>
          <w:sz w:val="28"/>
          <w:szCs w:val="23"/>
        </w:rPr>
        <w:t>舉，奸僞誅，視聽者眾也。</w:t>
      </w:r>
      <w:r w:rsidRPr="0055724E">
        <w:rPr>
          <w:rFonts w:ascii="Helvetica Neue" w:hAnsi="Helvetica Neue" w:cs="宋体"/>
          <w:color w:val="353736"/>
          <w:spacing w:val="8"/>
          <w:kern w:val="0"/>
          <w:sz w:val="28"/>
          <w:szCs w:val="23"/>
        </w:rPr>
        <w:t>”</w:t>
      </w:r>
    </w:p>
    <w:p w14:paraId="05D0A782" w14:textId="59B4DA3E"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24</w:t>
      </w:r>
      <w:r w:rsidRPr="0055724E">
        <w:rPr>
          <w:rFonts w:ascii="Helvetica Neue" w:hAnsi="Helvetica Neue" w:cs="宋体"/>
          <w:color w:val="353736"/>
          <w:spacing w:val="8"/>
          <w:kern w:val="0"/>
          <w:sz w:val="28"/>
          <w:szCs w:val="23"/>
        </w:rPr>
        <w:t>）《管子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四稱》：</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夷吾聞之於徐伯曰：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昔者無道之臣</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不與</w:t>
      </w:r>
      <w:r w:rsidRPr="0055724E">
        <w:rPr>
          <w:rFonts w:ascii="Helvetica Neue" w:eastAsia="楷体" w:hAnsi="Helvetica Neue" w:cs="宋体"/>
          <w:b/>
          <w:bCs/>
          <w:color w:val="000000" w:themeColor="text1"/>
          <w:spacing w:val="8"/>
          <w:kern w:val="0"/>
          <w:sz w:val="28"/>
          <w:szCs w:val="23"/>
          <w:u w:val="single"/>
        </w:rPr>
        <w:t>善人</w:t>
      </w:r>
      <w:r w:rsidRPr="0055724E">
        <w:rPr>
          <w:rFonts w:ascii="Helvetica Neue" w:eastAsia="楷体" w:hAnsi="Helvetica Neue" w:cs="宋体"/>
          <w:color w:val="000000" w:themeColor="text1"/>
          <w:spacing w:val="8"/>
          <w:kern w:val="0"/>
          <w:sz w:val="28"/>
          <w:szCs w:val="23"/>
        </w:rPr>
        <w:t>，唯其所事。</w:t>
      </w:r>
      <w:r w:rsidRPr="0055724E">
        <w:rPr>
          <w:rFonts w:ascii="Helvetica Neue" w:eastAsia="楷体" w:hAnsi="Helvetica Neue" w:cs="宋体"/>
          <w:color w:val="000000" w:themeColor="text1"/>
          <w:spacing w:val="8"/>
          <w:kern w:val="0"/>
          <w:sz w:val="28"/>
          <w:szCs w:val="23"/>
        </w:rPr>
        <w:t>……</w:t>
      </w:r>
      <w:r w:rsidRPr="0055724E">
        <w:rPr>
          <w:rFonts w:ascii="Helvetica Neue" w:hAnsi="Helvetica Neue" w:cs="宋体"/>
          <w:color w:val="353736"/>
          <w:spacing w:val="8"/>
          <w:kern w:val="0"/>
          <w:sz w:val="28"/>
          <w:szCs w:val="23"/>
        </w:rPr>
        <w:t>”</w:t>
      </w:r>
    </w:p>
    <w:p w14:paraId="716BC454" w14:textId="26147DC2"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25</w:t>
      </w:r>
      <w:r w:rsidRPr="0055724E">
        <w:rPr>
          <w:rFonts w:ascii="Helvetica Neue" w:hAnsi="Helvetica Neue" w:cs="宋体"/>
          <w:color w:val="353736"/>
          <w:spacing w:val="8"/>
          <w:kern w:val="0"/>
          <w:sz w:val="28"/>
          <w:szCs w:val="23"/>
        </w:rPr>
        <w:t>）《晏子春秋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内篇問上》</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景公問天下之所以存亡晏子對以六説</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章：公曰：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請終問天下之所以存亡。</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晏子曰：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縵密不能、蔍苴不學者詘。</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b/>
          <w:bCs/>
          <w:color w:val="000000" w:themeColor="text1"/>
          <w:spacing w:val="8"/>
          <w:kern w:val="0"/>
          <w:sz w:val="28"/>
          <w:szCs w:val="23"/>
          <w:u w:val="single"/>
        </w:rPr>
        <w:t>善人</w:t>
      </w:r>
      <w:r w:rsidRPr="0055724E">
        <w:rPr>
          <w:rFonts w:ascii="Helvetica Neue" w:eastAsia="楷体" w:hAnsi="Helvetica Neue" w:cs="宋体"/>
          <w:color w:val="000000" w:themeColor="text1"/>
          <w:spacing w:val="8"/>
          <w:kern w:val="0"/>
          <w:sz w:val="28"/>
          <w:szCs w:val="23"/>
        </w:rPr>
        <w:t>不能戚，惡人不能疏者危。</w:t>
      </w:r>
      <w:r w:rsidRPr="0055724E">
        <w:rPr>
          <w:rFonts w:ascii="Helvetica Neue" w:hAnsi="Helvetica Neue" w:cs="宋体"/>
          <w:color w:val="353736"/>
          <w:spacing w:val="8"/>
          <w:kern w:val="0"/>
          <w:sz w:val="28"/>
          <w:szCs w:val="23"/>
        </w:rPr>
        <w:t>”</w:t>
      </w:r>
    </w:p>
    <w:p w14:paraId="1659C56D" w14:textId="54F48446"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例（</w:t>
      </w:r>
      <w:r w:rsidR="00687FDE" w:rsidRPr="00687FDE">
        <w:rPr>
          <w:rFonts w:hAnsi="Helvetica Neue" w:cs="宋体"/>
          <w:color w:val="353736"/>
          <w:spacing w:val="8"/>
          <w:kern w:val="0"/>
          <w:sz w:val="28"/>
          <w:szCs w:val="23"/>
        </w:rPr>
        <w:t>22</w:t>
      </w:r>
      <w:r w:rsidRPr="0055724E">
        <w:rPr>
          <w:rFonts w:ascii="Helvetica Neue" w:hAnsi="Helvetica Neue" w:cs="宋体"/>
          <w:color w:val="353736"/>
          <w:spacing w:val="8"/>
          <w:kern w:val="0"/>
          <w:sz w:val="28"/>
          <w:szCs w:val="23"/>
        </w:rPr>
        <w:t>）以</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對舉，與前舉例（</w:t>
      </w:r>
      <w:r w:rsidR="00687FDE" w:rsidRPr="00687FDE">
        <w:rPr>
          <w:rFonts w:hAnsi="Helvetica Neue" w:cs="宋体"/>
          <w:color w:val="353736"/>
          <w:spacing w:val="8"/>
          <w:kern w:val="0"/>
          <w:sz w:val="28"/>
          <w:szCs w:val="23"/>
        </w:rPr>
        <w:t>5</w:t>
      </w:r>
      <w:r w:rsidRPr="0055724E">
        <w:rPr>
          <w:rFonts w:ascii="Helvetica Neue" w:hAnsi="Helvetica Neue" w:cs="宋体"/>
          <w:color w:val="353736"/>
          <w:spacing w:val="8"/>
          <w:kern w:val="0"/>
          <w:sz w:val="28"/>
          <w:szCs w:val="23"/>
        </w:rPr>
        <w:t>）羊舌職所引</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禹稱善人，不善人遠</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相類。例（</w:t>
      </w:r>
      <w:r w:rsidR="00687FDE" w:rsidRPr="00687FDE">
        <w:rPr>
          <w:rFonts w:hAnsi="Helvetica Neue" w:cs="宋体"/>
          <w:color w:val="353736"/>
          <w:spacing w:val="8"/>
          <w:kern w:val="0"/>
          <w:sz w:val="28"/>
          <w:szCs w:val="23"/>
        </w:rPr>
        <w:t>23</w:t>
      </w:r>
      <w:r w:rsidRPr="0055724E">
        <w:rPr>
          <w:rFonts w:ascii="Helvetica Neue" w:hAnsi="Helvetica Neue" w:cs="宋体"/>
          <w:color w:val="353736"/>
          <w:spacing w:val="8"/>
          <w:kern w:val="0"/>
          <w:sz w:val="28"/>
          <w:szCs w:val="23"/>
        </w:rPr>
        <w:t>）以</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奸僞</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對舉，與前舉以</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淫人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惡人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對舉的例子</w:t>
      </w:r>
      <w:r w:rsidRPr="0055724E">
        <w:rPr>
          <w:rFonts w:ascii="Helvetica Neue" w:hAnsi="Helvetica Neue" w:cs="宋体"/>
          <w:color w:val="353736"/>
          <w:spacing w:val="8"/>
          <w:kern w:val="0"/>
          <w:sz w:val="18"/>
          <w:szCs w:val="18"/>
        </w:rPr>
        <w:t>（</w:t>
      </w:r>
      <w:r w:rsidR="00687FDE" w:rsidRPr="00687FDE">
        <w:rPr>
          <w:rFonts w:hAnsi="Helvetica Neue" w:cs="宋体"/>
          <w:color w:val="353736"/>
          <w:spacing w:val="8"/>
          <w:kern w:val="0"/>
          <w:sz w:val="18"/>
          <w:szCs w:val="18"/>
        </w:rPr>
        <w:t>10</w:t>
      </w:r>
      <w:r w:rsidRPr="0055724E">
        <w:rPr>
          <w:rFonts w:ascii="Helvetica Neue" w:hAnsi="Helvetica Neue" w:cs="宋体"/>
          <w:color w:val="353736"/>
          <w:spacing w:val="8"/>
          <w:kern w:val="0"/>
          <w:sz w:val="18"/>
          <w:szCs w:val="18"/>
        </w:rPr>
        <w:t>、</w:t>
      </w:r>
      <w:r w:rsidR="00687FDE" w:rsidRPr="00687FDE">
        <w:rPr>
          <w:rFonts w:hAnsi="Helvetica Neue" w:cs="宋体"/>
          <w:color w:val="353736"/>
          <w:spacing w:val="8"/>
          <w:kern w:val="0"/>
          <w:sz w:val="18"/>
          <w:szCs w:val="18"/>
        </w:rPr>
        <w:t>11</w:t>
      </w:r>
      <w:r w:rsidRPr="0055724E">
        <w:rPr>
          <w:rFonts w:ascii="Helvetica Neue" w:hAnsi="Helvetica Neue" w:cs="宋体"/>
          <w:color w:val="353736"/>
          <w:spacing w:val="8"/>
          <w:kern w:val="0"/>
          <w:sz w:val="18"/>
          <w:szCs w:val="18"/>
        </w:rPr>
        <w:t>、</w:t>
      </w:r>
      <w:r w:rsidR="00687FDE" w:rsidRPr="00687FDE">
        <w:rPr>
          <w:rFonts w:hAnsi="Helvetica Neue" w:cs="宋体"/>
          <w:color w:val="353736"/>
          <w:spacing w:val="8"/>
          <w:kern w:val="0"/>
          <w:sz w:val="18"/>
          <w:szCs w:val="18"/>
        </w:rPr>
        <w:t>13</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28"/>
          <w:szCs w:val="23"/>
        </w:rPr>
        <w:t>相類。這兩例的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應該也是指才德具備之人。</w:t>
      </w:r>
    </w:p>
    <w:p w14:paraId="15AD10BC" w14:textId="554F04DE"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例（</w:t>
      </w:r>
      <w:r w:rsidR="00687FDE" w:rsidRPr="00687FDE">
        <w:rPr>
          <w:rFonts w:hAnsi="Helvetica Neue" w:cs="宋体"/>
          <w:color w:val="353736"/>
          <w:spacing w:val="8"/>
          <w:kern w:val="0"/>
          <w:sz w:val="28"/>
          <w:szCs w:val="23"/>
        </w:rPr>
        <w:t>24</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唯其所事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句，舊注説</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人有曲而事己，與之交也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其所事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解釋爲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曲而事己</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之人</w:t>
      </w:r>
      <w:r w:rsidRPr="00965627">
        <w:rPr>
          <w:rStyle w:val="ae"/>
          <w:rFonts w:ascii="Helvetica Neue" w:hAnsi="Helvetica Neue" w:cs="宋体"/>
          <w:color w:val="353736"/>
          <w:spacing w:val="8"/>
          <w:kern w:val="0"/>
          <w:sz w:val="28"/>
          <w:szCs w:val="23"/>
        </w:rPr>
        <w:endnoteReference w:id="138"/>
      </w:r>
      <w:r w:rsidRPr="0055724E">
        <w:rPr>
          <w:rFonts w:ascii="Helvetica Neue" w:hAnsi="Helvetica Neue" w:cs="宋体"/>
          <w:color w:val="353736"/>
          <w:spacing w:val="8"/>
          <w:kern w:val="0"/>
          <w:sz w:val="28"/>
          <w:szCs w:val="23"/>
        </w:rPr>
        <w:t>，從語法看似不妥當，疑</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當讀爲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使</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其所使</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指爲無道之臣可驅使之人。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其所使</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爲對文，情況跟以</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奸僞</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等對舉相似，其義應與上兩</w:t>
      </w:r>
      <w:r w:rsidRPr="0055724E">
        <w:rPr>
          <w:rFonts w:ascii="Helvetica Neue" w:hAnsi="Helvetica Neue" w:cs="宋体"/>
          <w:color w:val="353736"/>
          <w:spacing w:val="8"/>
          <w:kern w:val="0"/>
          <w:sz w:val="28"/>
          <w:szCs w:val="23"/>
        </w:rPr>
        <w:lastRenderedPageBreak/>
        <w:t>例所引《管子》中的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義近。又疑</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與善人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當讀爲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舉善人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，全句意謂</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不在君王面前舉薦有才德的人，而只舉薦他所能驅使的人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。舊注對</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其所事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的解釋雖然從語法上看有問題，但所説的意思其實跟我們的理解是相近的。此處下文還説到無道之臣</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倨敖不恭，不友善士</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遷損善士，捕</w:t>
      </w:r>
      <w:r w:rsidRPr="0055724E">
        <w:rPr>
          <w:rFonts w:ascii="Helvetica Neue" w:hAnsi="Helvetica Neue" w:cs="宋体"/>
          <w:color w:val="353736"/>
          <w:spacing w:val="8"/>
          <w:kern w:val="0"/>
          <w:sz w:val="18"/>
          <w:szCs w:val="18"/>
        </w:rPr>
        <w:t>（陶鴻慶讀爲</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扶</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28"/>
          <w:szCs w:val="23"/>
        </w:rPr>
        <w:t>援貨人</w:t>
      </w:r>
      <w:r w:rsidRPr="0055724E">
        <w:rPr>
          <w:rFonts w:ascii="Helvetica Neue" w:hAnsi="Helvetica Neue" w:cs="宋体"/>
          <w:color w:val="353736"/>
          <w:spacing w:val="8"/>
          <w:kern w:val="0"/>
          <w:sz w:val="18"/>
          <w:szCs w:val="18"/>
        </w:rPr>
        <w:t>（舊注以</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貨人</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爲</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財貨之人</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善士</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應該同義。《孟子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滕文公下》有</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薛居州，善士也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之語，</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善士</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顯然指才德具備之士</w:t>
      </w:r>
      <w:r w:rsidRPr="0055724E">
        <w:rPr>
          <w:rFonts w:ascii="Helvetica Neue" w:hAnsi="Helvetica Neue" w:cs="宋体"/>
          <w:color w:val="353736"/>
          <w:spacing w:val="8"/>
          <w:kern w:val="0"/>
          <w:sz w:val="18"/>
          <w:szCs w:val="18"/>
        </w:rPr>
        <w:t>［詳三（二）</w:t>
      </w:r>
      <w:r w:rsidR="00687FDE" w:rsidRPr="00687FDE">
        <w:rPr>
          <w:rFonts w:hAnsi="Helvetica Neue" w:cs="宋体"/>
          <w:color w:val="353736"/>
          <w:spacing w:val="8"/>
          <w:kern w:val="0"/>
          <w:sz w:val="18"/>
          <w:szCs w:val="18"/>
        </w:rPr>
        <w:t>2</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28"/>
          <w:szCs w:val="23"/>
        </w:rPr>
        <w:t>，可以當作此篇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善士</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應理解爲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才德具備</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的旁證。</w:t>
      </w:r>
    </w:p>
    <w:p w14:paraId="47194AB5" w14:textId="653E3AA4"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例（</w:t>
      </w:r>
      <w:r w:rsidR="00687FDE" w:rsidRPr="00687FDE">
        <w:rPr>
          <w:rFonts w:hAnsi="Helvetica Neue" w:cs="宋体"/>
          <w:color w:val="353736"/>
          <w:spacing w:val="8"/>
          <w:kern w:val="0"/>
          <w:sz w:val="28"/>
          <w:szCs w:val="23"/>
        </w:rPr>
        <w:t>25</w:t>
      </w:r>
      <w:r w:rsidRPr="0055724E">
        <w:rPr>
          <w:rFonts w:ascii="Helvetica Neue" w:hAnsi="Helvetica Neue" w:cs="宋体"/>
          <w:color w:val="353736"/>
          <w:spacing w:val="8"/>
          <w:kern w:val="0"/>
          <w:sz w:val="28"/>
          <w:szCs w:val="23"/>
        </w:rPr>
        <w:t>）以</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惡人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對舉，情況與上舉例（</w:t>
      </w:r>
      <w:r w:rsidR="00687FDE" w:rsidRPr="00687FDE">
        <w:rPr>
          <w:rFonts w:hAnsi="Helvetica Neue" w:cs="宋体"/>
          <w:color w:val="353736"/>
          <w:spacing w:val="8"/>
          <w:kern w:val="0"/>
          <w:sz w:val="28"/>
          <w:szCs w:val="23"/>
        </w:rPr>
        <w:t>13</w:t>
      </w:r>
      <w:r w:rsidRPr="0055724E">
        <w:rPr>
          <w:rFonts w:ascii="Helvetica Neue" w:hAnsi="Helvetica Neue" w:cs="宋体"/>
          <w:color w:val="353736"/>
          <w:spacing w:val="8"/>
          <w:kern w:val="0"/>
          <w:sz w:val="28"/>
          <w:szCs w:val="23"/>
        </w:rPr>
        <w:t>）相類。</w:t>
      </w:r>
    </w:p>
    <w:p w14:paraId="1F1025E1" w14:textId="1BBBD50C"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26</w:t>
      </w:r>
      <w:r w:rsidRPr="0055724E">
        <w:rPr>
          <w:rFonts w:ascii="Helvetica Neue" w:hAnsi="Helvetica Neue" w:cs="宋体"/>
          <w:color w:val="353736"/>
          <w:spacing w:val="8"/>
          <w:kern w:val="0"/>
          <w:sz w:val="28"/>
          <w:szCs w:val="23"/>
        </w:rPr>
        <w:t>）清華簡《趙簡子》記趙簡子初執政時，范獻子進諫曰：</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子始造於善，則</w:t>
      </w:r>
      <w:r w:rsidRPr="0055724E">
        <w:rPr>
          <w:rFonts w:ascii="Helvetica Neue" w:eastAsia="楷体" w:hAnsi="Helvetica Neue" w:cs="宋体"/>
          <w:b/>
          <w:bCs/>
          <w:color w:val="000000" w:themeColor="text1"/>
          <w:spacing w:val="8"/>
          <w:kern w:val="0"/>
          <w:sz w:val="28"/>
          <w:szCs w:val="23"/>
          <w:u w:val="single"/>
        </w:rPr>
        <w:t>善人</w:t>
      </w:r>
      <w:r w:rsidRPr="0055724E">
        <w:rPr>
          <w:rFonts w:ascii="Helvetica Neue" w:eastAsia="楷体" w:hAnsi="Helvetica Neue" w:cs="宋体"/>
          <w:color w:val="000000" w:themeColor="text1"/>
          <w:spacing w:val="8"/>
          <w:kern w:val="0"/>
          <w:sz w:val="28"/>
          <w:szCs w:val="23"/>
        </w:rPr>
        <w:t>至，</w:t>
      </w:r>
      <w:r w:rsidRPr="0055724E">
        <w:rPr>
          <w:rFonts w:ascii="Helvetica Neue" w:eastAsia="楷体" w:hAnsi="Helvetica Neue" w:cs="宋体"/>
          <w:b/>
          <w:bCs/>
          <w:color w:val="000000" w:themeColor="text1"/>
          <w:spacing w:val="8"/>
          <w:kern w:val="0"/>
          <w:sz w:val="28"/>
          <w:szCs w:val="23"/>
          <w:u w:val="single"/>
        </w:rPr>
        <w:t>不善人</w:t>
      </w:r>
      <w:r w:rsidRPr="0055724E">
        <w:rPr>
          <w:rFonts w:ascii="Helvetica Neue" w:eastAsia="楷体" w:hAnsi="Helvetica Neue" w:cs="宋体"/>
          <w:color w:val="000000" w:themeColor="text1"/>
          <w:spacing w:val="8"/>
          <w:kern w:val="0"/>
          <w:sz w:val="28"/>
          <w:szCs w:val="23"/>
        </w:rPr>
        <w:t>退；子始造於不善，則</w:t>
      </w:r>
      <w:r w:rsidRPr="0055724E">
        <w:rPr>
          <w:rFonts w:ascii="Helvetica Neue" w:eastAsia="楷体" w:hAnsi="Helvetica Neue" w:cs="宋体"/>
          <w:b/>
          <w:bCs/>
          <w:color w:val="000000" w:themeColor="text1"/>
          <w:spacing w:val="8"/>
          <w:kern w:val="0"/>
          <w:sz w:val="28"/>
          <w:szCs w:val="23"/>
          <w:u w:val="single"/>
        </w:rPr>
        <w:t>不善人</w:t>
      </w:r>
      <w:r w:rsidRPr="0055724E">
        <w:rPr>
          <w:rFonts w:ascii="Helvetica Neue" w:eastAsia="楷体" w:hAnsi="Helvetica Neue" w:cs="宋体"/>
          <w:color w:val="000000" w:themeColor="text1"/>
          <w:spacing w:val="8"/>
          <w:kern w:val="0"/>
          <w:sz w:val="28"/>
          <w:szCs w:val="23"/>
        </w:rPr>
        <w:t>至，</w:t>
      </w:r>
      <w:r w:rsidRPr="0055724E">
        <w:rPr>
          <w:rFonts w:ascii="Helvetica Neue" w:eastAsia="楷体" w:hAnsi="Helvetica Neue" w:cs="宋体"/>
          <w:b/>
          <w:bCs/>
          <w:color w:val="000000" w:themeColor="text1"/>
          <w:spacing w:val="8"/>
          <w:kern w:val="0"/>
          <w:sz w:val="28"/>
          <w:szCs w:val="23"/>
          <w:u w:val="single"/>
        </w:rPr>
        <w:t>善人</w:t>
      </w:r>
      <w:r w:rsidRPr="0055724E">
        <w:rPr>
          <w:rFonts w:ascii="Helvetica Neue" w:eastAsia="楷体" w:hAnsi="Helvetica Neue" w:cs="宋体"/>
          <w:color w:val="000000" w:themeColor="text1"/>
          <w:spacing w:val="8"/>
          <w:kern w:val="0"/>
          <w:sz w:val="28"/>
          <w:szCs w:val="23"/>
        </w:rPr>
        <w:t>退。</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（簡</w:t>
      </w:r>
      <w:r w:rsidR="00687FDE" w:rsidRPr="00687FDE">
        <w:rPr>
          <w:rFonts w:hAnsi="Helvetica Neue" w:cs="宋体"/>
          <w:color w:val="353736"/>
          <w:spacing w:val="8"/>
          <w:kern w:val="0"/>
          <w:sz w:val="28"/>
          <w:szCs w:val="23"/>
        </w:rPr>
        <w:t>3</w:t>
      </w: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4</w:t>
      </w:r>
      <w:r w:rsidRPr="0055724E">
        <w:rPr>
          <w:rFonts w:ascii="Helvetica Neue" w:hAnsi="Helvetica Neue" w:cs="宋体"/>
          <w:color w:val="353736"/>
          <w:spacing w:val="8"/>
          <w:kern w:val="0"/>
          <w:sz w:val="28"/>
          <w:szCs w:val="23"/>
        </w:rPr>
        <w:t>）清華簡整理者釋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造於善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造</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到</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去</w:t>
      </w:r>
      <w:r w:rsidRPr="0055724E">
        <w:rPr>
          <w:rFonts w:ascii="Helvetica Neue" w:hAnsi="Helvetica Neue" w:cs="宋体"/>
          <w:color w:val="353736"/>
          <w:spacing w:val="8"/>
          <w:kern w:val="0"/>
          <w:sz w:val="28"/>
          <w:szCs w:val="23"/>
        </w:rPr>
        <w:t>”</w:t>
      </w:r>
      <w:r w:rsidRPr="00965627">
        <w:rPr>
          <w:rStyle w:val="ae"/>
          <w:rFonts w:ascii="Helvetica Neue" w:hAnsi="Helvetica Neue" w:cs="宋体"/>
          <w:color w:val="353736"/>
          <w:spacing w:val="8"/>
          <w:kern w:val="0"/>
          <w:sz w:val="28"/>
          <w:szCs w:val="23"/>
        </w:rPr>
        <w:endnoteReference w:id="139"/>
      </w:r>
      <w:r w:rsidRPr="0055724E">
        <w:rPr>
          <w:rFonts w:ascii="Helvetica Neue" w:hAnsi="Helvetica Neue" w:cs="宋体"/>
          <w:color w:val="353736"/>
          <w:spacing w:val="8"/>
          <w:kern w:val="0"/>
          <w:sz w:val="28"/>
          <w:szCs w:val="23"/>
        </w:rPr>
        <w:t>，可從。</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子始造於善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意即</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您若一開始就達到善的境地</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18"/>
          <w:szCs w:val="18"/>
        </w:rPr>
        <w:t>［關於這個</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善</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的具體意義的説明見四（四）］</w:t>
      </w:r>
      <w:r w:rsidRPr="0055724E">
        <w:rPr>
          <w:rFonts w:ascii="Helvetica Neue" w:hAnsi="Helvetica Neue" w:cs="宋体"/>
          <w:color w:val="353736"/>
          <w:spacing w:val="8"/>
          <w:kern w:val="0"/>
          <w:sz w:val="28"/>
          <w:szCs w:val="23"/>
        </w:rPr>
        <w:t>。此文亦以</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對言，情況與例（</w:t>
      </w:r>
      <w:r w:rsidR="00687FDE" w:rsidRPr="00687FDE">
        <w:rPr>
          <w:rFonts w:hAnsi="Helvetica Neue" w:cs="宋体"/>
          <w:color w:val="353736"/>
          <w:spacing w:val="8"/>
          <w:kern w:val="0"/>
          <w:sz w:val="28"/>
          <w:szCs w:val="23"/>
        </w:rPr>
        <w:t>5</w:t>
      </w:r>
      <w:r w:rsidRPr="0055724E">
        <w:rPr>
          <w:rFonts w:ascii="Helvetica Neue" w:hAnsi="Helvetica Neue" w:cs="宋体"/>
          <w:color w:val="353736"/>
          <w:spacing w:val="8"/>
          <w:kern w:val="0"/>
          <w:sz w:val="28"/>
          <w:szCs w:val="23"/>
        </w:rPr>
        <w:t>）、例（</w:t>
      </w:r>
      <w:r w:rsidR="00687FDE" w:rsidRPr="00687FDE">
        <w:rPr>
          <w:rFonts w:hAnsi="Helvetica Neue" w:cs="宋体"/>
          <w:color w:val="353736"/>
          <w:spacing w:val="8"/>
          <w:kern w:val="0"/>
          <w:sz w:val="28"/>
          <w:szCs w:val="23"/>
        </w:rPr>
        <w:t>21</w:t>
      </w:r>
      <w:r w:rsidRPr="0055724E">
        <w:rPr>
          <w:rFonts w:ascii="Helvetica Neue" w:hAnsi="Helvetica Neue" w:cs="宋体"/>
          <w:color w:val="353736"/>
          <w:spacing w:val="8"/>
          <w:kern w:val="0"/>
          <w:sz w:val="28"/>
          <w:szCs w:val="23"/>
        </w:rPr>
        <w:t>）相類，</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也應該指才德具備的人。</w:t>
      </w:r>
    </w:p>
    <w:p w14:paraId="4D0DAAE5" w14:textId="1DFCD27A"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前面講過，當</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有才能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講的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可以用來指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有才能的人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，才德具備的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也可以就稱爲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。上文例（</w:t>
      </w:r>
      <w:r w:rsidR="00687FDE" w:rsidRPr="00687FDE">
        <w:rPr>
          <w:rFonts w:hAnsi="Helvetica Neue" w:cs="宋体"/>
          <w:color w:val="353736"/>
          <w:spacing w:val="8"/>
          <w:kern w:val="0"/>
          <w:sz w:val="28"/>
          <w:szCs w:val="23"/>
        </w:rPr>
        <w:t>20</w:t>
      </w:r>
      <w:r w:rsidRPr="0055724E">
        <w:rPr>
          <w:rFonts w:ascii="Helvetica Neue" w:hAnsi="Helvetica Neue" w:cs="宋体"/>
          <w:color w:val="353736"/>
          <w:spacing w:val="8"/>
          <w:kern w:val="0"/>
          <w:sz w:val="28"/>
          <w:szCs w:val="23"/>
        </w:rPr>
        <w:t>）已經引過《孟子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盡</w:t>
      </w:r>
      <w:r w:rsidRPr="0055724E">
        <w:rPr>
          <w:rFonts w:ascii="Helvetica Neue" w:hAnsi="Helvetica Neue" w:cs="宋体"/>
          <w:color w:val="353736"/>
          <w:spacing w:val="8"/>
          <w:kern w:val="0"/>
          <w:sz w:val="28"/>
          <w:szCs w:val="23"/>
        </w:rPr>
        <w:lastRenderedPageBreak/>
        <w:t>心上》的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古之賢王好善而忘勢</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之語，其中的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就指才德具備的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。郭店《語叢一》有</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愛膳（善）之謂仁</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一句</w:t>
      </w:r>
      <w:r w:rsidRPr="0055724E">
        <w:rPr>
          <w:rFonts w:ascii="Helvetica Neue" w:hAnsi="Helvetica Neue" w:cs="宋体"/>
          <w:color w:val="353736"/>
          <w:spacing w:val="8"/>
          <w:kern w:val="0"/>
          <w:sz w:val="18"/>
          <w:szCs w:val="18"/>
        </w:rPr>
        <w:t>（簡</w:t>
      </w:r>
      <w:r w:rsidR="00687FDE" w:rsidRPr="00687FDE">
        <w:rPr>
          <w:rFonts w:hAnsi="Helvetica Neue" w:cs="宋体"/>
          <w:color w:val="353736"/>
          <w:spacing w:val="8"/>
          <w:kern w:val="0"/>
          <w:sz w:val="18"/>
          <w:szCs w:val="18"/>
        </w:rPr>
        <w:t>92</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28"/>
          <w:szCs w:val="23"/>
        </w:rPr>
        <w:t>，有人引《文子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上仁》</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愛賢之謂仁</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與此對照</w:t>
      </w:r>
      <w:r w:rsidRPr="00965627">
        <w:rPr>
          <w:rStyle w:val="ae"/>
          <w:rFonts w:ascii="Helvetica Neue" w:hAnsi="Helvetica Neue" w:cs="宋体"/>
          <w:color w:val="353736"/>
          <w:spacing w:val="8"/>
          <w:kern w:val="0"/>
          <w:sz w:val="28"/>
          <w:szCs w:val="23"/>
        </w:rPr>
        <w:endnoteReference w:id="140"/>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賢</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賢人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愛善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亦應指才德具備的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，《論語</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學而》有</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泛愛眾而親仁</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語，可以參看。</w:t>
      </w:r>
    </w:p>
    <w:p w14:paraId="6AA09D1D" w14:textId="188E978A" w:rsidR="009F4F5A" w:rsidRPr="0055724E" w:rsidRDefault="00687FDE" w:rsidP="00445DA3">
      <w:pPr>
        <w:widowControl/>
        <w:spacing w:beforeLines="50" w:before="180" w:line="480" w:lineRule="auto"/>
        <w:ind w:firstLine="480"/>
        <w:rPr>
          <w:rFonts w:ascii="Helvetica Neue" w:hAnsi="Helvetica Neue" w:cs="宋体"/>
          <w:color w:val="616161"/>
          <w:spacing w:val="8"/>
          <w:kern w:val="0"/>
          <w:sz w:val="28"/>
          <w:szCs w:val="24"/>
        </w:rPr>
      </w:pPr>
      <w:r w:rsidRPr="00687FDE">
        <w:rPr>
          <w:rFonts w:hAnsi="Helvetica Neue" w:cs="宋体"/>
          <w:b/>
          <w:bCs/>
          <w:color w:val="353736"/>
          <w:spacing w:val="8"/>
          <w:kern w:val="0"/>
          <w:sz w:val="28"/>
          <w:szCs w:val="23"/>
        </w:rPr>
        <w:t>2</w:t>
      </w:r>
      <w:r w:rsidR="009F4F5A" w:rsidRPr="0055724E">
        <w:rPr>
          <w:rFonts w:ascii="Helvetica Neue" w:hAnsi="Helvetica Neue" w:cs="宋体"/>
          <w:b/>
          <w:bCs/>
          <w:color w:val="353736"/>
          <w:spacing w:val="8"/>
          <w:kern w:val="0"/>
          <w:sz w:val="28"/>
          <w:szCs w:val="23"/>
        </w:rPr>
        <w:t>.</w:t>
      </w:r>
    </w:p>
    <w:p w14:paraId="2EB862B7" w14:textId="77777777"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相類的有</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善士</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善臣</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之語，附述於此。</w:t>
      </w:r>
    </w:p>
    <w:p w14:paraId="5B5833D8" w14:textId="6DDBCC40"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先舉</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善士</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的用例。前面講</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時引過的《管子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四稱》篇在講無道之臣</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不與善人，唯其所事（使）</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之下緊接著説</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倨敖不恭，不友</w:t>
      </w:r>
      <w:r w:rsidRPr="0055724E">
        <w:rPr>
          <w:rFonts w:ascii="Helvetica Neue" w:eastAsia="楷体" w:hAnsi="Helvetica Neue" w:cs="宋体"/>
          <w:b/>
          <w:bCs/>
          <w:color w:val="000000" w:themeColor="text1"/>
          <w:spacing w:val="8"/>
          <w:kern w:val="0"/>
          <w:sz w:val="28"/>
          <w:szCs w:val="23"/>
          <w:u w:val="single"/>
        </w:rPr>
        <w:t>善士</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，下文又説無道之臣</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遷損</w:t>
      </w:r>
      <w:r w:rsidRPr="0055724E">
        <w:rPr>
          <w:rFonts w:ascii="Helvetica Neue" w:eastAsia="楷体" w:hAnsi="Helvetica Neue" w:cs="宋体"/>
          <w:b/>
          <w:bCs/>
          <w:color w:val="000000" w:themeColor="text1"/>
          <w:spacing w:val="8"/>
          <w:kern w:val="0"/>
          <w:sz w:val="28"/>
          <w:szCs w:val="23"/>
          <w:u w:val="single"/>
        </w:rPr>
        <w:t>善士</w:t>
      </w:r>
      <w:r w:rsidRPr="0055724E">
        <w:rPr>
          <w:rFonts w:ascii="Helvetica Neue" w:eastAsia="楷体" w:hAnsi="Helvetica Neue" w:cs="宋体"/>
          <w:color w:val="000000" w:themeColor="text1"/>
          <w:spacing w:val="8"/>
          <w:kern w:val="0"/>
          <w:sz w:val="28"/>
          <w:szCs w:val="23"/>
        </w:rPr>
        <w:t>，捕</w:t>
      </w:r>
      <w:r w:rsidRPr="0055724E">
        <w:rPr>
          <w:rFonts w:ascii="Helvetica Neue" w:hAnsi="Helvetica Neue" w:cs="宋体"/>
          <w:color w:val="353736"/>
          <w:spacing w:val="8"/>
          <w:kern w:val="0"/>
          <w:sz w:val="18"/>
          <w:szCs w:val="18"/>
        </w:rPr>
        <w:t>（陶鴻慶讀爲</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扶</w:t>
      </w:r>
      <w:r w:rsidRPr="0055724E">
        <w:rPr>
          <w:rFonts w:ascii="Helvetica Neue" w:hAnsi="Helvetica Neue" w:cs="宋体"/>
          <w:color w:val="353736"/>
          <w:spacing w:val="8"/>
          <w:kern w:val="0"/>
          <w:sz w:val="18"/>
          <w:szCs w:val="18"/>
        </w:rPr>
        <w:t>’</w:t>
      </w:r>
      <w:r>
        <w:rPr>
          <w:rStyle w:val="ae"/>
          <w:rFonts w:ascii="Helvetica Neue" w:hAnsi="Helvetica Neue" w:cs="宋体"/>
          <w:color w:val="353736"/>
          <w:spacing w:val="8"/>
          <w:kern w:val="0"/>
          <w:sz w:val="18"/>
          <w:szCs w:val="18"/>
        </w:rPr>
        <w:endnoteReference w:id="141"/>
      </w:r>
      <w:r w:rsidRPr="0055724E">
        <w:rPr>
          <w:rFonts w:ascii="Helvetica Neue" w:hAnsi="Helvetica Neue" w:cs="宋体"/>
          <w:color w:val="353736"/>
          <w:spacing w:val="8"/>
          <w:kern w:val="0"/>
          <w:sz w:val="18"/>
          <w:szCs w:val="18"/>
        </w:rPr>
        <w:t>）</w:t>
      </w:r>
      <w:r w:rsidRPr="0055724E">
        <w:rPr>
          <w:rFonts w:ascii="Helvetica Neue" w:eastAsia="楷体" w:hAnsi="Helvetica Neue" w:cs="宋体"/>
          <w:color w:val="000000" w:themeColor="text1"/>
          <w:spacing w:val="8"/>
          <w:kern w:val="0"/>
          <w:sz w:val="28"/>
          <w:szCs w:val="23"/>
        </w:rPr>
        <w:t>援貨人</w:t>
      </w:r>
      <w:r w:rsidRPr="0055724E">
        <w:rPr>
          <w:rFonts w:ascii="Helvetica Neue" w:hAnsi="Helvetica Neue" w:cs="宋体"/>
          <w:color w:val="353736"/>
          <w:spacing w:val="8"/>
          <w:kern w:val="0"/>
          <w:sz w:val="18"/>
          <w:szCs w:val="18"/>
        </w:rPr>
        <w:t>（管子舊注解爲</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財貨之人</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，不知確否）</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。《孟子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滕文公下》</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子</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指與孟子對話的宋臣戴不勝）</w:t>
      </w:r>
      <w:r w:rsidRPr="0055724E">
        <w:rPr>
          <w:rFonts w:ascii="Helvetica Neue" w:eastAsia="楷体" w:hAnsi="Helvetica Neue" w:cs="宋体"/>
          <w:color w:val="000000" w:themeColor="text1"/>
          <w:spacing w:val="8"/>
          <w:kern w:val="0"/>
          <w:sz w:val="28"/>
          <w:szCs w:val="23"/>
        </w:rPr>
        <w:t>謂薛居州</w:t>
      </w:r>
      <w:r w:rsidRPr="0055724E">
        <w:rPr>
          <w:rFonts w:ascii="Helvetica Neue" w:eastAsia="楷体" w:hAnsi="Helvetica Neue" w:cs="宋体"/>
          <w:b/>
          <w:bCs/>
          <w:color w:val="000000" w:themeColor="text1"/>
          <w:spacing w:val="8"/>
          <w:kern w:val="0"/>
          <w:sz w:val="28"/>
          <w:szCs w:val="23"/>
          <w:u w:val="single"/>
        </w:rPr>
        <w:t>善士</w:t>
      </w:r>
      <w:r w:rsidRPr="0055724E">
        <w:rPr>
          <w:rFonts w:ascii="Helvetica Neue" w:eastAsia="楷体" w:hAnsi="Helvetica Neue" w:cs="宋体"/>
          <w:color w:val="000000" w:themeColor="text1"/>
          <w:spacing w:val="8"/>
          <w:kern w:val="0"/>
          <w:sz w:val="28"/>
          <w:szCs w:val="23"/>
        </w:rPr>
        <w:t>也，使之居於王所。在於王所者，長幼卑尊皆薛居州也，王誰與爲不善</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不善</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當指不善之事）</w:t>
      </w:r>
      <w:r w:rsidRPr="0055724E">
        <w:rPr>
          <w:rFonts w:ascii="Helvetica Neue" w:eastAsia="楷体" w:hAnsi="Helvetica Neue" w:cs="宋体"/>
          <w:color w:val="000000" w:themeColor="text1"/>
          <w:spacing w:val="8"/>
          <w:kern w:val="0"/>
          <w:sz w:val="28"/>
          <w:szCs w:val="23"/>
        </w:rPr>
        <w:t>？在王所者，長幼卑尊皆非薛居州也，王誰與爲善</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善</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當指善事，參看四（一）］</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。《孟子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萬章下》</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孟子謂萬章曰：一鄉之</w:t>
      </w:r>
      <w:r w:rsidRPr="0055724E">
        <w:rPr>
          <w:rFonts w:ascii="Helvetica Neue" w:eastAsia="楷体" w:hAnsi="Helvetica Neue" w:cs="宋体"/>
          <w:b/>
          <w:bCs/>
          <w:color w:val="000000" w:themeColor="text1"/>
          <w:spacing w:val="8"/>
          <w:kern w:val="0"/>
          <w:sz w:val="28"/>
          <w:szCs w:val="23"/>
          <w:u w:val="single"/>
        </w:rPr>
        <w:t>善士</w:t>
      </w:r>
      <w:r w:rsidRPr="0055724E">
        <w:rPr>
          <w:rFonts w:ascii="Helvetica Neue" w:eastAsia="楷体" w:hAnsi="Helvetica Neue" w:cs="宋体"/>
          <w:color w:val="000000" w:themeColor="text1"/>
          <w:spacing w:val="8"/>
          <w:kern w:val="0"/>
          <w:sz w:val="28"/>
          <w:szCs w:val="23"/>
        </w:rPr>
        <w:t>斯友一鄉之</w:t>
      </w:r>
      <w:r w:rsidRPr="0055724E">
        <w:rPr>
          <w:rFonts w:ascii="Helvetica Neue" w:eastAsia="楷体" w:hAnsi="Helvetica Neue" w:cs="宋体"/>
          <w:b/>
          <w:bCs/>
          <w:color w:val="000000" w:themeColor="text1"/>
          <w:spacing w:val="8"/>
          <w:kern w:val="0"/>
          <w:sz w:val="28"/>
          <w:szCs w:val="23"/>
          <w:u w:val="single"/>
        </w:rPr>
        <w:t>善士</w:t>
      </w:r>
      <w:r w:rsidRPr="0055724E">
        <w:rPr>
          <w:rFonts w:ascii="Helvetica Neue" w:eastAsia="楷体" w:hAnsi="Helvetica Neue" w:cs="宋体"/>
          <w:color w:val="000000" w:themeColor="text1"/>
          <w:spacing w:val="8"/>
          <w:kern w:val="0"/>
          <w:sz w:val="28"/>
          <w:szCs w:val="23"/>
        </w:rPr>
        <w:t>，一國之</w:t>
      </w:r>
      <w:r w:rsidRPr="0055724E">
        <w:rPr>
          <w:rFonts w:ascii="Helvetica Neue" w:eastAsia="楷体" w:hAnsi="Helvetica Neue" w:cs="宋体"/>
          <w:b/>
          <w:bCs/>
          <w:color w:val="000000" w:themeColor="text1"/>
          <w:spacing w:val="8"/>
          <w:kern w:val="0"/>
          <w:sz w:val="28"/>
          <w:szCs w:val="23"/>
          <w:u w:val="single"/>
        </w:rPr>
        <w:t>善士</w:t>
      </w:r>
      <w:r w:rsidRPr="0055724E">
        <w:rPr>
          <w:rFonts w:ascii="Helvetica Neue" w:eastAsia="楷体" w:hAnsi="Helvetica Neue" w:cs="宋体"/>
          <w:color w:val="000000" w:themeColor="text1"/>
          <w:spacing w:val="8"/>
          <w:kern w:val="0"/>
          <w:sz w:val="28"/>
          <w:szCs w:val="23"/>
        </w:rPr>
        <w:t>斯友一國之</w:t>
      </w:r>
      <w:r w:rsidRPr="0055724E">
        <w:rPr>
          <w:rFonts w:ascii="Helvetica Neue" w:eastAsia="楷体" w:hAnsi="Helvetica Neue" w:cs="宋体"/>
          <w:b/>
          <w:bCs/>
          <w:color w:val="000000" w:themeColor="text1"/>
          <w:spacing w:val="8"/>
          <w:kern w:val="0"/>
          <w:sz w:val="28"/>
          <w:szCs w:val="23"/>
          <w:u w:val="single"/>
        </w:rPr>
        <w:t>善士</w:t>
      </w:r>
      <w:r w:rsidRPr="0055724E">
        <w:rPr>
          <w:rFonts w:ascii="Helvetica Neue" w:eastAsia="楷体" w:hAnsi="Helvetica Neue" w:cs="宋体"/>
          <w:color w:val="000000" w:themeColor="text1"/>
          <w:spacing w:val="8"/>
          <w:kern w:val="0"/>
          <w:sz w:val="28"/>
          <w:szCs w:val="23"/>
        </w:rPr>
        <w:t>，天下之</w:t>
      </w:r>
      <w:r w:rsidRPr="0055724E">
        <w:rPr>
          <w:rFonts w:ascii="Helvetica Neue" w:eastAsia="楷体" w:hAnsi="Helvetica Neue" w:cs="宋体"/>
          <w:b/>
          <w:bCs/>
          <w:color w:val="000000" w:themeColor="text1"/>
          <w:spacing w:val="8"/>
          <w:kern w:val="0"/>
          <w:sz w:val="28"/>
          <w:szCs w:val="23"/>
          <w:u w:val="single"/>
        </w:rPr>
        <w:t>善士</w:t>
      </w:r>
      <w:r w:rsidRPr="0055724E">
        <w:rPr>
          <w:rFonts w:ascii="Helvetica Neue" w:eastAsia="楷体" w:hAnsi="Helvetica Neue" w:cs="宋体"/>
          <w:color w:val="000000" w:themeColor="text1"/>
          <w:spacing w:val="8"/>
          <w:kern w:val="0"/>
          <w:sz w:val="28"/>
          <w:szCs w:val="23"/>
        </w:rPr>
        <w:t>斯友天下之</w:t>
      </w:r>
      <w:r w:rsidRPr="0055724E">
        <w:rPr>
          <w:rFonts w:ascii="Helvetica Neue" w:eastAsia="楷体" w:hAnsi="Helvetica Neue" w:cs="宋体"/>
          <w:b/>
          <w:bCs/>
          <w:color w:val="000000" w:themeColor="text1"/>
          <w:spacing w:val="8"/>
          <w:kern w:val="0"/>
          <w:sz w:val="28"/>
          <w:szCs w:val="23"/>
          <w:u w:val="single"/>
        </w:rPr>
        <w:t>善士</w:t>
      </w:r>
      <w:r w:rsidRPr="0055724E">
        <w:rPr>
          <w:rFonts w:ascii="Helvetica Neue" w:eastAsia="楷体" w:hAnsi="Helvetica Neue" w:cs="宋体"/>
          <w:color w:val="000000" w:themeColor="text1"/>
          <w:spacing w:val="8"/>
          <w:kern w:val="0"/>
          <w:sz w:val="28"/>
          <w:szCs w:val="23"/>
        </w:rPr>
        <w:t>。以友天下之</w:t>
      </w:r>
      <w:r w:rsidRPr="0055724E">
        <w:rPr>
          <w:rFonts w:ascii="Helvetica Neue" w:eastAsia="楷体" w:hAnsi="Helvetica Neue" w:cs="宋体"/>
          <w:b/>
          <w:bCs/>
          <w:color w:val="000000" w:themeColor="text1"/>
          <w:spacing w:val="8"/>
          <w:kern w:val="0"/>
          <w:sz w:val="28"/>
          <w:szCs w:val="23"/>
          <w:u w:val="single"/>
        </w:rPr>
        <w:t>善士</w:t>
      </w:r>
      <w:r w:rsidRPr="0055724E">
        <w:rPr>
          <w:rFonts w:ascii="Helvetica Neue" w:eastAsia="楷体" w:hAnsi="Helvetica Neue" w:cs="宋体"/>
          <w:color w:val="000000" w:themeColor="text1"/>
          <w:spacing w:val="8"/>
          <w:kern w:val="0"/>
          <w:sz w:val="28"/>
          <w:szCs w:val="23"/>
        </w:rPr>
        <w:t>爲未足，又尚論古之人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。《孟子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盡心上》</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晋人有馮婦者，</w:t>
      </w:r>
      <w:r w:rsidRPr="0055724E">
        <w:rPr>
          <w:rFonts w:ascii="Helvetica Neue" w:eastAsia="楷体" w:hAnsi="Helvetica Neue" w:cs="宋体"/>
          <w:color w:val="000000" w:themeColor="text1"/>
          <w:spacing w:val="8"/>
          <w:kern w:val="0"/>
          <w:sz w:val="28"/>
          <w:szCs w:val="23"/>
        </w:rPr>
        <w:lastRenderedPageBreak/>
        <w:t>善搏虎，卒爲</w:t>
      </w:r>
      <w:r w:rsidRPr="0055724E">
        <w:rPr>
          <w:rFonts w:ascii="Helvetica Neue" w:eastAsia="楷体" w:hAnsi="Helvetica Neue" w:cs="宋体"/>
          <w:b/>
          <w:bCs/>
          <w:color w:val="000000" w:themeColor="text1"/>
          <w:spacing w:val="8"/>
          <w:kern w:val="0"/>
          <w:sz w:val="28"/>
          <w:szCs w:val="23"/>
          <w:u w:val="single"/>
        </w:rPr>
        <w:t>善士</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；《荀子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哀公》記孔子答哀公之語</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所謂庸人者，口不能道善言，心不知邑邑；不知選賢人</w:t>
      </w:r>
      <w:r w:rsidRPr="0055724E">
        <w:rPr>
          <w:rFonts w:ascii="Helvetica Neue" w:eastAsia="楷体" w:hAnsi="Helvetica Neue" w:cs="宋体"/>
          <w:b/>
          <w:bCs/>
          <w:color w:val="000000" w:themeColor="text1"/>
          <w:spacing w:val="8"/>
          <w:kern w:val="0"/>
          <w:sz w:val="28"/>
          <w:szCs w:val="23"/>
        </w:rPr>
        <w:t>善士</w:t>
      </w:r>
      <w:r w:rsidRPr="0055724E">
        <w:rPr>
          <w:rFonts w:ascii="Helvetica Neue" w:eastAsia="楷体" w:hAnsi="Helvetica Neue" w:cs="宋体"/>
          <w:color w:val="000000" w:themeColor="text1"/>
          <w:spacing w:val="8"/>
          <w:kern w:val="0"/>
          <w:sz w:val="28"/>
          <w:szCs w:val="23"/>
        </w:rPr>
        <w:t>托其身焉以爲己憂</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。從文意看，上舉諸例中的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善士</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似皆指才德具備之士。</w:t>
      </w:r>
    </w:p>
    <w:p w14:paraId="187FD48A" w14:textId="77777777"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《莊子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徐無鬼》記管仲病重，齊桓公問管仲他死後是否可以讓鮑叔牙繼任，管仲對曰</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不可。其爲人潔廉</w:t>
      </w:r>
      <w:r w:rsidRPr="0055724E">
        <w:rPr>
          <w:rFonts w:ascii="Helvetica Neue" w:eastAsia="楷体" w:hAnsi="Helvetica Neue" w:cs="宋体"/>
          <w:b/>
          <w:bCs/>
          <w:color w:val="000000" w:themeColor="text1"/>
          <w:spacing w:val="8"/>
          <w:kern w:val="0"/>
          <w:sz w:val="28"/>
          <w:szCs w:val="23"/>
          <w:u w:val="single"/>
        </w:rPr>
        <w:t>善士</w:t>
      </w:r>
      <w:r w:rsidRPr="0055724E">
        <w:rPr>
          <w:rFonts w:ascii="Helvetica Neue" w:eastAsia="楷体" w:hAnsi="Helvetica Neue" w:cs="宋体"/>
          <w:color w:val="000000" w:themeColor="text1"/>
          <w:spacing w:val="8"/>
          <w:kern w:val="0"/>
          <w:sz w:val="28"/>
          <w:szCs w:val="23"/>
        </w:rPr>
        <w:t>也。其於不己若者不比之，又一聞人之過，終身不忘</w:t>
      </w:r>
      <w:r w:rsidRPr="0055724E">
        <w:rPr>
          <w:rFonts w:ascii="Helvetica Neue" w:eastAsia="楷体" w:hAnsi="Helvetica Neue" w:cs="宋体"/>
          <w:color w:val="000000" w:themeColor="text1"/>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此例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善士</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似偏重於指品德好。</w:t>
      </w:r>
    </w:p>
    <w:p w14:paraId="3515861E" w14:textId="567810C8"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先秦文獻中的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善臣</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之例我們只找到一條</w:t>
      </w:r>
      <w:r w:rsidRPr="00965627">
        <w:rPr>
          <w:rStyle w:val="ae"/>
          <w:rFonts w:ascii="Helvetica Neue" w:hAnsi="Helvetica Neue" w:cs="宋体"/>
          <w:color w:val="353736"/>
          <w:spacing w:val="8"/>
          <w:kern w:val="0"/>
          <w:sz w:val="28"/>
          <w:szCs w:val="23"/>
        </w:rPr>
        <w:endnoteReference w:id="142"/>
      </w:r>
      <w:r w:rsidRPr="0055724E">
        <w:rPr>
          <w:rFonts w:ascii="Helvetica Neue" w:hAnsi="Helvetica Neue" w:cs="宋体"/>
          <w:color w:val="353736"/>
          <w:spacing w:val="8"/>
          <w:kern w:val="0"/>
          <w:sz w:val="28"/>
          <w:szCs w:val="23"/>
        </w:rPr>
        <w:t>，上博簡《命》篇記葉公子高之語：</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吾聞古之</w:t>
      </w:r>
      <w:r w:rsidRPr="0055724E">
        <w:rPr>
          <w:rFonts w:ascii="Helvetica Neue" w:eastAsia="楷体" w:hAnsi="Helvetica Neue" w:cs="宋体"/>
          <w:b/>
          <w:bCs/>
          <w:color w:val="000000" w:themeColor="text1"/>
          <w:spacing w:val="8"/>
          <w:kern w:val="0"/>
          <w:sz w:val="28"/>
          <w:szCs w:val="23"/>
          <w:u w:val="single"/>
        </w:rPr>
        <w:t>善臣</w:t>
      </w:r>
      <w:r w:rsidRPr="0055724E">
        <w:rPr>
          <w:rFonts w:ascii="Helvetica Neue" w:eastAsia="楷体" w:hAnsi="Helvetica Neue" w:cs="宋体"/>
          <w:color w:val="000000" w:themeColor="text1"/>
          <w:spacing w:val="8"/>
          <w:kern w:val="0"/>
          <w:sz w:val="28"/>
          <w:szCs w:val="23"/>
        </w:rPr>
        <w:t>也，不以私惠私怨入於王門。</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18"/>
          <w:szCs w:val="18"/>
        </w:rPr>
        <w:t>（簡</w:t>
      </w:r>
      <w:r w:rsidR="00687FDE" w:rsidRPr="00687FDE">
        <w:rPr>
          <w:rFonts w:hAnsi="Helvetica Neue" w:cs="宋体"/>
          <w:color w:val="353736"/>
          <w:spacing w:val="8"/>
          <w:kern w:val="0"/>
          <w:sz w:val="18"/>
          <w:szCs w:val="18"/>
        </w:rPr>
        <w:t>4</w:t>
      </w:r>
      <w:r w:rsidRPr="0055724E">
        <w:rPr>
          <w:rFonts w:ascii="Helvetica Neue" w:hAnsi="Helvetica Neue" w:cs="宋体"/>
          <w:color w:val="353736"/>
          <w:spacing w:val="8"/>
          <w:kern w:val="0"/>
          <w:sz w:val="18"/>
          <w:szCs w:val="18"/>
        </w:rPr>
        <w:t>—</w:t>
      </w:r>
      <w:r w:rsidR="00687FDE" w:rsidRPr="00687FDE">
        <w:rPr>
          <w:rFonts w:hAnsi="Helvetica Neue" w:cs="宋体"/>
          <w:color w:val="353736"/>
          <w:spacing w:val="8"/>
          <w:kern w:val="0"/>
          <w:sz w:val="18"/>
          <w:szCs w:val="18"/>
        </w:rPr>
        <w:t>5</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28"/>
          <w:szCs w:val="23"/>
        </w:rPr>
        <w:t>從文意看，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善臣</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應指才德具備的賢臣。</w:t>
      </w:r>
    </w:p>
    <w:p w14:paraId="0DB0E57A" w14:textId="16132A72" w:rsidR="009F4F5A" w:rsidRPr="0055724E" w:rsidRDefault="00687FDE" w:rsidP="00445DA3">
      <w:pPr>
        <w:widowControl/>
        <w:spacing w:beforeLines="50" w:before="180" w:line="480" w:lineRule="auto"/>
        <w:ind w:firstLine="480"/>
        <w:rPr>
          <w:rFonts w:ascii="Helvetica Neue" w:hAnsi="Helvetica Neue" w:cs="宋体"/>
          <w:color w:val="616161"/>
          <w:spacing w:val="8"/>
          <w:kern w:val="0"/>
          <w:sz w:val="28"/>
          <w:szCs w:val="24"/>
        </w:rPr>
      </w:pPr>
      <w:r w:rsidRPr="00687FDE">
        <w:rPr>
          <w:rFonts w:hAnsi="Helvetica Neue" w:cs="宋体"/>
          <w:b/>
          <w:bCs/>
          <w:color w:val="353736"/>
          <w:spacing w:val="8"/>
          <w:kern w:val="0"/>
          <w:sz w:val="28"/>
          <w:szCs w:val="23"/>
        </w:rPr>
        <w:t>3</w:t>
      </w:r>
      <w:r w:rsidR="009F4F5A" w:rsidRPr="0055724E">
        <w:rPr>
          <w:rFonts w:ascii="Helvetica Neue" w:hAnsi="Helvetica Neue" w:cs="宋体"/>
          <w:b/>
          <w:bCs/>
          <w:color w:val="353736"/>
          <w:spacing w:val="8"/>
          <w:kern w:val="0"/>
          <w:sz w:val="28"/>
          <w:szCs w:val="23"/>
        </w:rPr>
        <w:t>.</w:t>
      </w:r>
    </w:p>
    <w:p w14:paraId="56602873" w14:textId="3D7BE033"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在以</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君子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稱品德、修養好的人的用法通行以後，以</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君子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指貴族統治階層的用法仍然存在</w:t>
      </w:r>
      <w:r w:rsidRPr="00965627">
        <w:rPr>
          <w:rStyle w:val="ae"/>
          <w:rFonts w:ascii="Helvetica Neue" w:hAnsi="Helvetica Neue" w:cs="宋体"/>
          <w:color w:val="353736"/>
          <w:spacing w:val="8"/>
          <w:kern w:val="0"/>
          <w:sz w:val="28"/>
          <w:szCs w:val="23"/>
        </w:rPr>
        <w:endnoteReference w:id="143"/>
      </w:r>
      <w:r w:rsidRPr="0055724E">
        <w:rPr>
          <w:rFonts w:ascii="Helvetica Neue" w:hAnsi="Helvetica Neue" w:cs="宋体"/>
          <w:color w:val="353736"/>
          <w:spacing w:val="8"/>
          <w:kern w:val="0"/>
          <w:sz w:val="28"/>
          <w:szCs w:val="23"/>
        </w:rPr>
        <w:t>。春秋時代重視</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品德的風氣興起以後，</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字當聰明通達一類意思講的用法以及</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18"/>
          <w:szCs w:val="18"/>
        </w:rPr>
        <w:t>（包括指</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聖人</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的</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聖</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28"/>
          <w:szCs w:val="23"/>
        </w:rPr>
        <w:t>當聰明通達的人一類意思講的用法也都仍然存在</w:t>
      </w:r>
      <w:r w:rsidRPr="00965627">
        <w:rPr>
          <w:rStyle w:val="ae"/>
          <w:rFonts w:ascii="Helvetica Neue" w:hAnsi="Helvetica Neue" w:cs="宋体"/>
          <w:color w:val="353736"/>
          <w:spacing w:val="8"/>
          <w:kern w:val="0"/>
          <w:sz w:val="28"/>
          <w:szCs w:val="23"/>
        </w:rPr>
        <w:endnoteReference w:id="144"/>
      </w:r>
      <w:r w:rsidRPr="0055724E">
        <w:rPr>
          <w:rFonts w:ascii="Helvetica Neue" w:hAnsi="Helvetica Neue" w:cs="宋体"/>
          <w:color w:val="353736"/>
          <w:spacing w:val="8"/>
          <w:kern w:val="0"/>
          <w:sz w:val="28"/>
          <w:szCs w:val="23"/>
        </w:rPr>
        <w:t>。在以</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稱才德具備之人的用法通行以後，似乎也還存在以</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18"/>
          <w:szCs w:val="18"/>
        </w:rPr>
        <w:t>（包括指</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善人</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的</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善</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28"/>
          <w:szCs w:val="23"/>
        </w:rPr>
        <w:t>指有能力、能幹的人的用法。我們注意到的有</w:t>
      </w:r>
      <w:r w:rsidRPr="0055724E">
        <w:rPr>
          <w:rFonts w:ascii="Helvetica Neue" w:hAnsi="Helvetica Neue" w:cs="宋体"/>
          <w:color w:val="353736"/>
          <w:spacing w:val="8"/>
          <w:kern w:val="0"/>
          <w:sz w:val="28"/>
          <w:szCs w:val="23"/>
        </w:rPr>
        <w:lastRenderedPageBreak/>
        <w:t>《左傳</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襄公二十九年》</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好善而不能擇人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一例，以及見於清華簡《治邦之道》中的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之例。</w:t>
      </w:r>
    </w:p>
    <w:p w14:paraId="14AA5764" w14:textId="107DAF33"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《左傳</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襄公二十九年》：</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吴公子札來聘，見叔孫穆子，説之，謂穆子曰：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子其不得死乎，</w:t>
      </w:r>
      <w:r w:rsidRPr="0055724E">
        <w:rPr>
          <w:rFonts w:ascii="Helvetica Neue" w:eastAsia="楷体" w:hAnsi="Helvetica Neue" w:cs="宋体"/>
          <w:b/>
          <w:bCs/>
          <w:color w:val="000000" w:themeColor="text1"/>
          <w:spacing w:val="8"/>
          <w:kern w:val="0"/>
          <w:sz w:val="28"/>
          <w:szCs w:val="23"/>
          <w:u w:val="single"/>
        </w:rPr>
        <w:t>好善而不能擇人</w:t>
      </w:r>
      <w:r w:rsidRPr="0055724E">
        <w:rPr>
          <w:rFonts w:ascii="Helvetica Neue" w:eastAsia="楷体" w:hAnsi="Helvetica Neue" w:cs="宋体"/>
          <w:color w:val="000000" w:themeColor="text1"/>
          <w:spacing w:val="8"/>
          <w:kern w:val="0"/>
          <w:sz w:val="28"/>
          <w:szCs w:val="23"/>
        </w:rPr>
        <w:t>。吾聞君子務在擇人。吾子爲魯宗卿而任其大政，不慎舉，何以堪之，禍必及子。</w:t>
      </w:r>
      <w:r w:rsidRPr="0055724E">
        <w:rPr>
          <w:rFonts w:ascii="Helvetica Neue" w:eastAsia="楷体" w:hAnsi="Helvetica Neue" w:cs="宋体"/>
          <w:color w:val="000000" w:themeColor="text1"/>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前面講</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時引過的季札觀樂一段話緊接在上引文之後，《左傳</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襄公二十九年》在季札聘魯這一段只記了他跟叔孫穆子所説的這段話和觀樂之後的那些評論，以此顯示季札見識之高。杜注認爲此段文字</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爲昭四年豎牛作亂起本</w:t>
      </w:r>
      <w:r w:rsidRPr="0055724E">
        <w:rPr>
          <w:rFonts w:ascii="Helvetica Neue" w:hAnsi="Helvetica Neue" w:cs="宋体"/>
          <w:color w:val="353736"/>
          <w:spacing w:val="8"/>
          <w:kern w:val="0"/>
          <w:sz w:val="28"/>
          <w:szCs w:val="23"/>
        </w:rPr>
        <w:t>”</w:t>
      </w:r>
      <w:r w:rsidRPr="00965627">
        <w:rPr>
          <w:rStyle w:val="ae"/>
          <w:rFonts w:ascii="Helvetica Neue" w:hAnsi="Helvetica Neue" w:cs="宋体"/>
          <w:color w:val="353736"/>
          <w:spacing w:val="8"/>
          <w:kern w:val="0"/>
          <w:sz w:val="28"/>
          <w:szCs w:val="23"/>
        </w:rPr>
        <w:endnoteReference w:id="145"/>
      </w:r>
      <w:r w:rsidRPr="0055724E">
        <w:rPr>
          <w:rFonts w:ascii="Helvetica Neue" w:hAnsi="Helvetica Neue" w:cs="宋体"/>
          <w:color w:val="353736"/>
          <w:spacing w:val="8"/>
          <w:kern w:val="0"/>
          <w:sz w:val="28"/>
          <w:szCs w:val="23"/>
        </w:rPr>
        <w:t>。叔孫穆子愛其在外所生的私生子（即豎牛），任以家政，穆子病，豎牛隔絶他與外界的聯繫，將他活活餓死。杜注之所以這麼説，蓋因他認爲季札第一句話</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子其不得死乎</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就是預言穆子將爲豎牛餓死。其實季札初次與穆子見面就説</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子其不得死乎</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是不合理的，而且季札後面説</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吾子爲魯宗卿而任其大政，不慎舉，何以堪之，禍必及子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，應該是指他如果不能正確擇人以治理國政，就會遭到災禍，豎牛的身份也與此不合。疑</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其不得死乎</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五字是有人想將季札之言與豎牛之事相牽合而有意竄入的。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子好善而不能擇人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字應指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，但用的是</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字的早期意義，指有能力的、能幹的人。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好善而不能擇人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lastRenderedPageBreak/>
        <w:t>意謂他不能選擇既有能力品德又好的人。這跟春秋時人認爲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應該才德具備是完全一致的。</w:t>
      </w:r>
    </w:p>
    <w:p w14:paraId="75EE29D7" w14:textId="4B47431E"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清華簡第八册有《治邦之道》篇，第九册有《治政之道》篇，《治政之道》篇整理者（李守奎）指出該篇與第八册的《治邦之道》</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編痕一致，文意貫通，應是首尾完整的一篇</w:t>
      </w:r>
      <w:r w:rsidRPr="0055724E">
        <w:rPr>
          <w:rFonts w:ascii="Helvetica Neue" w:hAnsi="Helvetica Neue" w:cs="宋体"/>
          <w:color w:val="353736"/>
          <w:spacing w:val="8"/>
          <w:kern w:val="0"/>
          <w:sz w:val="28"/>
          <w:szCs w:val="23"/>
        </w:rPr>
        <w:t>”</w:t>
      </w:r>
      <w:r w:rsidRPr="00965627">
        <w:rPr>
          <w:rStyle w:val="ae"/>
          <w:rFonts w:ascii="Helvetica Neue" w:hAnsi="Helvetica Neue" w:cs="宋体"/>
          <w:color w:val="353736"/>
          <w:spacing w:val="8"/>
          <w:kern w:val="0"/>
          <w:sz w:val="28"/>
          <w:szCs w:val="23"/>
        </w:rPr>
        <w:endnoteReference w:id="146"/>
      </w:r>
      <w:r w:rsidRPr="0055724E">
        <w:rPr>
          <w:rFonts w:ascii="Helvetica Neue" w:hAnsi="Helvetica Neue" w:cs="宋体"/>
          <w:color w:val="353736"/>
          <w:spacing w:val="8"/>
          <w:kern w:val="0"/>
          <w:sz w:val="28"/>
          <w:szCs w:val="23"/>
        </w:rPr>
        <w:t>。以下在没有必要的時候統稱兩篇爲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《治》</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。《治》篇應是戰國早期的作品</w:t>
      </w:r>
      <w:r w:rsidRPr="00965627">
        <w:rPr>
          <w:rStyle w:val="ae"/>
          <w:rFonts w:ascii="Helvetica Neue" w:hAnsi="Helvetica Neue" w:cs="宋体"/>
          <w:color w:val="353736"/>
          <w:spacing w:val="8"/>
          <w:kern w:val="0"/>
          <w:sz w:val="28"/>
          <w:szCs w:val="23"/>
        </w:rPr>
        <w:endnoteReference w:id="147"/>
      </w:r>
      <w:r w:rsidRPr="0055724E">
        <w:rPr>
          <w:rFonts w:ascii="Helvetica Neue" w:hAnsi="Helvetica Neue" w:cs="宋体"/>
          <w:color w:val="353736"/>
          <w:spacing w:val="8"/>
          <w:kern w:val="0"/>
          <w:sz w:val="28"/>
          <w:szCs w:val="23"/>
        </w:rPr>
        <w:t>，此篇作者認爲爲君者不能耽於逸樂，應該掌握治道，搞好與百姓、四鄰的關係，這樣才能使自己的地位鞏固，國家安定。掌握治道的關鍵在於任用得人，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興</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廢</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有度，</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興</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就是提拔任用有智能的有用之人，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廢</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就是黜退無用甚至有害之人。《治》篇提到了黃帝，推崇他能通達天下之情，但從未提到堯舜，有一處把君臣關係比喻爲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市賈之交易</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，這是與儒墨兩家截然不同的。</w:t>
      </w:r>
    </w:p>
    <w:p w14:paraId="32E59F36" w14:textId="77777777"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《治》篇中四次提到</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18"/>
          <w:szCs w:val="18"/>
        </w:rPr>
        <w:t>（皆出現在編在第八册中的《治邦之道》篇中）</w:t>
      </w:r>
      <w:r w:rsidRPr="0055724E">
        <w:rPr>
          <w:rFonts w:ascii="Helvetica Neue" w:hAnsi="Helvetica Neue" w:cs="宋体"/>
          <w:color w:val="353736"/>
          <w:spacing w:val="8"/>
          <w:kern w:val="0"/>
          <w:sz w:val="28"/>
          <w:szCs w:val="23"/>
        </w:rPr>
        <w:t>：</w:t>
      </w:r>
    </w:p>
    <w:p w14:paraId="28330073" w14:textId="1431A232"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1</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彼</w:t>
      </w:r>
      <w:r w:rsidRPr="0055724E">
        <w:rPr>
          <w:rFonts w:ascii="Helvetica Neue" w:eastAsia="楷体" w:hAnsi="Helvetica Neue" w:cs="宋体"/>
          <w:b/>
          <w:bCs/>
          <w:color w:val="000000" w:themeColor="text1"/>
          <w:spacing w:val="8"/>
          <w:kern w:val="0"/>
          <w:sz w:val="28"/>
          <w:szCs w:val="23"/>
          <w:u w:val="single"/>
        </w:rPr>
        <w:t>善人</w:t>
      </w:r>
      <w:r w:rsidRPr="0055724E">
        <w:rPr>
          <w:rFonts w:ascii="Helvetica Neue" w:eastAsia="楷体" w:hAnsi="Helvetica Neue" w:cs="宋体"/>
          <w:color w:val="000000" w:themeColor="text1"/>
          <w:spacing w:val="8"/>
          <w:kern w:val="0"/>
          <w:sz w:val="28"/>
          <w:szCs w:val="23"/>
        </w:rPr>
        <w:t>之欲達，亦若上之欲</w:t>
      </w:r>
      <w:r w:rsidRPr="0055724E">
        <w:rPr>
          <w:rFonts w:ascii="Helvetica Neue" w:eastAsia="楷体" w:hAnsi="Helvetica Neue" w:cs="宋体"/>
          <w:b/>
          <w:bCs/>
          <w:color w:val="000000" w:themeColor="text1"/>
          <w:spacing w:val="8"/>
          <w:kern w:val="0"/>
          <w:sz w:val="28"/>
          <w:szCs w:val="23"/>
          <w:u w:val="single"/>
        </w:rPr>
        <w:t>善人</w:t>
      </w:r>
      <w:r w:rsidRPr="0055724E">
        <w:rPr>
          <w:rFonts w:ascii="Helvetica Neue" w:eastAsia="楷体" w:hAnsi="Helvetica Neue" w:cs="宋体"/>
          <w:color w:val="000000" w:themeColor="text1"/>
          <w:spacing w:val="8"/>
          <w:kern w:val="0"/>
          <w:sz w:val="28"/>
          <w:szCs w:val="23"/>
        </w:rPr>
        <w:t>，侯亂正是御之。故求</w:t>
      </w:r>
      <w:r w:rsidRPr="0055724E">
        <w:rPr>
          <w:rFonts w:ascii="Helvetica Neue" w:eastAsia="楷体" w:hAnsi="Helvetica Neue" w:cs="宋体"/>
          <w:b/>
          <w:bCs/>
          <w:color w:val="000000" w:themeColor="text1"/>
          <w:spacing w:val="8"/>
          <w:kern w:val="0"/>
          <w:sz w:val="28"/>
          <w:szCs w:val="23"/>
          <w:u w:val="single"/>
        </w:rPr>
        <w:t>善人</w:t>
      </w:r>
      <w:r w:rsidRPr="0055724E">
        <w:rPr>
          <w:rFonts w:ascii="Helvetica Neue" w:eastAsia="楷体" w:hAnsi="Helvetica Neue" w:cs="宋体"/>
          <w:color w:val="000000" w:themeColor="text1"/>
          <w:spacing w:val="8"/>
          <w:kern w:val="0"/>
          <w:sz w:val="28"/>
          <w:szCs w:val="23"/>
        </w:rPr>
        <w:t>，必從</w:t>
      </w: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7</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身始，詰其行，變其正</w:t>
      </w:r>
      <w:r w:rsidRPr="0055724E">
        <w:rPr>
          <w:rFonts w:ascii="Helvetica Neue" w:eastAsia="楷体" w:hAnsi="Helvetica Neue" w:cs="宋体"/>
          <w:color w:val="000000" w:themeColor="text1"/>
          <w:spacing w:val="8"/>
          <w:kern w:val="0"/>
          <w:sz w:val="28"/>
          <w:szCs w:val="23"/>
        </w:rPr>
        <w:t>……</w:t>
      </w: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8</w:t>
      </w:r>
      <w:r w:rsidRPr="0055724E">
        <w:rPr>
          <w:rFonts w:ascii="Helvetica Neue" w:hAnsi="Helvetica Neue" w:cs="宋体"/>
          <w:color w:val="353736"/>
          <w:spacing w:val="8"/>
          <w:kern w:val="0"/>
          <w:sz w:val="28"/>
          <w:szCs w:val="23"/>
        </w:rPr>
        <w:t>】</w:t>
      </w:r>
    </w:p>
    <w:p w14:paraId="20192428" w14:textId="3D5BA3BD"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2</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故興</w:t>
      </w:r>
      <w:r w:rsidRPr="0055724E">
        <w:rPr>
          <w:rFonts w:ascii="Helvetica Neue" w:eastAsia="楷体" w:hAnsi="Helvetica Neue" w:cs="宋体"/>
          <w:b/>
          <w:bCs/>
          <w:color w:val="000000" w:themeColor="text1"/>
          <w:spacing w:val="8"/>
          <w:kern w:val="0"/>
          <w:sz w:val="28"/>
          <w:szCs w:val="23"/>
          <w:u w:val="single"/>
        </w:rPr>
        <w:t>善人</w:t>
      </w:r>
      <w:r w:rsidRPr="0055724E">
        <w:rPr>
          <w:rFonts w:ascii="Helvetica Neue" w:eastAsia="楷体" w:hAnsi="Helvetica Neue" w:cs="宋体"/>
          <w:color w:val="000000" w:themeColor="text1"/>
          <w:spacing w:val="8"/>
          <w:kern w:val="0"/>
          <w:sz w:val="28"/>
          <w:szCs w:val="23"/>
        </w:rPr>
        <w:t>，必熟問其行，安觀其貌，安聽其辭。既聞其辭，安小穀其事，以程其功。如可，以佐身相家。</w:t>
      </w: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17</w:t>
      </w:r>
      <w:r w:rsidRPr="0055724E">
        <w:rPr>
          <w:rFonts w:ascii="Helvetica Neue" w:hAnsi="Helvetica Neue" w:cs="宋体"/>
          <w:color w:val="353736"/>
          <w:spacing w:val="8"/>
          <w:kern w:val="0"/>
          <w:sz w:val="28"/>
          <w:szCs w:val="23"/>
        </w:rPr>
        <w:t>】</w:t>
      </w:r>
    </w:p>
    <w:p w14:paraId="5658AF1D" w14:textId="6EAC9B1E"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lastRenderedPageBreak/>
        <w:t>《治》篇中</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字屢見</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聖人</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一詞</w:t>
      </w:r>
      <w:r w:rsidR="00687FDE" w:rsidRPr="00687FDE">
        <w:rPr>
          <w:rFonts w:hAnsi="Helvetica Neue" w:cs="宋体"/>
          <w:color w:val="353736"/>
          <w:spacing w:val="8"/>
          <w:kern w:val="0"/>
          <w:sz w:val="18"/>
          <w:szCs w:val="18"/>
        </w:rPr>
        <w:t>10</w:t>
      </w:r>
      <w:r w:rsidRPr="0055724E">
        <w:rPr>
          <w:rFonts w:ascii="Helvetica Neue" w:hAnsi="Helvetica Neue" w:cs="宋体"/>
          <w:color w:val="353736"/>
          <w:spacing w:val="8"/>
          <w:kern w:val="0"/>
          <w:sz w:val="18"/>
          <w:szCs w:val="18"/>
        </w:rPr>
        <w:t>見</w:t>
      </w:r>
      <w:r w:rsidRPr="0055724E">
        <w:rPr>
          <w:rFonts w:ascii="Helvetica Neue" w:hAnsi="Helvetica Neue" w:cs="宋体"/>
          <w:color w:val="353736"/>
          <w:spacing w:val="8"/>
          <w:kern w:val="0"/>
          <w:sz w:val="28"/>
          <w:szCs w:val="23"/>
        </w:rPr>
        <w:t>），在討論此篇中</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的用法之前，有必要先來考察一下篇中</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字的用法。李守奎《清華簡〈治政之道〉的治政理念與文本的幾個問題》對《治》篇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的用法有所討論，他根據</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黃帝不出門檐以知四海之外，是鄉有聖人，必知之；是鄉有暴民，必知之。故天下之賢民皆興，而盜賊無所中朝立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之文指出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僅僅是鄉中與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暴民</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相對應的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賢民</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而已，是由四佐之類的佐臣發現並被舉用的地方賢才</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，又根據</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昔之爲百姓牧以臨民之中者，必敬戒毋倦，以闢此難，没身免世，患難不臻，此之曰聖人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之文指出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這個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已經上升到治理國家的位置上了</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，最後總結説</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聖人似乎是不分層級的聰明才幹之人的統稱</w:t>
      </w:r>
      <w:r w:rsidRPr="0055724E">
        <w:rPr>
          <w:rFonts w:ascii="Helvetica Neue" w:hAnsi="Helvetica Neue" w:cs="宋体"/>
          <w:color w:val="353736"/>
          <w:spacing w:val="8"/>
          <w:kern w:val="0"/>
          <w:sz w:val="28"/>
          <w:szCs w:val="23"/>
        </w:rPr>
        <w:t>”</w:t>
      </w:r>
      <w:r w:rsidRPr="00965627">
        <w:rPr>
          <w:rStyle w:val="ae"/>
          <w:rFonts w:ascii="Helvetica Neue" w:hAnsi="Helvetica Neue" w:cs="宋体"/>
          <w:color w:val="353736"/>
          <w:spacing w:val="8"/>
          <w:kern w:val="0"/>
          <w:sz w:val="28"/>
          <w:szCs w:val="23"/>
        </w:rPr>
        <w:endnoteReference w:id="148"/>
      </w:r>
      <w:r w:rsidRPr="0055724E">
        <w:rPr>
          <w:rFonts w:ascii="Helvetica Neue" w:hAnsi="Helvetica Neue" w:cs="宋体"/>
          <w:color w:val="353736"/>
          <w:spacing w:val="8"/>
          <w:kern w:val="0"/>
          <w:sz w:val="28"/>
          <w:szCs w:val="23"/>
        </w:rPr>
        <w:t>。他的分析值得重視。《治》篇中還有</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聖士</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聖君</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之稱：</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彼天下之鋭士之遠在下位而不由者，愈自固以悲怨之。彼聖士之不由，譬之猶歲之不時</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故宅寓不理，以待明王聖君之立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聖士</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句與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鋭士</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句並列，</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鋭士</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應指才力過人之士，</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聖士</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應指智力過人之士；</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明王聖君</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之語中，</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聖君</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置於</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明王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之後，</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顯然並無比</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明</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高一等的含義，其義當與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明智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相近。《治》篇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字單用之例中有一例很值得注意：</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彼上</w:t>
      </w:r>
      <w:r w:rsidRPr="0055724E">
        <w:rPr>
          <w:rFonts w:ascii="Helvetica Neue" w:hAnsi="Helvetica Neue" w:cs="宋体"/>
          <w:color w:val="353736"/>
          <w:spacing w:val="8"/>
          <w:kern w:val="0"/>
          <w:sz w:val="18"/>
          <w:szCs w:val="18"/>
        </w:rPr>
        <w:t>（按：此</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上</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字與下</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眾</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字爲對文，指統治者）</w:t>
      </w:r>
      <w:r w:rsidRPr="0055724E">
        <w:rPr>
          <w:rFonts w:ascii="Helvetica Neue" w:hAnsi="Helvetica Neue" w:cs="宋体"/>
          <w:color w:val="353736"/>
          <w:spacing w:val="8"/>
          <w:kern w:val="0"/>
          <w:sz w:val="28"/>
          <w:szCs w:val="23"/>
        </w:rPr>
        <w:t>聖則</w:t>
      </w:r>
      <w:r w:rsidRPr="0055724E">
        <w:rPr>
          <w:rFonts w:ascii="Helvetica Neue" w:hAnsi="Helvetica Neue" w:cs="宋体"/>
          <w:color w:val="353736"/>
          <w:spacing w:val="8"/>
          <w:kern w:val="0"/>
          <w:sz w:val="18"/>
          <w:szCs w:val="18"/>
        </w:rPr>
        <w:t>（此</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則</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字應訓爲</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而</w:t>
      </w:r>
      <w:r w:rsidRPr="0055724E">
        <w:rPr>
          <w:rFonts w:ascii="Helvetica Neue" w:hAnsi="Helvetica Neue" w:cs="宋体"/>
          <w:color w:val="353736"/>
          <w:spacing w:val="8"/>
          <w:kern w:val="0"/>
          <w:sz w:val="18"/>
          <w:szCs w:val="18"/>
        </w:rPr>
        <w:t>’</w:t>
      </w:r>
      <w:r>
        <w:rPr>
          <w:rStyle w:val="ae"/>
          <w:rFonts w:ascii="Helvetica Neue" w:hAnsi="Helvetica Neue" w:cs="宋体"/>
          <w:color w:val="353736"/>
          <w:spacing w:val="8"/>
          <w:kern w:val="0"/>
          <w:sz w:val="18"/>
          <w:szCs w:val="18"/>
        </w:rPr>
        <w:endnoteReference w:id="149"/>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28"/>
          <w:szCs w:val="23"/>
        </w:rPr>
        <w:t>眾愚疲</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疲</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當訓爲</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弱</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lastRenderedPageBreak/>
        <w:t>或</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無能</w:t>
      </w:r>
      <w:r w:rsidRPr="0055724E">
        <w:rPr>
          <w:rFonts w:ascii="Helvetica Neue" w:hAnsi="Helvetica Neue" w:cs="宋体"/>
          <w:color w:val="353736"/>
          <w:spacing w:val="8"/>
          <w:kern w:val="0"/>
          <w:sz w:val="18"/>
          <w:szCs w:val="18"/>
        </w:rPr>
        <w:t>’</w:t>
      </w:r>
      <w:r>
        <w:rPr>
          <w:rStyle w:val="ae"/>
          <w:rFonts w:ascii="Helvetica Neue" w:hAnsi="Helvetica Neue" w:cs="宋体"/>
          <w:color w:val="353736"/>
          <w:spacing w:val="8"/>
          <w:kern w:val="0"/>
          <w:sz w:val="18"/>
          <w:szCs w:val="18"/>
        </w:rPr>
        <w:endnoteReference w:id="150"/>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28"/>
          <w:szCs w:val="23"/>
        </w:rPr>
        <w:t>，愚疲則聞命（猶言</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聽命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），聞命則服以可用。</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此</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字很明顯當聰明通達一類意思講，與品德毫無關係。總之，此篇中的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字用法是很近古的。</w:t>
      </w:r>
    </w:p>
    <w:p w14:paraId="5504F540" w14:textId="22E4A3D4"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從本篇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字的用法看，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的用法也應該是較古的。從簡文文意看，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應指有能力治國理政、能把治國理政之事做好的人。上引第（</w:t>
      </w:r>
      <w:r w:rsidR="00687FDE" w:rsidRPr="00687FDE">
        <w:rPr>
          <w:rFonts w:hAnsi="Helvetica Neue" w:cs="宋体"/>
          <w:color w:val="353736"/>
          <w:spacing w:val="8"/>
          <w:kern w:val="0"/>
          <w:sz w:val="28"/>
          <w:szCs w:val="23"/>
        </w:rPr>
        <w:t>1</w:t>
      </w:r>
      <w:r w:rsidRPr="0055724E">
        <w:rPr>
          <w:rFonts w:ascii="Helvetica Neue" w:hAnsi="Helvetica Neue" w:cs="宋体"/>
          <w:color w:val="353736"/>
          <w:spacing w:val="8"/>
          <w:kern w:val="0"/>
          <w:sz w:val="28"/>
          <w:szCs w:val="23"/>
        </w:rPr>
        <w:t>）例中</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侯亂正是御之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一句，整理者注釋中的意見似不可取，需要先解釋一下。句首語詞</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侯</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，古人多訓爲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維</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，如《詩</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小雅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六月》</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侯誰在矣</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毛《傳》：</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侯，維也。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正</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，整理者讀爲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政</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是正確的，但把</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亂</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字訓爲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治</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則不可信，</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亂政</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即昏亂之政。</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是</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應讀爲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寔</w:t>
      </w:r>
      <w:r w:rsidRPr="0055724E">
        <w:rPr>
          <w:rFonts w:ascii="Helvetica Neue" w:hAnsi="Helvetica Neue" w:cs="宋体"/>
          <w:color w:val="353736"/>
          <w:spacing w:val="8"/>
          <w:kern w:val="0"/>
          <w:sz w:val="28"/>
          <w:szCs w:val="23"/>
        </w:rPr>
        <w:t>”</w:t>
      </w:r>
      <w:r w:rsidRPr="00965627">
        <w:rPr>
          <w:rStyle w:val="ae"/>
          <w:rFonts w:ascii="Helvetica Neue" w:hAnsi="Helvetica Neue" w:cs="宋体"/>
          <w:color w:val="353736"/>
          <w:spacing w:val="8"/>
          <w:kern w:val="0"/>
          <w:sz w:val="28"/>
          <w:szCs w:val="23"/>
        </w:rPr>
        <w:endnoteReference w:id="151"/>
      </w:r>
      <w:r w:rsidRPr="0055724E">
        <w:rPr>
          <w:rFonts w:ascii="Helvetica Neue" w:hAnsi="Helvetica Neue" w:cs="宋体"/>
          <w:color w:val="353736"/>
          <w:spacing w:val="8"/>
          <w:kern w:val="0"/>
          <w:sz w:val="28"/>
          <w:szCs w:val="23"/>
        </w:rPr>
        <w:t>，表强調。</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御</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應讀爲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禦</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，是抵禦、擋住的意思。簡文此段是説</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想被擢用，爲上者想求得</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，他們本是相互需要的，但是不好的政治情況在中間把他們擋住了，所以爲上者如要求得</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，必須先從自己做起，把政治情況改善。這裏所説的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是有待擢用的有能力治國理政之人。第（</w:t>
      </w:r>
      <w:r w:rsidR="00687FDE" w:rsidRPr="00687FDE">
        <w:rPr>
          <w:rFonts w:hAnsi="Helvetica Neue" w:cs="宋体"/>
          <w:color w:val="353736"/>
          <w:spacing w:val="8"/>
          <w:kern w:val="0"/>
          <w:sz w:val="28"/>
          <w:szCs w:val="23"/>
        </w:rPr>
        <w:t>2</w:t>
      </w:r>
      <w:r w:rsidRPr="0055724E">
        <w:rPr>
          <w:rFonts w:ascii="Helvetica Neue" w:hAnsi="Helvetica Neue" w:cs="宋体"/>
          <w:color w:val="353736"/>
          <w:spacing w:val="8"/>
          <w:kern w:val="0"/>
          <w:sz w:val="28"/>
          <w:szCs w:val="23"/>
        </w:rPr>
        <w:t>）例中的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，其身份與第（</w:t>
      </w:r>
      <w:r w:rsidR="00687FDE" w:rsidRPr="00687FDE">
        <w:rPr>
          <w:rFonts w:hAnsi="Helvetica Neue" w:cs="宋体"/>
          <w:color w:val="353736"/>
          <w:spacing w:val="8"/>
          <w:kern w:val="0"/>
          <w:sz w:val="28"/>
          <w:szCs w:val="23"/>
        </w:rPr>
        <w:t>1</w:t>
      </w:r>
      <w:r w:rsidRPr="0055724E">
        <w:rPr>
          <w:rFonts w:ascii="Helvetica Neue" w:hAnsi="Helvetica Neue" w:cs="宋体"/>
          <w:color w:val="353736"/>
          <w:spacing w:val="8"/>
          <w:kern w:val="0"/>
          <w:sz w:val="28"/>
          <w:szCs w:val="23"/>
        </w:rPr>
        <w:t>）例所説的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相同。《周禮</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地官</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鄉大夫》：</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三年則大比，考其德行道藝，而興賢者能者。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簡文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興善人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興</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與《鄉大夫》</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興賢者能者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興</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同義，</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興善人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當指從尚未從政的百姓中選拔有能力治國理政之人。簡文主張對</w:t>
      </w:r>
      <w:r w:rsidRPr="0055724E">
        <w:rPr>
          <w:rFonts w:ascii="Helvetica Neue" w:hAnsi="Helvetica Neue" w:cs="宋体"/>
          <w:color w:val="353736"/>
          <w:spacing w:val="8"/>
          <w:kern w:val="0"/>
          <w:sz w:val="28"/>
          <w:szCs w:val="23"/>
        </w:rPr>
        <w:lastRenderedPageBreak/>
        <w:t>被</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興</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要嚴加考核，確實合乎條件，才能讓他們擔任重要的職務。</w:t>
      </w:r>
    </w:p>
    <w:p w14:paraId="7E5D9005" w14:textId="77777777"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我們前面講單用的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字的用法時舉過的清華簡《子產》篇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由善用聖</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句中的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和</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，與本篇的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意義基本相同。</w:t>
      </w:r>
    </w:p>
    <w:p w14:paraId="34B41D2B" w14:textId="26F0CA36" w:rsidR="009F4F5A" w:rsidRDefault="009F4F5A" w:rsidP="00445DA3">
      <w:pPr>
        <w:widowControl/>
        <w:spacing w:beforeLines="50" w:before="180" w:line="480" w:lineRule="auto"/>
        <w:ind w:firstLine="480"/>
        <w:rPr>
          <w:rFonts w:ascii="Helvetica Neue" w:hAnsi="Helvetica Neue" w:cs="宋体"/>
          <w:color w:val="353736"/>
          <w:spacing w:val="8"/>
          <w:kern w:val="0"/>
          <w:sz w:val="28"/>
          <w:szCs w:val="23"/>
        </w:rPr>
      </w:pPr>
      <w:r w:rsidRPr="0055724E">
        <w:rPr>
          <w:rFonts w:ascii="Helvetica Neue" w:hAnsi="Helvetica Neue" w:cs="宋体"/>
          <w:color w:val="353736"/>
          <w:spacing w:val="8"/>
          <w:kern w:val="0"/>
          <w:sz w:val="28"/>
          <w:szCs w:val="23"/>
        </w:rPr>
        <w:t>前面講才德具備的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時曾附述</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字之義與這種</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相類的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善士</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，應該指出，在春秋晚期以後的先秦文獻中有時也可以看到</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字的意義近於</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有能力</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善士</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。清華簡《越公其事》中記吴王夫差之語説：</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吾始踐越地以至于今，凡吴之</w:t>
      </w:r>
      <w:r w:rsidRPr="0055724E">
        <w:rPr>
          <w:rFonts w:ascii="Helvetica Neue" w:eastAsia="楷体" w:hAnsi="Helvetica Neue" w:cs="宋体"/>
          <w:b/>
          <w:bCs/>
          <w:color w:val="000000" w:themeColor="text1"/>
          <w:spacing w:val="8"/>
          <w:kern w:val="0"/>
          <w:sz w:val="28"/>
          <w:szCs w:val="23"/>
          <w:u w:val="single"/>
        </w:rPr>
        <w:t>善士</w:t>
      </w:r>
      <w:r w:rsidRPr="0055724E">
        <w:rPr>
          <w:rFonts w:ascii="Helvetica Neue" w:eastAsia="楷体" w:hAnsi="Helvetica Neue" w:cs="宋体"/>
          <w:color w:val="000000" w:themeColor="text1"/>
          <w:spacing w:val="8"/>
          <w:kern w:val="0"/>
          <w:sz w:val="28"/>
          <w:szCs w:val="23"/>
        </w:rPr>
        <w:t>將中半死矣</w:t>
      </w:r>
      <w:r w:rsidRPr="0055724E">
        <w:rPr>
          <w:rFonts w:ascii="Helvetica Neue" w:eastAsia="楷体" w:hAnsi="Helvetica Neue" w:cs="宋体"/>
          <w:color w:val="000000" w:themeColor="text1"/>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18"/>
          <w:szCs w:val="18"/>
        </w:rPr>
        <w:t>（簡</w:t>
      </w:r>
      <w:r w:rsidR="00687FDE" w:rsidRPr="00687FDE">
        <w:rPr>
          <w:rFonts w:hAnsi="Helvetica Neue" w:cs="宋体"/>
          <w:color w:val="353736"/>
          <w:spacing w:val="8"/>
          <w:kern w:val="0"/>
          <w:sz w:val="18"/>
          <w:szCs w:val="18"/>
        </w:rPr>
        <w:t>13</w:t>
      </w:r>
      <w:r w:rsidRPr="0055724E">
        <w:rPr>
          <w:rFonts w:ascii="Helvetica Neue" w:hAnsi="Helvetica Neue" w:cs="宋体"/>
          <w:color w:val="353736"/>
          <w:spacing w:val="8"/>
          <w:kern w:val="0"/>
          <w:sz w:val="18"/>
          <w:szCs w:val="18"/>
        </w:rPr>
        <w:t>—</w:t>
      </w:r>
      <w:r w:rsidR="00687FDE" w:rsidRPr="00687FDE">
        <w:rPr>
          <w:rFonts w:hAnsi="Helvetica Neue" w:cs="宋体"/>
          <w:color w:val="353736"/>
          <w:spacing w:val="8"/>
          <w:kern w:val="0"/>
          <w:sz w:val="18"/>
          <w:szCs w:val="18"/>
        </w:rPr>
        <w:t>14</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28"/>
          <w:szCs w:val="23"/>
        </w:rPr>
        <w:t>，此句中的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善士</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從文意看應指材力較强的戰士，而並非才德具備之士。</w:t>
      </w:r>
    </w:p>
    <w:p w14:paraId="72824213" w14:textId="77777777" w:rsidR="00445DA3" w:rsidRPr="0055724E" w:rsidRDefault="00445DA3" w:rsidP="00445DA3">
      <w:pPr>
        <w:widowControl/>
        <w:spacing w:beforeLines="50" w:before="180" w:line="480" w:lineRule="auto"/>
        <w:ind w:firstLine="480"/>
        <w:rPr>
          <w:rFonts w:ascii="Helvetica Neue" w:hAnsi="Helvetica Neue" w:cs="宋体"/>
          <w:color w:val="616161"/>
          <w:spacing w:val="8"/>
          <w:kern w:val="0"/>
          <w:sz w:val="28"/>
          <w:szCs w:val="24"/>
        </w:rPr>
      </w:pPr>
    </w:p>
    <w:p w14:paraId="4950847B" w14:textId="77777777" w:rsidR="009F4F5A" w:rsidRPr="0055724E" w:rsidRDefault="009F4F5A" w:rsidP="00445DA3">
      <w:pPr>
        <w:widowControl/>
        <w:spacing w:beforeLines="50" w:before="180" w:line="480" w:lineRule="auto"/>
        <w:rPr>
          <w:rFonts w:ascii="Helvetica Neue" w:hAnsi="Helvetica Neue" w:cs="宋体"/>
          <w:color w:val="616161"/>
          <w:spacing w:val="8"/>
          <w:kern w:val="0"/>
          <w:sz w:val="28"/>
          <w:szCs w:val="24"/>
        </w:rPr>
      </w:pPr>
      <w:r w:rsidRPr="0055724E">
        <w:rPr>
          <w:rFonts w:ascii="Helvetica Neue" w:hAnsi="Helvetica Neue" w:cs="宋体"/>
          <w:b/>
          <w:bCs/>
          <w:color w:val="353736"/>
          <w:spacing w:val="8"/>
          <w:kern w:val="0"/>
          <w:sz w:val="28"/>
          <w:szCs w:val="23"/>
        </w:rPr>
        <w:t>（三）當</w:t>
      </w:r>
      <w:r w:rsidRPr="0055724E">
        <w:rPr>
          <w:rFonts w:ascii="Helvetica Neue" w:hAnsi="Helvetica Neue" w:cs="宋体"/>
          <w:b/>
          <w:bCs/>
          <w:color w:val="353736"/>
          <w:spacing w:val="8"/>
          <w:kern w:val="0"/>
          <w:sz w:val="28"/>
          <w:szCs w:val="23"/>
        </w:rPr>
        <w:t>“</w:t>
      </w:r>
      <w:r w:rsidRPr="0055724E">
        <w:rPr>
          <w:rFonts w:ascii="Helvetica Neue" w:hAnsi="Helvetica Neue" w:cs="宋体"/>
          <w:b/>
          <w:bCs/>
          <w:color w:val="353736"/>
          <w:spacing w:val="8"/>
          <w:kern w:val="0"/>
          <w:sz w:val="28"/>
          <w:szCs w:val="23"/>
        </w:rPr>
        <w:t>爲人好</w:t>
      </w:r>
      <w:r w:rsidRPr="0055724E">
        <w:rPr>
          <w:rFonts w:ascii="Helvetica Neue" w:hAnsi="Helvetica Neue" w:cs="宋体"/>
          <w:b/>
          <w:bCs/>
          <w:color w:val="353736"/>
          <w:spacing w:val="8"/>
          <w:kern w:val="0"/>
          <w:sz w:val="28"/>
          <w:szCs w:val="23"/>
        </w:rPr>
        <w:t>/</w:t>
      </w:r>
      <w:r w:rsidRPr="0055724E">
        <w:rPr>
          <w:rFonts w:ascii="Helvetica Neue" w:hAnsi="Helvetica Neue" w:cs="宋体"/>
          <w:b/>
          <w:bCs/>
          <w:color w:val="353736"/>
          <w:spacing w:val="8"/>
          <w:kern w:val="0"/>
          <w:sz w:val="28"/>
          <w:szCs w:val="23"/>
        </w:rPr>
        <w:t>很好的人</w:t>
      </w:r>
      <w:r w:rsidRPr="0055724E">
        <w:rPr>
          <w:rFonts w:ascii="Helvetica Neue" w:hAnsi="Helvetica Neue" w:cs="宋体"/>
          <w:b/>
          <w:bCs/>
          <w:color w:val="353736"/>
          <w:spacing w:val="8"/>
          <w:kern w:val="0"/>
          <w:sz w:val="28"/>
          <w:szCs w:val="23"/>
        </w:rPr>
        <w:t>”</w:t>
      </w:r>
      <w:r w:rsidRPr="0055724E">
        <w:rPr>
          <w:rFonts w:ascii="Helvetica Neue" w:hAnsi="Helvetica Neue" w:cs="宋体"/>
          <w:b/>
          <w:bCs/>
          <w:color w:val="353736"/>
          <w:spacing w:val="8"/>
          <w:kern w:val="0"/>
          <w:sz w:val="28"/>
          <w:szCs w:val="23"/>
        </w:rPr>
        <w:t>講的</w:t>
      </w:r>
      <w:r w:rsidRPr="0055724E">
        <w:rPr>
          <w:rFonts w:ascii="Helvetica Neue" w:hAnsi="Helvetica Neue" w:cs="宋体"/>
          <w:b/>
          <w:bCs/>
          <w:color w:val="353736"/>
          <w:spacing w:val="8"/>
          <w:kern w:val="0"/>
          <w:sz w:val="28"/>
          <w:szCs w:val="23"/>
        </w:rPr>
        <w:t>“</w:t>
      </w:r>
      <w:r w:rsidRPr="0055724E">
        <w:rPr>
          <w:rFonts w:ascii="Helvetica Neue" w:hAnsi="Helvetica Neue" w:cs="宋体"/>
          <w:b/>
          <w:bCs/>
          <w:color w:val="353736"/>
          <w:spacing w:val="8"/>
          <w:kern w:val="0"/>
          <w:sz w:val="28"/>
          <w:szCs w:val="23"/>
        </w:rPr>
        <w:t>善者</w:t>
      </w:r>
      <w:r w:rsidRPr="0055724E">
        <w:rPr>
          <w:rFonts w:ascii="Helvetica Neue" w:hAnsi="Helvetica Neue" w:cs="宋体"/>
          <w:b/>
          <w:bCs/>
          <w:color w:val="353736"/>
          <w:spacing w:val="8"/>
          <w:kern w:val="0"/>
          <w:sz w:val="28"/>
          <w:szCs w:val="23"/>
        </w:rPr>
        <w:t>”</w:t>
      </w:r>
      <w:r w:rsidRPr="0055724E">
        <w:rPr>
          <w:rFonts w:ascii="Helvetica Neue" w:hAnsi="Helvetica Neue" w:cs="宋体"/>
          <w:b/>
          <w:bCs/>
          <w:color w:val="353736"/>
          <w:spacing w:val="8"/>
          <w:kern w:val="0"/>
          <w:sz w:val="28"/>
          <w:szCs w:val="23"/>
        </w:rPr>
        <w:t>以及</w:t>
      </w:r>
      <w:r w:rsidRPr="0055724E">
        <w:rPr>
          <w:rFonts w:ascii="Helvetica Neue" w:hAnsi="Helvetica Neue" w:cs="宋体"/>
          <w:b/>
          <w:bCs/>
          <w:color w:val="353736"/>
          <w:spacing w:val="8"/>
          <w:kern w:val="0"/>
          <w:sz w:val="28"/>
          <w:szCs w:val="23"/>
        </w:rPr>
        <w:t>“</w:t>
      </w:r>
      <w:r w:rsidRPr="0055724E">
        <w:rPr>
          <w:rFonts w:ascii="Helvetica Neue" w:hAnsi="Helvetica Neue" w:cs="宋体"/>
          <w:b/>
          <w:bCs/>
          <w:color w:val="353736"/>
          <w:spacing w:val="8"/>
          <w:kern w:val="0"/>
          <w:sz w:val="28"/>
          <w:szCs w:val="23"/>
        </w:rPr>
        <w:t>善人</w:t>
      </w:r>
      <w:r w:rsidRPr="0055724E">
        <w:rPr>
          <w:rFonts w:ascii="Helvetica Neue" w:hAnsi="Helvetica Neue" w:cs="宋体"/>
          <w:b/>
          <w:bCs/>
          <w:color w:val="353736"/>
          <w:spacing w:val="8"/>
          <w:kern w:val="0"/>
          <w:sz w:val="28"/>
          <w:szCs w:val="23"/>
        </w:rPr>
        <w:t>”</w:t>
      </w:r>
    </w:p>
    <w:p w14:paraId="30F7509B" w14:textId="77777777"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我們前面説過，先秦漢語中有些指人的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其意義與常見的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不同</w:t>
      </w:r>
      <w:r w:rsidRPr="0055724E">
        <w:rPr>
          <w:rFonts w:ascii="Helvetica Neue" w:hAnsi="Helvetica Neue" w:cs="宋体"/>
          <w:color w:val="353736"/>
          <w:spacing w:val="8"/>
          <w:kern w:val="0"/>
          <w:sz w:val="18"/>
          <w:szCs w:val="18"/>
        </w:rPr>
        <w:t>［見三（一）］</w:t>
      </w:r>
      <w:r w:rsidRPr="0055724E">
        <w:rPr>
          <w:rFonts w:ascii="Helvetica Neue" w:hAnsi="Helvetica Neue" w:cs="宋体"/>
          <w:color w:val="353736"/>
          <w:spacing w:val="8"/>
          <w:kern w:val="0"/>
          <w:sz w:val="28"/>
          <w:szCs w:val="23"/>
        </w:rPr>
        <w:t>，現在應該來加以討論了。</w:t>
      </w:r>
    </w:p>
    <w:p w14:paraId="0752DAC9" w14:textId="1C23511B"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《論語</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子路》篇：</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子貢問曰：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鄉人皆好之，何如？</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子曰：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未可也。</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鄉人皆惡之，何如？</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子曰：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未可也。不如鄉人之</w:t>
      </w:r>
      <w:r w:rsidRPr="0055724E">
        <w:rPr>
          <w:rFonts w:ascii="Helvetica Neue" w:eastAsia="楷体" w:hAnsi="Helvetica Neue" w:cs="宋体"/>
          <w:b/>
          <w:bCs/>
          <w:color w:val="000000" w:themeColor="text1"/>
          <w:spacing w:val="8"/>
          <w:kern w:val="0"/>
          <w:sz w:val="28"/>
          <w:szCs w:val="23"/>
          <w:u w:val="single"/>
        </w:rPr>
        <w:t>善者</w:t>
      </w:r>
      <w:r w:rsidRPr="0055724E">
        <w:rPr>
          <w:rFonts w:ascii="Helvetica Neue" w:eastAsia="楷体" w:hAnsi="Helvetica Neue" w:cs="宋体"/>
          <w:color w:val="000000" w:themeColor="text1"/>
          <w:spacing w:val="8"/>
          <w:kern w:val="0"/>
          <w:sz w:val="28"/>
          <w:szCs w:val="23"/>
        </w:rPr>
        <w:t>好之，其</w:t>
      </w:r>
      <w:r w:rsidRPr="0055724E">
        <w:rPr>
          <w:rFonts w:ascii="Helvetica Neue" w:eastAsia="楷体" w:hAnsi="Helvetica Neue" w:cs="宋体"/>
          <w:b/>
          <w:bCs/>
          <w:color w:val="000000" w:themeColor="text1"/>
          <w:spacing w:val="8"/>
          <w:kern w:val="0"/>
          <w:sz w:val="28"/>
          <w:szCs w:val="23"/>
          <w:u w:val="single"/>
        </w:rPr>
        <w:t>不善者</w:t>
      </w:r>
      <w:r w:rsidRPr="0055724E">
        <w:rPr>
          <w:rFonts w:ascii="Helvetica Neue" w:eastAsia="楷体" w:hAnsi="Helvetica Neue" w:cs="宋体"/>
          <w:color w:val="000000" w:themeColor="text1"/>
          <w:spacing w:val="8"/>
          <w:kern w:val="0"/>
          <w:sz w:val="28"/>
          <w:szCs w:val="23"/>
        </w:rPr>
        <w:t>惡之。</w:t>
      </w:r>
      <w:r w:rsidRPr="0055724E">
        <w:rPr>
          <w:rFonts w:ascii="Helvetica Neue" w:eastAsia="楷体" w:hAnsi="Helvetica Neue" w:cs="宋体"/>
          <w:color w:val="000000" w:themeColor="text1"/>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此例中的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和</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顯然不能解釋爲</w:t>
      </w:r>
      <w:r w:rsidRPr="0055724E">
        <w:rPr>
          <w:rFonts w:ascii="Helvetica Neue" w:hAnsi="Helvetica Neue" w:cs="宋体"/>
          <w:color w:val="353736"/>
          <w:spacing w:val="8"/>
          <w:kern w:val="0"/>
          <w:sz w:val="28"/>
          <w:szCs w:val="23"/>
        </w:rPr>
        <w:lastRenderedPageBreak/>
        <w:t>“</w:t>
      </w:r>
      <w:r w:rsidRPr="0055724E">
        <w:rPr>
          <w:rFonts w:ascii="Helvetica Neue" w:hAnsi="Helvetica Neue" w:cs="宋体"/>
          <w:color w:val="353736"/>
          <w:spacing w:val="8"/>
          <w:kern w:val="0"/>
          <w:sz w:val="28"/>
          <w:szCs w:val="23"/>
        </w:rPr>
        <w:t>能力强的人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和</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能力弱的人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，也不宜解釋爲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能把事做得很好的人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和</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不能把事做得很好的人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。仔細體會文意，</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應該是能把人做得很好，也就是做人做得很好</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很好</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也可以就説</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好</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，視情況而定）</w:t>
      </w:r>
      <w:r w:rsidRPr="0055724E">
        <w:rPr>
          <w:rFonts w:ascii="Helvetica Neue" w:hAnsi="Helvetica Neue" w:cs="宋体"/>
          <w:color w:val="353736"/>
          <w:spacing w:val="8"/>
          <w:kern w:val="0"/>
          <w:sz w:val="28"/>
          <w:szCs w:val="23"/>
        </w:rPr>
        <w:t>的意思，與其相對的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應該是不能把人做好，也就是做人做得不好的意思</w:t>
      </w:r>
      <w:r w:rsidRPr="0055724E">
        <w:rPr>
          <w:rFonts w:ascii="Helvetica Neue" w:hAnsi="Helvetica Neue" w:cs="宋体"/>
          <w:color w:val="353736"/>
          <w:spacing w:val="8"/>
          <w:kern w:val="0"/>
          <w:sz w:val="18"/>
          <w:szCs w:val="18"/>
        </w:rPr>
        <w:t>（有時甚至應該理解爲做得很不好）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能把人做得很好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這種意義可以看作是從</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能把事做得很好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之義引申出來的。對一個人可以從他的行事和品德兩方面來作評論，當然，這兩方面本是緊密聯繫在一起的。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做人做得很好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應該是兼就有才能、能把事做得很好和品德很好這兩方面而言的</w:t>
      </w:r>
      <w:r w:rsidRPr="0055724E">
        <w:rPr>
          <w:rFonts w:ascii="Helvetica Neue" w:hAnsi="Helvetica Neue" w:cs="宋体"/>
          <w:color w:val="353736"/>
          <w:spacing w:val="8"/>
          <w:kern w:val="0"/>
          <w:sz w:val="18"/>
          <w:szCs w:val="18"/>
        </w:rPr>
        <w:t>（前面講</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善人</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時［見三（二）］已經指出春秋時人評論</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善人</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一般兼及才能和品德兩方面，可以參看）</w:t>
      </w:r>
      <w:r w:rsidRPr="0055724E">
        <w:rPr>
          <w:rFonts w:ascii="Helvetica Neue" w:hAnsi="Helvetica Neue" w:cs="宋体"/>
          <w:color w:val="353736"/>
          <w:spacing w:val="8"/>
          <w:kern w:val="0"/>
          <w:sz w:val="28"/>
          <w:szCs w:val="23"/>
        </w:rPr>
        <w:t>。當</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做人做得很好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講的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字前一方面的意義跟上文所説的不帶賓語的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字的核心意義極爲相近。在一般情況下，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做人做得好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的人，他做得好的事主要是他的本職工作，從忠於本職工作的角度説，這本身就可以看作有德的一種表現。爲求簡明，</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做人做得很好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做人做得好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的意思可以説成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爲人很好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爲人好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18"/>
          <w:szCs w:val="18"/>
        </w:rPr>
        <w:t>（下文在没有必要的時候統一説成</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爲人好</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。但不能把我們所説的</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爲人好</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跟現代人所説的</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爲人好</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等同起來，後面會有説明）</w:t>
      </w:r>
      <w:r w:rsidRPr="0055724E">
        <w:rPr>
          <w:rFonts w:ascii="Helvetica Neue" w:hAnsi="Helvetica Neue" w:cs="宋体"/>
          <w:color w:val="353736"/>
          <w:spacing w:val="8"/>
          <w:kern w:val="0"/>
          <w:sz w:val="28"/>
          <w:szCs w:val="23"/>
        </w:rPr>
        <w:t>或</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做好人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，與這種</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相對的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也可以説成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爲人不好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做不好的人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。當</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能力强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一類意思講的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，其對立面可以是</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，當</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爲人很</w:t>
      </w:r>
      <w:r w:rsidRPr="0055724E">
        <w:rPr>
          <w:rFonts w:ascii="Helvetica Neue" w:hAnsi="Helvetica Neue" w:cs="宋体"/>
          <w:color w:val="353736"/>
          <w:spacing w:val="8"/>
          <w:kern w:val="0"/>
          <w:sz w:val="28"/>
          <w:szCs w:val="23"/>
        </w:rPr>
        <w:lastRenderedPageBreak/>
        <w:t>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做好人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一類意思講的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只能與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對立而不能與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對立</w:t>
      </w:r>
      <w:r w:rsidRPr="00965627">
        <w:rPr>
          <w:rStyle w:val="ae"/>
          <w:rFonts w:ascii="Helvetica Neue" w:hAnsi="Helvetica Neue" w:cs="宋体"/>
          <w:color w:val="353736"/>
          <w:spacing w:val="8"/>
          <w:kern w:val="0"/>
          <w:sz w:val="28"/>
          <w:szCs w:val="23"/>
        </w:rPr>
        <w:endnoteReference w:id="152"/>
      </w:r>
      <w:r w:rsidRPr="0055724E">
        <w:rPr>
          <w:rFonts w:ascii="Helvetica Neue" w:hAnsi="Helvetica Neue" w:cs="宋体"/>
          <w:color w:val="353736"/>
          <w:spacing w:val="8"/>
          <w:kern w:val="0"/>
          <w:sz w:val="28"/>
          <w:szCs w:val="23"/>
        </w:rPr>
        <w:t>。與這種</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對立的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意思就是爲人不好、做不好的人，如果不好的程度比較厲害，也就是爲人壞、做壞人</w:t>
      </w:r>
      <w:r w:rsidRPr="0055724E">
        <w:rPr>
          <w:rFonts w:ascii="Helvetica Neue" w:hAnsi="Helvetica Neue" w:cs="宋体"/>
          <w:color w:val="353736"/>
          <w:spacing w:val="8"/>
          <w:kern w:val="0"/>
          <w:sz w:val="18"/>
          <w:szCs w:val="18"/>
        </w:rPr>
        <w:t>（上引《子路》篇中的</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善者</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和</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不善者</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一般就都理解爲</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好人</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和</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壞人</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，這當然是可以的，只不過孔子所説的鄉人中的</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不善者</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大概並不一定都達到</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壞人</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的地步）</w:t>
      </w:r>
      <w:r w:rsidRPr="0055724E">
        <w:rPr>
          <w:rFonts w:ascii="Helvetica Neue" w:hAnsi="Helvetica Neue" w:cs="宋体"/>
          <w:color w:val="353736"/>
          <w:spacing w:val="8"/>
          <w:kern w:val="0"/>
          <w:sz w:val="28"/>
          <w:szCs w:val="23"/>
        </w:rPr>
        <w:t>。所以，這樣的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在古書中也時常與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惡</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暴</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淫</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這類表示惡德的字爲對文，在下文中我們會看到不少這樣的例子。前面所説的當才德具備者講的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或與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惡人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淫人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等對舉，二者情況相類。人們在比較</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和暴人、惡人等壞人的時候，所注意到的通常是他們做出來的事的性質，也就是事的好壞，而不是他們做事能力的高下，做好事的能力與做壞事的能力是缺乏可比性的。所以，與暴人、惡人等相對立的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，其含義就顯得偏重於品德一方面了，後面還會提到這一點。</w:t>
      </w:r>
    </w:p>
    <w:p w14:paraId="67A818FC" w14:textId="7550D48A"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這裏有一個需要解釋的問題，既然指才德具備者的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和指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爲人好的人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18"/>
          <w:szCs w:val="18"/>
        </w:rPr>
        <w:t>（也有稱</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爲人好的人</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爲</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善人</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的，見下舉《墨子</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尚同下》等例）</w:t>
      </w:r>
      <w:r w:rsidRPr="0055724E">
        <w:rPr>
          <w:rFonts w:ascii="Helvetica Neue" w:hAnsi="Helvetica Neue" w:cs="宋体"/>
          <w:color w:val="353736"/>
          <w:spacing w:val="8"/>
          <w:kern w:val="0"/>
          <w:sz w:val="28"/>
          <w:szCs w:val="23"/>
        </w:rPr>
        <w:t>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都是兼就才能和品德兩方面而言的，而且也都有顯得偏重於品德一方面的用法，爲什麼我們要把它們分成兩類呢？這主要是從二者指稱的對象來考慮的。當才德具備者講的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通常指</w:t>
      </w:r>
      <w:r w:rsidRPr="0055724E">
        <w:rPr>
          <w:rFonts w:ascii="Helvetica Neue" w:hAnsi="Helvetica Neue" w:cs="宋体"/>
          <w:color w:val="353736"/>
          <w:spacing w:val="8"/>
          <w:kern w:val="0"/>
          <w:sz w:val="28"/>
          <w:szCs w:val="23"/>
        </w:rPr>
        <w:lastRenderedPageBreak/>
        <w:t>地位較高的從政、爲政者，這種</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甚至可以被推崇爲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天地之紀</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18"/>
          <w:szCs w:val="18"/>
        </w:rPr>
        <w:t>［見三（二）</w:t>
      </w:r>
      <w:r w:rsidR="00687FDE" w:rsidRPr="00687FDE">
        <w:rPr>
          <w:rFonts w:hAnsi="Helvetica Neue" w:cs="宋体"/>
          <w:color w:val="353736"/>
          <w:spacing w:val="8"/>
          <w:kern w:val="0"/>
          <w:sz w:val="18"/>
          <w:szCs w:val="18"/>
        </w:rPr>
        <w:t>1</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例</w:t>
      </w:r>
      <w:r w:rsidR="00687FDE" w:rsidRPr="00687FDE">
        <w:rPr>
          <w:rFonts w:hAnsi="Helvetica Neue" w:cs="宋体"/>
          <w:color w:val="353736"/>
          <w:spacing w:val="8"/>
          <w:kern w:val="0"/>
          <w:sz w:val="18"/>
          <w:szCs w:val="18"/>
        </w:rPr>
        <w:t>6</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28"/>
          <w:szCs w:val="23"/>
        </w:rPr>
        <w:t>。《論語</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子路》篇所説的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鄉人之善者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指的是同居一鄉之中的所有人中的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，其中當然包含一般的平民，這種</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的含義顯然不宜理解爲才德具備，而宜於理解爲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爲人好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p>
    <w:p w14:paraId="687BFAB9" w14:textId="77777777"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上博簡《鬼神之明》篇中有一處以</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暴者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對言的例子。《鬼神之明》篇説</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今夫鬼神有所明，有所不明。</w:t>
      </w:r>
      <w:r w:rsidRPr="0055724E">
        <w:rPr>
          <w:rFonts w:ascii="Times New Roman" w:eastAsia="楷体" w:hAnsi="Times New Roman"/>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鬼神有所明，則以其</w:t>
      </w:r>
      <w:r w:rsidRPr="0055724E">
        <w:rPr>
          <w:rFonts w:ascii="Helvetica Neue" w:eastAsia="楷体" w:hAnsi="Helvetica Neue" w:cs="宋体"/>
          <w:b/>
          <w:bCs/>
          <w:color w:val="000000" w:themeColor="text1"/>
          <w:spacing w:val="8"/>
          <w:kern w:val="0"/>
          <w:sz w:val="28"/>
          <w:szCs w:val="23"/>
          <w:u w:val="single"/>
        </w:rPr>
        <w:t>賞善罰暴</w:t>
      </w:r>
      <w:r w:rsidRPr="0055724E">
        <w:rPr>
          <w:rFonts w:ascii="Helvetica Neue" w:eastAsia="楷体" w:hAnsi="Helvetica Neue" w:cs="宋体"/>
          <w:color w:val="000000" w:themeColor="text1"/>
          <w:spacing w:val="8"/>
          <w:kern w:val="0"/>
          <w:sz w:val="28"/>
          <w:szCs w:val="23"/>
        </w:rPr>
        <w:t>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，接著説堯舜禹湯等聖王生前死後都受到高度贊揚，</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則鬼神之賞，此明矣</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，桀紂幽厲等暴王都没有得到好下場，</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則鬼〔神之罰，此〕明矣</w:t>
      </w:r>
      <w:r w:rsidRPr="0055724E">
        <w:rPr>
          <w:rFonts w:ascii="Helvetica Neue" w:hAnsi="Helvetica Neue" w:cs="宋体"/>
          <w:color w:val="353736"/>
          <w:spacing w:val="8"/>
          <w:kern w:val="0"/>
          <w:sz w:val="18"/>
          <w:szCs w:val="18"/>
        </w:rPr>
        <w:t>（闕文據整理者補</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；但也有好人不得好下場，壞人反得壽終的，</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如以此詰之，則</w:t>
      </w:r>
      <w:r w:rsidRPr="0055724E">
        <w:rPr>
          <w:rFonts w:ascii="Helvetica Neue" w:eastAsia="楷体" w:hAnsi="Helvetica Neue" w:cs="宋体"/>
          <w:b/>
          <w:bCs/>
          <w:color w:val="000000" w:themeColor="text1"/>
          <w:spacing w:val="8"/>
          <w:kern w:val="0"/>
          <w:sz w:val="28"/>
          <w:szCs w:val="23"/>
          <w:u w:val="single"/>
        </w:rPr>
        <w:t>善者或不賞，而暴〔者或不罰〕</w:t>
      </w:r>
      <w:r w:rsidRPr="0055724E">
        <w:rPr>
          <w:rFonts w:ascii="Helvetica Neue" w:hAnsi="Helvetica Neue" w:cs="宋体"/>
          <w:color w:val="353736"/>
          <w:spacing w:val="8"/>
          <w:kern w:val="0"/>
          <w:sz w:val="18"/>
          <w:szCs w:val="18"/>
        </w:rPr>
        <w:t>（闕文據整理者補）</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，其原因是什麼作者也説不清。這裏的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暴者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相對，顯然也是指爲人好的人，而不是單就能力强而言的</w:t>
      </w:r>
      <w:r w:rsidRPr="0055724E">
        <w:rPr>
          <w:rFonts w:ascii="Helvetica Neue" w:hAnsi="Helvetica Neue" w:cs="宋体"/>
          <w:color w:val="353736"/>
          <w:spacing w:val="8"/>
          <w:kern w:val="0"/>
          <w:sz w:val="18"/>
          <w:szCs w:val="18"/>
        </w:rPr>
        <w:t>（此文前面所説的</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賞善罰暴</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也就是</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賞善者，罰暴者</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的意思）</w:t>
      </w:r>
      <w:r w:rsidRPr="0055724E">
        <w:rPr>
          <w:rFonts w:ascii="Helvetica Neue" w:hAnsi="Helvetica Neue" w:cs="宋体"/>
          <w:color w:val="353736"/>
          <w:spacing w:val="8"/>
          <w:kern w:val="0"/>
          <w:sz w:val="28"/>
          <w:szCs w:val="23"/>
        </w:rPr>
        <w:t>。</w:t>
      </w:r>
    </w:p>
    <w:p w14:paraId="1A6F7685" w14:textId="77777777"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《墨子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尚同下》篇中的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，其義應與《鬼神之明》中指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爲人好的人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相同，而與前面講過的《墨子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非命中》篇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聖、善人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意義有異：</w:t>
      </w:r>
    </w:p>
    <w:p w14:paraId="63D25D50" w14:textId="77777777"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eastAsia="楷体" w:hAnsi="Helvetica Neue" w:cs="宋体"/>
          <w:color w:val="000000" w:themeColor="text1"/>
          <w:spacing w:val="8"/>
          <w:kern w:val="0"/>
          <w:sz w:val="28"/>
          <w:szCs w:val="23"/>
        </w:rPr>
        <w:lastRenderedPageBreak/>
        <w:t>上之爲政，得下之情，則是明於民之善非也。若苟明於民之善非也，則得</w:t>
      </w:r>
      <w:r w:rsidRPr="0055724E">
        <w:rPr>
          <w:rFonts w:ascii="Helvetica Neue" w:eastAsia="楷体" w:hAnsi="Helvetica Neue" w:cs="宋体"/>
          <w:b/>
          <w:bCs/>
          <w:color w:val="000000" w:themeColor="text1"/>
          <w:spacing w:val="8"/>
          <w:kern w:val="0"/>
          <w:sz w:val="28"/>
          <w:szCs w:val="23"/>
          <w:u w:val="single"/>
        </w:rPr>
        <w:t>善人</w:t>
      </w:r>
      <w:r w:rsidRPr="0055724E">
        <w:rPr>
          <w:rFonts w:ascii="Helvetica Neue" w:eastAsia="楷体" w:hAnsi="Helvetica Neue" w:cs="宋体"/>
          <w:color w:val="000000" w:themeColor="text1"/>
          <w:spacing w:val="8"/>
          <w:kern w:val="0"/>
          <w:sz w:val="28"/>
          <w:szCs w:val="23"/>
        </w:rPr>
        <w:t>而賞之，得</w:t>
      </w:r>
      <w:r w:rsidRPr="0055724E">
        <w:rPr>
          <w:rFonts w:ascii="Helvetica Neue" w:eastAsia="楷体" w:hAnsi="Helvetica Neue" w:cs="宋体"/>
          <w:b/>
          <w:bCs/>
          <w:color w:val="000000" w:themeColor="text1"/>
          <w:spacing w:val="8"/>
          <w:kern w:val="0"/>
          <w:sz w:val="28"/>
          <w:szCs w:val="23"/>
          <w:u w:val="single"/>
        </w:rPr>
        <w:t>暴人</w:t>
      </w:r>
      <w:r w:rsidRPr="0055724E">
        <w:rPr>
          <w:rFonts w:ascii="Helvetica Neue" w:eastAsia="楷体" w:hAnsi="Helvetica Neue" w:cs="宋体"/>
          <w:color w:val="000000" w:themeColor="text1"/>
          <w:spacing w:val="8"/>
          <w:kern w:val="0"/>
          <w:sz w:val="28"/>
          <w:szCs w:val="23"/>
        </w:rPr>
        <w:t>而罰之也。</w:t>
      </w:r>
      <w:r w:rsidRPr="0055724E">
        <w:rPr>
          <w:rFonts w:ascii="Helvetica Neue" w:eastAsia="楷体" w:hAnsi="Helvetica Neue" w:cs="宋体"/>
          <w:b/>
          <w:bCs/>
          <w:color w:val="000000" w:themeColor="text1"/>
          <w:spacing w:val="8"/>
          <w:kern w:val="0"/>
          <w:sz w:val="28"/>
          <w:szCs w:val="23"/>
          <w:u w:val="single"/>
        </w:rPr>
        <w:t>善人</w:t>
      </w:r>
      <w:r w:rsidRPr="0055724E">
        <w:rPr>
          <w:rFonts w:ascii="Helvetica Neue" w:eastAsia="楷体" w:hAnsi="Helvetica Neue" w:cs="宋体"/>
          <w:color w:val="000000" w:themeColor="text1"/>
          <w:spacing w:val="8"/>
          <w:kern w:val="0"/>
          <w:sz w:val="28"/>
          <w:szCs w:val="23"/>
        </w:rPr>
        <w:t>賞而</w:t>
      </w:r>
      <w:r w:rsidRPr="0055724E">
        <w:rPr>
          <w:rFonts w:ascii="Helvetica Neue" w:eastAsia="楷体" w:hAnsi="Helvetica Neue" w:cs="宋体"/>
          <w:b/>
          <w:bCs/>
          <w:color w:val="000000" w:themeColor="text1"/>
          <w:spacing w:val="8"/>
          <w:kern w:val="0"/>
          <w:sz w:val="28"/>
          <w:szCs w:val="23"/>
          <w:u w:val="single"/>
        </w:rPr>
        <w:t>暴人</w:t>
      </w:r>
      <w:r w:rsidRPr="0055724E">
        <w:rPr>
          <w:rFonts w:ascii="Helvetica Neue" w:eastAsia="楷体" w:hAnsi="Helvetica Neue" w:cs="宋体"/>
          <w:color w:val="000000" w:themeColor="text1"/>
          <w:spacing w:val="8"/>
          <w:kern w:val="0"/>
          <w:sz w:val="28"/>
          <w:szCs w:val="23"/>
        </w:rPr>
        <w:t>罰，則國必治。上之爲政也，不得下之情，則是不明於民之善非也。若苟不明於民之善非，則是不得</w:t>
      </w:r>
      <w:r w:rsidRPr="0055724E">
        <w:rPr>
          <w:rFonts w:ascii="Helvetica Neue" w:eastAsia="楷体" w:hAnsi="Helvetica Neue" w:cs="宋体"/>
          <w:b/>
          <w:bCs/>
          <w:color w:val="000000" w:themeColor="text1"/>
          <w:spacing w:val="8"/>
          <w:kern w:val="0"/>
          <w:sz w:val="28"/>
          <w:szCs w:val="23"/>
          <w:u w:val="single"/>
        </w:rPr>
        <w:t>善人</w:t>
      </w:r>
      <w:r w:rsidRPr="0055724E">
        <w:rPr>
          <w:rFonts w:ascii="Helvetica Neue" w:eastAsia="楷体" w:hAnsi="Helvetica Neue" w:cs="宋体"/>
          <w:color w:val="000000" w:themeColor="text1"/>
          <w:spacing w:val="8"/>
          <w:kern w:val="0"/>
          <w:sz w:val="28"/>
          <w:szCs w:val="23"/>
        </w:rPr>
        <w:t>而賞之，不得</w:t>
      </w:r>
      <w:r w:rsidRPr="0055724E">
        <w:rPr>
          <w:rFonts w:ascii="Helvetica Neue" w:eastAsia="楷体" w:hAnsi="Helvetica Neue" w:cs="宋体"/>
          <w:b/>
          <w:bCs/>
          <w:color w:val="000000" w:themeColor="text1"/>
          <w:spacing w:val="8"/>
          <w:kern w:val="0"/>
          <w:sz w:val="28"/>
          <w:szCs w:val="23"/>
          <w:u w:val="single"/>
        </w:rPr>
        <w:t>暴人</w:t>
      </w:r>
      <w:r w:rsidRPr="0055724E">
        <w:rPr>
          <w:rFonts w:ascii="Helvetica Neue" w:eastAsia="楷体" w:hAnsi="Helvetica Neue" w:cs="宋体"/>
          <w:color w:val="000000" w:themeColor="text1"/>
          <w:spacing w:val="8"/>
          <w:kern w:val="0"/>
          <w:sz w:val="28"/>
          <w:szCs w:val="23"/>
        </w:rPr>
        <w:t>而罰之。</w:t>
      </w:r>
      <w:r w:rsidRPr="0055724E">
        <w:rPr>
          <w:rFonts w:ascii="Helvetica Neue" w:eastAsia="楷体" w:hAnsi="Helvetica Neue" w:cs="宋体"/>
          <w:b/>
          <w:bCs/>
          <w:color w:val="000000" w:themeColor="text1"/>
          <w:spacing w:val="8"/>
          <w:kern w:val="0"/>
          <w:sz w:val="28"/>
          <w:szCs w:val="23"/>
          <w:u w:val="single"/>
        </w:rPr>
        <w:t>善人</w:t>
      </w:r>
      <w:r w:rsidRPr="0055724E">
        <w:rPr>
          <w:rFonts w:ascii="Helvetica Neue" w:eastAsia="楷体" w:hAnsi="Helvetica Neue" w:cs="宋体"/>
          <w:color w:val="000000" w:themeColor="text1"/>
          <w:spacing w:val="8"/>
          <w:kern w:val="0"/>
          <w:sz w:val="28"/>
          <w:szCs w:val="23"/>
        </w:rPr>
        <w:t>不賞而</w:t>
      </w:r>
      <w:r w:rsidRPr="0055724E">
        <w:rPr>
          <w:rFonts w:ascii="Helvetica Neue" w:eastAsia="楷体" w:hAnsi="Helvetica Neue" w:cs="宋体"/>
          <w:b/>
          <w:bCs/>
          <w:color w:val="000000" w:themeColor="text1"/>
          <w:spacing w:val="8"/>
          <w:kern w:val="0"/>
          <w:sz w:val="28"/>
          <w:szCs w:val="23"/>
          <w:u w:val="single"/>
        </w:rPr>
        <w:t>暴人</w:t>
      </w:r>
      <w:r w:rsidRPr="0055724E">
        <w:rPr>
          <w:rFonts w:ascii="Helvetica Neue" w:eastAsia="楷体" w:hAnsi="Helvetica Neue" w:cs="宋体"/>
          <w:color w:val="000000" w:themeColor="text1"/>
          <w:spacing w:val="8"/>
          <w:kern w:val="0"/>
          <w:sz w:val="28"/>
          <w:szCs w:val="23"/>
        </w:rPr>
        <w:t>不罰，爲政若此，國眾必亂。</w:t>
      </w:r>
    </w:p>
    <w:p w14:paraId="3728D76F" w14:textId="77777777" w:rsidR="009F4F5A" w:rsidRPr="0055724E" w:rsidRDefault="009F4F5A" w:rsidP="00445DA3">
      <w:pPr>
        <w:widowControl/>
        <w:spacing w:beforeLines="50" w:before="180" w:line="480" w:lineRule="auto"/>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此下又分</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家君</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國君</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天子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三層强調爲上者必須</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得善人而賞之，得暴人而罰之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。此篇下文又有</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上以若人爲善，將賞之，</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上以若人爲暴，將罰之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等語，</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暴</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也應該就指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和</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暴人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。有人把上引文中的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暴</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連讀，把</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爲善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理解爲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行善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，把</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爲暴</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理解爲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行惡</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作惡</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的意思，是不妥當的。根據我們前面已經指出的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字的那些用法，</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上以若人爲善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也未嘗不可以理解爲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在上者認爲那個人爲人好（或者説那個人的爲人是好的）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上以若人爲暴</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也可以理解爲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在上者認爲那個人爲人兇惡（或者説那個人的爲人是兇惡的）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。不過，在實質意義上，這樣理解跟把這裏的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暴</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直接理解爲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暴人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並無不同。</w:t>
      </w:r>
    </w:p>
    <w:p w14:paraId="30B59DB2" w14:textId="77777777"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上舉《鬼神之明》中的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和《墨子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尚同下》中的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應該是指上至天子下至平民的各階層人中的爲人好的人。</w:t>
      </w:r>
    </w:p>
    <w:p w14:paraId="492C8436" w14:textId="04A5312C"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lastRenderedPageBreak/>
        <w:t>清華簡《越公其事》：</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有賞罰，</w:t>
      </w:r>
      <w:r w:rsidRPr="0055724E">
        <w:rPr>
          <w:rFonts w:ascii="Helvetica Neue" w:eastAsia="楷体" w:hAnsi="Helvetica Neue" w:cs="宋体"/>
          <w:b/>
          <w:bCs/>
          <w:color w:val="000000" w:themeColor="text1"/>
          <w:spacing w:val="8"/>
          <w:kern w:val="0"/>
          <w:sz w:val="28"/>
          <w:szCs w:val="23"/>
          <w:u w:val="single"/>
        </w:rPr>
        <w:t>善人</w:t>
      </w:r>
      <w:r w:rsidRPr="0055724E">
        <w:rPr>
          <w:rFonts w:ascii="Helvetica Neue" w:eastAsia="楷体" w:hAnsi="Helvetica Neue" w:cs="宋体"/>
          <w:color w:val="000000" w:themeColor="text1"/>
          <w:spacing w:val="8"/>
          <w:kern w:val="0"/>
          <w:sz w:val="28"/>
          <w:szCs w:val="23"/>
        </w:rPr>
        <w:t>則由，譖民則背。</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18"/>
          <w:szCs w:val="18"/>
        </w:rPr>
        <w:t>（簡</w:t>
      </w:r>
      <w:r w:rsidR="00687FDE" w:rsidRPr="00687FDE">
        <w:rPr>
          <w:rFonts w:hAnsi="Helvetica Neue" w:cs="宋体"/>
          <w:color w:val="353736"/>
          <w:spacing w:val="8"/>
          <w:kern w:val="0"/>
          <w:sz w:val="18"/>
          <w:szCs w:val="18"/>
        </w:rPr>
        <w:t>47</w:t>
      </w:r>
      <w:r w:rsidRPr="0055724E">
        <w:rPr>
          <w:rFonts w:ascii="Helvetica Neue" w:hAnsi="Helvetica Neue" w:cs="宋体"/>
          <w:color w:val="353736"/>
          <w:spacing w:val="8"/>
          <w:kern w:val="0"/>
          <w:sz w:val="18"/>
          <w:szCs w:val="18"/>
        </w:rPr>
        <w:t>）</w:t>
      </w:r>
      <w:r>
        <w:rPr>
          <w:rStyle w:val="ae"/>
          <w:rFonts w:ascii="Helvetica Neue" w:hAnsi="Helvetica Neue" w:cs="宋体"/>
          <w:color w:val="353736"/>
          <w:spacing w:val="8"/>
          <w:kern w:val="0"/>
          <w:sz w:val="18"/>
          <w:szCs w:val="18"/>
        </w:rPr>
        <w:endnoteReference w:id="153"/>
      </w:r>
      <w:r w:rsidRPr="0055724E">
        <w:rPr>
          <w:rFonts w:ascii="Helvetica Neue" w:hAnsi="Helvetica Neue" w:cs="宋体"/>
          <w:color w:val="353736"/>
          <w:spacing w:val="8"/>
          <w:kern w:val="0"/>
          <w:sz w:val="28"/>
          <w:szCs w:val="23"/>
        </w:rPr>
        <w:t>從文意看，這個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應與上引《墨子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尚同下》的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同義。</w:t>
      </w:r>
    </w:p>
    <w:p w14:paraId="5D6B6E35" w14:textId="77777777"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應該指出，不同階層的人的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爲人好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情況是不同的，爲君者的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爲人好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主要指當君主當得好，爲官者的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爲人好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主要指當官當得好，平民的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爲人好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主要指當百姓當得好。所以，地位較高的人的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爲人好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才德具備</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的意思是相通的。</w:t>
      </w:r>
    </w:p>
    <w:p w14:paraId="42E24C4E" w14:textId="77777777"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這種與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暴者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暴人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對言的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，就像我們上面分析《論語</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子路》</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時所説的，其含義是顯得偏重於品德一方面的。</w:t>
      </w:r>
    </w:p>
    <w:p w14:paraId="61AAD95D" w14:textId="77777777"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當</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爲人好的人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講的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，還見於一些時代較晚的先秦子書。</w:t>
      </w:r>
    </w:p>
    <w:p w14:paraId="26C72986" w14:textId="77777777"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一般認爲著作時代較晚的《管子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正》篇説：</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制斷五刑，各當其名，罪人不怨，</w:t>
      </w:r>
      <w:r w:rsidRPr="0055724E">
        <w:rPr>
          <w:rFonts w:ascii="Helvetica Neue" w:eastAsia="楷体" w:hAnsi="Helvetica Neue" w:cs="宋体"/>
          <w:b/>
          <w:bCs/>
          <w:color w:val="000000" w:themeColor="text1"/>
          <w:spacing w:val="8"/>
          <w:kern w:val="0"/>
          <w:sz w:val="28"/>
          <w:szCs w:val="23"/>
          <w:u w:val="single"/>
        </w:rPr>
        <w:t>善人</w:t>
      </w:r>
      <w:r w:rsidRPr="0055724E">
        <w:rPr>
          <w:rFonts w:ascii="Helvetica Neue" w:eastAsia="楷体" w:hAnsi="Helvetica Neue" w:cs="宋体"/>
          <w:color w:val="000000" w:themeColor="text1"/>
          <w:spacing w:val="8"/>
          <w:kern w:val="0"/>
          <w:sz w:val="28"/>
          <w:szCs w:val="23"/>
        </w:rPr>
        <w:t>不驚，曰刑。</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與</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罪人</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相對的</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善人</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應該指</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爲人好的人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p>
    <w:p w14:paraId="66FC2171" w14:textId="77777777"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公認爲《墨子》中著作時代較晚的城守諸篇中有《雜守》篇，此篇指出負責防守工作的人爲了要把人用在合適的崗位上，需要</w:t>
      </w:r>
      <w:r w:rsidRPr="0055724E">
        <w:rPr>
          <w:rFonts w:ascii="Helvetica Neue" w:hAnsi="Helvetica Neue" w:cs="宋体"/>
          <w:color w:val="353736"/>
          <w:spacing w:val="8"/>
          <w:kern w:val="0"/>
          <w:sz w:val="28"/>
          <w:szCs w:val="23"/>
        </w:rPr>
        <w:lastRenderedPageBreak/>
        <w:t>先了解他們的具體情況，一開始就説</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有讒人，有利人，有惡人，有</w:t>
      </w:r>
      <w:r w:rsidRPr="0055724E">
        <w:rPr>
          <w:rFonts w:ascii="Helvetica Neue" w:eastAsia="楷体" w:hAnsi="Helvetica Neue" w:cs="宋体"/>
          <w:b/>
          <w:bCs/>
          <w:color w:val="000000" w:themeColor="text1"/>
          <w:spacing w:val="8"/>
          <w:kern w:val="0"/>
          <w:sz w:val="28"/>
          <w:szCs w:val="23"/>
          <w:u w:val="single"/>
        </w:rPr>
        <w:t>善人</w:t>
      </w:r>
      <w:r w:rsidRPr="0055724E">
        <w:rPr>
          <w:rFonts w:ascii="Helvetica Neue" w:eastAsia="楷体" w:hAnsi="Helvetica Neue" w:cs="宋体"/>
          <w:color w:val="000000" w:themeColor="text1"/>
          <w:spacing w:val="8"/>
          <w:kern w:val="0"/>
          <w:sz w:val="28"/>
          <w:szCs w:val="23"/>
        </w:rPr>
        <w:t>，有長人</w:t>
      </w:r>
      <w:r w:rsidRPr="0055724E">
        <w:rPr>
          <w:rFonts w:ascii="Helvetica Neue" w:eastAsia="楷体" w:hAnsi="Helvetica Neue" w:cs="宋体"/>
          <w:color w:val="000000" w:themeColor="text1"/>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，緊接</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惡人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應該就指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爲人好的人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p>
    <w:p w14:paraId="0322A98D" w14:textId="77777777"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《韓非子》有兩篇提到</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今緩刑罰，行寬惠，是利奸邪而害</w:t>
      </w:r>
      <w:r w:rsidRPr="0055724E">
        <w:rPr>
          <w:rFonts w:ascii="Helvetica Neue" w:eastAsia="楷体" w:hAnsi="Helvetica Neue" w:cs="宋体"/>
          <w:b/>
          <w:bCs/>
          <w:color w:val="000000" w:themeColor="text1"/>
          <w:spacing w:val="8"/>
          <w:kern w:val="0"/>
          <w:sz w:val="28"/>
          <w:szCs w:val="23"/>
          <w:u w:val="single"/>
        </w:rPr>
        <w:t>善人</w:t>
      </w:r>
      <w:r w:rsidRPr="0055724E">
        <w:rPr>
          <w:rFonts w:ascii="Helvetica Neue" w:eastAsia="楷体" w:hAnsi="Helvetica Neue" w:cs="宋体"/>
          <w:color w:val="000000" w:themeColor="text1"/>
          <w:spacing w:val="8"/>
          <w:kern w:val="0"/>
          <w:sz w:val="28"/>
          <w:szCs w:val="23"/>
        </w:rPr>
        <w:t>也，此非所以爲治也。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18"/>
          <w:szCs w:val="18"/>
        </w:rPr>
        <w:t>（《難二》）</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可欲之類，進則教良民爲奸，退則令</w:t>
      </w:r>
      <w:r w:rsidRPr="0055724E">
        <w:rPr>
          <w:rFonts w:ascii="Helvetica Neue" w:eastAsia="楷体" w:hAnsi="Helvetica Neue" w:cs="宋体"/>
          <w:b/>
          <w:bCs/>
          <w:color w:val="000000" w:themeColor="text1"/>
          <w:spacing w:val="8"/>
          <w:kern w:val="0"/>
          <w:sz w:val="28"/>
          <w:szCs w:val="23"/>
          <w:u w:val="single"/>
        </w:rPr>
        <w:t>善人</w:t>
      </w:r>
      <w:r w:rsidRPr="0055724E">
        <w:rPr>
          <w:rFonts w:ascii="Helvetica Neue" w:eastAsia="楷体" w:hAnsi="Helvetica Neue" w:cs="宋体"/>
          <w:color w:val="000000" w:themeColor="text1"/>
          <w:spacing w:val="8"/>
          <w:kern w:val="0"/>
          <w:sz w:val="28"/>
          <w:szCs w:val="23"/>
        </w:rPr>
        <w:t>有禍。</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18"/>
          <w:szCs w:val="18"/>
        </w:rPr>
        <w:t>（《解老》）</w:t>
      </w:r>
      <w:r w:rsidRPr="0055724E">
        <w:rPr>
          <w:rFonts w:ascii="Helvetica Neue" w:hAnsi="Helvetica Neue" w:cs="宋体"/>
          <w:color w:val="353736"/>
          <w:spacing w:val="8"/>
          <w:kern w:val="0"/>
          <w:sz w:val="28"/>
          <w:szCs w:val="23"/>
        </w:rPr>
        <w:t>從文意看，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也應理解爲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爲人好的人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p>
    <w:p w14:paraId="209D516D" w14:textId="4F13BB1B" w:rsidR="009F4F5A" w:rsidRDefault="009F4F5A" w:rsidP="00445DA3">
      <w:pPr>
        <w:widowControl/>
        <w:spacing w:beforeLines="50" w:before="180" w:line="480" w:lineRule="auto"/>
        <w:ind w:firstLine="480"/>
        <w:rPr>
          <w:rFonts w:ascii="Helvetica Neue" w:hAnsi="Helvetica Neue" w:cs="宋体"/>
          <w:color w:val="353736"/>
          <w:spacing w:val="8"/>
          <w:kern w:val="0"/>
          <w:sz w:val="28"/>
          <w:szCs w:val="23"/>
        </w:rPr>
      </w:pPr>
      <w:r w:rsidRPr="0055724E">
        <w:rPr>
          <w:rFonts w:ascii="Helvetica Neue" w:hAnsi="Helvetica Neue" w:cs="宋体"/>
          <w:color w:val="353736"/>
          <w:spacing w:val="8"/>
          <w:kern w:val="0"/>
          <w:sz w:val="28"/>
          <w:szCs w:val="23"/>
        </w:rPr>
        <w:t>《荀子》和《韓非子》還各有一例並非與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對言的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得賢師而事之，則所聞者堯舜禹湯之道也；得良友而友之，則所見者忠信敬讓之行也。身日進于仁義而不自知也者，靡使然也。今與</w:t>
      </w:r>
      <w:r w:rsidRPr="0055724E">
        <w:rPr>
          <w:rFonts w:ascii="Helvetica Neue" w:eastAsia="楷体" w:hAnsi="Helvetica Neue" w:cs="宋体"/>
          <w:b/>
          <w:bCs/>
          <w:color w:val="000000" w:themeColor="text1"/>
          <w:spacing w:val="8"/>
          <w:kern w:val="0"/>
          <w:sz w:val="28"/>
          <w:szCs w:val="23"/>
          <w:u w:val="single"/>
        </w:rPr>
        <w:t>不善人</w:t>
      </w:r>
      <w:r w:rsidRPr="0055724E">
        <w:rPr>
          <w:rFonts w:ascii="Helvetica Neue" w:eastAsia="楷体" w:hAnsi="Helvetica Neue" w:cs="宋体"/>
          <w:color w:val="000000" w:themeColor="text1"/>
          <w:spacing w:val="8"/>
          <w:kern w:val="0"/>
          <w:sz w:val="28"/>
          <w:szCs w:val="23"/>
        </w:rPr>
        <w:t>處，則所聞者欺誣詐僞也，所見者汙漫淫邪貪利之行也，身且加于刑戮而不自知者，靡使然也。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18"/>
          <w:szCs w:val="18"/>
        </w:rPr>
        <w:t>（《荀子</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性惡》）</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鄭人有一子，將宦，謂其家曰：必築壞牆，是</w:t>
      </w:r>
      <w:r w:rsidRPr="0055724E">
        <w:rPr>
          <w:rFonts w:ascii="Helvetica Neue" w:eastAsia="楷体" w:hAnsi="Helvetica Neue" w:cs="宋体"/>
          <w:b/>
          <w:bCs/>
          <w:color w:val="000000" w:themeColor="text1"/>
          <w:spacing w:val="8"/>
          <w:kern w:val="0"/>
          <w:sz w:val="28"/>
          <w:szCs w:val="23"/>
          <w:u w:val="single"/>
        </w:rPr>
        <w:t>不善人</w:t>
      </w:r>
      <w:r w:rsidRPr="0055724E">
        <w:rPr>
          <w:rFonts w:ascii="Helvetica Neue" w:eastAsia="楷体" w:hAnsi="Helvetica Neue" w:cs="宋体"/>
          <w:color w:val="000000" w:themeColor="text1"/>
          <w:spacing w:val="8"/>
          <w:kern w:val="0"/>
          <w:sz w:val="28"/>
          <w:szCs w:val="23"/>
        </w:rPr>
        <w:t>將竊。</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18"/>
          <w:szCs w:val="18"/>
        </w:rPr>
        <w:t>（《韓非子</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説林下》）</w:t>
      </w:r>
      <w:r w:rsidRPr="0055724E">
        <w:rPr>
          <w:rFonts w:ascii="Helvetica Neue" w:hAnsi="Helvetica Neue" w:cs="宋体"/>
          <w:color w:val="353736"/>
          <w:spacing w:val="8"/>
          <w:kern w:val="0"/>
          <w:sz w:val="28"/>
          <w:szCs w:val="23"/>
        </w:rPr>
        <w:t>這兩例的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都已經可以理解爲壞人了。《韓非子》一例以</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指竊盜一類人，與前面講才德具備的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時</w:t>
      </w:r>
      <w:r w:rsidRPr="0055724E">
        <w:rPr>
          <w:rFonts w:ascii="Helvetica Neue" w:hAnsi="Helvetica Neue" w:cs="宋体"/>
          <w:color w:val="353736"/>
          <w:spacing w:val="8"/>
          <w:kern w:val="0"/>
          <w:sz w:val="18"/>
          <w:szCs w:val="18"/>
        </w:rPr>
        <w:t>［見三（二）</w:t>
      </w:r>
      <w:r w:rsidR="00687FDE" w:rsidRPr="00687FDE">
        <w:rPr>
          <w:rFonts w:hAnsi="Helvetica Neue" w:cs="宋体"/>
          <w:color w:val="353736"/>
          <w:spacing w:val="8"/>
          <w:kern w:val="0"/>
          <w:sz w:val="18"/>
          <w:szCs w:val="18"/>
        </w:rPr>
        <w:t>1</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28"/>
          <w:szCs w:val="23"/>
        </w:rPr>
        <w:t>所舉例（</w:t>
      </w:r>
      <w:r w:rsidR="00687FDE" w:rsidRPr="00687FDE">
        <w:rPr>
          <w:rFonts w:hAnsi="Helvetica Neue" w:cs="宋体"/>
          <w:color w:val="353736"/>
          <w:spacing w:val="8"/>
          <w:kern w:val="0"/>
          <w:sz w:val="28"/>
          <w:szCs w:val="23"/>
        </w:rPr>
        <w:t>5</w:t>
      </w:r>
      <w:r w:rsidRPr="0055724E">
        <w:rPr>
          <w:rFonts w:ascii="Helvetica Neue" w:hAnsi="Helvetica Neue" w:cs="宋体"/>
          <w:color w:val="353736"/>
          <w:spacing w:val="8"/>
          <w:kern w:val="0"/>
          <w:sz w:val="28"/>
          <w:szCs w:val="23"/>
        </w:rPr>
        <w:t>）中羊舌職以</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比擬</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晋國之盜</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相類。</w:t>
      </w:r>
    </w:p>
    <w:p w14:paraId="587FC04E" w14:textId="77777777" w:rsidR="00445DA3" w:rsidRPr="0055724E" w:rsidRDefault="00445DA3" w:rsidP="00445DA3">
      <w:pPr>
        <w:widowControl/>
        <w:spacing w:beforeLines="50" w:before="180" w:line="480" w:lineRule="auto"/>
        <w:ind w:firstLine="480"/>
        <w:rPr>
          <w:rFonts w:ascii="Helvetica Neue" w:hAnsi="Helvetica Neue" w:cs="宋体"/>
          <w:color w:val="616161"/>
          <w:spacing w:val="8"/>
          <w:kern w:val="0"/>
          <w:sz w:val="28"/>
          <w:szCs w:val="24"/>
        </w:rPr>
      </w:pPr>
    </w:p>
    <w:p w14:paraId="775CB95E" w14:textId="77777777" w:rsidR="009F4F5A" w:rsidRPr="0055724E" w:rsidRDefault="009F4F5A" w:rsidP="00445DA3">
      <w:pPr>
        <w:widowControl/>
        <w:spacing w:beforeLines="50" w:before="180" w:line="480" w:lineRule="auto"/>
        <w:rPr>
          <w:rFonts w:ascii="Helvetica Neue" w:hAnsi="Helvetica Neue" w:cs="宋体"/>
          <w:color w:val="616161"/>
          <w:spacing w:val="8"/>
          <w:kern w:val="0"/>
          <w:sz w:val="28"/>
          <w:szCs w:val="24"/>
        </w:rPr>
      </w:pPr>
      <w:r w:rsidRPr="0055724E">
        <w:rPr>
          <w:rFonts w:ascii="Helvetica Neue" w:hAnsi="Helvetica Neue" w:cs="宋体"/>
          <w:b/>
          <w:bCs/>
          <w:color w:val="353736"/>
          <w:spacing w:val="8"/>
          <w:kern w:val="0"/>
          <w:sz w:val="28"/>
          <w:szCs w:val="23"/>
        </w:rPr>
        <w:t>（四）當</w:t>
      </w:r>
      <w:r w:rsidRPr="0055724E">
        <w:rPr>
          <w:rFonts w:ascii="Helvetica Neue" w:hAnsi="Helvetica Neue" w:cs="宋体"/>
          <w:b/>
          <w:bCs/>
          <w:color w:val="353736"/>
          <w:spacing w:val="8"/>
          <w:kern w:val="0"/>
          <w:sz w:val="28"/>
          <w:szCs w:val="23"/>
        </w:rPr>
        <w:t>“</w:t>
      </w:r>
      <w:r w:rsidRPr="0055724E">
        <w:rPr>
          <w:rFonts w:ascii="Helvetica Neue" w:hAnsi="Helvetica Neue" w:cs="宋体"/>
          <w:b/>
          <w:bCs/>
          <w:color w:val="353736"/>
          <w:spacing w:val="8"/>
          <w:kern w:val="0"/>
          <w:sz w:val="28"/>
          <w:szCs w:val="23"/>
        </w:rPr>
        <w:t>爲人好</w:t>
      </w:r>
      <w:r w:rsidRPr="0055724E">
        <w:rPr>
          <w:rFonts w:ascii="Helvetica Neue" w:hAnsi="Helvetica Neue" w:cs="宋体"/>
          <w:b/>
          <w:bCs/>
          <w:color w:val="353736"/>
          <w:spacing w:val="8"/>
          <w:kern w:val="0"/>
          <w:sz w:val="28"/>
          <w:szCs w:val="23"/>
        </w:rPr>
        <w:t>/</w:t>
      </w:r>
      <w:r w:rsidRPr="0055724E">
        <w:rPr>
          <w:rFonts w:ascii="Helvetica Neue" w:hAnsi="Helvetica Neue" w:cs="宋体"/>
          <w:b/>
          <w:bCs/>
          <w:color w:val="353736"/>
          <w:spacing w:val="8"/>
          <w:kern w:val="0"/>
          <w:sz w:val="28"/>
          <w:szCs w:val="23"/>
        </w:rPr>
        <w:t>很好</w:t>
      </w:r>
      <w:r w:rsidRPr="0055724E">
        <w:rPr>
          <w:rFonts w:ascii="Helvetica Neue" w:hAnsi="Helvetica Neue" w:cs="宋体"/>
          <w:b/>
          <w:bCs/>
          <w:color w:val="353736"/>
          <w:spacing w:val="8"/>
          <w:kern w:val="0"/>
          <w:sz w:val="28"/>
          <w:szCs w:val="23"/>
        </w:rPr>
        <w:t>”</w:t>
      </w:r>
      <w:r w:rsidRPr="0055724E">
        <w:rPr>
          <w:rFonts w:ascii="Helvetica Neue" w:hAnsi="Helvetica Neue" w:cs="宋体"/>
          <w:b/>
          <w:bCs/>
          <w:color w:val="353736"/>
          <w:spacing w:val="8"/>
          <w:kern w:val="0"/>
          <w:sz w:val="28"/>
          <w:szCs w:val="23"/>
        </w:rPr>
        <w:t>講的單用的</w:t>
      </w:r>
      <w:r w:rsidRPr="0055724E">
        <w:rPr>
          <w:rFonts w:ascii="Helvetica Neue" w:hAnsi="Helvetica Neue" w:cs="宋体"/>
          <w:b/>
          <w:bCs/>
          <w:color w:val="353736"/>
          <w:spacing w:val="8"/>
          <w:kern w:val="0"/>
          <w:sz w:val="28"/>
          <w:szCs w:val="23"/>
        </w:rPr>
        <w:t>“</w:t>
      </w:r>
      <w:r w:rsidRPr="0055724E">
        <w:rPr>
          <w:rFonts w:ascii="Helvetica Neue" w:hAnsi="Helvetica Neue" w:cs="宋体"/>
          <w:b/>
          <w:bCs/>
          <w:color w:val="353736"/>
          <w:spacing w:val="8"/>
          <w:kern w:val="0"/>
          <w:sz w:val="28"/>
          <w:szCs w:val="23"/>
        </w:rPr>
        <w:t>善</w:t>
      </w:r>
      <w:r w:rsidRPr="0055724E">
        <w:rPr>
          <w:rFonts w:ascii="Helvetica Neue" w:hAnsi="Helvetica Neue" w:cs="宋体"/>
          <w:b/>
          <w:bCs/>
          <w:color w:val="353736"/>
          <w:spacing w:val="8"/>
          <w:kern w:val="0"/>
          <w:sz w:val="28"/>
          <w:szCs w:val="23"/>
        </w:rPr>
        <w:t>”</w:t>
      </w:r>
      <w:r w:rsidRPr="0055724E">
        <w:rPr>
          <w:rFonts w:ascii="Helvetica Neue" w:hAnsi="Helvetica Neue" w:cs="宋体"/>
          <w:b/>
          <w:bCs/>
          <w:color w:val="353736"/>
          <w:spacing w:val="8"/>
          <w:kern w:val="0"/>
          <w:sz w:val="28"/>
          <w:szCs w:val="23"/>
        </w:rPr>
        <w:t>字</w:t>
      </w:r>
    </w:p>
    <w:p w14:paraId="3B4042E2" w14:textId="77777777"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lastRenderedPageBreak/>
        <w:t>在先秦漢語中，單用的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字有些就應該當</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爲人好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或</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做好人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講。</w:t>
      </w:r>
    </w:p>
    <w:p w14:paraId="20082AA3" w14:textId="1330446B"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前面講含有才德具備者意思的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時</w:t>
      </w:r>
      <w:r w:rsidRPr="0055724E">
        <w:rPr>
          <w:rFonts w:ascii="Helvetica Neue" w:hAnsi="Helvetica Neue" w:cs="宋体"/>
          <w:color w:val="353736"/>
          <w:spacing w:val="8"/>
          <w:kern w:val="0"/>
          <w:sz w:val="18"/>
          <w:szCs w:val="18"/>
        </w:rPr>
        <w:t>［見三（二）</w:t>
      </w:r>
      <w:r w:rsidR="00687FDE" w:rsidRPr="00687FDE">
        <w:rPr>
          <w:rFonts w:hAnsi="Helvetica Neue" w:cs="宋体"/>
          <w:color w:val="353736"/>
          <w:spacing w:val="8"/>
          <w:kern w:val="0"/>
          <w:sz w:val="18"/>
          <w:szCs w:val="18"/>
        </w:rPr>
        <w:t>1</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28"/>
          <w:szCs w:val="23"/>
        </w:rPr>
        <w:t>所舉的例（</w:t>
      </w:r>
      <w:r w:rsidR="00687FDE" w:rsidRPr="00687FDE">
        <w:rPr>
          <w:rFonts w:hAnsi="Helvetica Neue" w:cs="宋体"/>
          <w:color w:val="353736"/>
          <w:spacing w:val="8"/>
          <w:kern w:val="0"/>
          <w:sz w:val="28"/>
          <w:szCs w:val="23"/>
        </w:rPr>
        <w:t>14</w:t>
      </w:r>
      <w:r w:rsidRPr="0055724E">
        <w:rPr>
          <w:rFonts w:ascii="Helvetica Neue" w:hAnsi="Helvetica Neue" w:cs="宋体"/>
          <w:color w:val="353736"/>
          <w:spacing w:val="8"/>
          <w:kern w:val="0"/>
          <w:sz w:val="28"/>
          <w:szCs w:val="23"/>
        </w:rPr>
        <w:t>）中有七個單用的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字，其中有六個應該當</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爲人好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做好人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講。現在將例（</w:t>
      </w:r>
      <w:r w:rsidR="00687FDE" w:rsidRPr="00687FDE">
        <w:rPr>
          <w:rFonts w:hAnsi="Helvetica Neue" w:cs="宋体"/>
          <w:color w:val="353736"/>
          <w:spacing w:val="8"/>
          <w:kern w:val="0"/>
          <w:sz w:val="28"/>
          <w:szCs w:val="23"/>
        </w:rPr>
        <w:t>14</w:t>
      </w:r>
      <w:r w:rsidRPr="0055724E">
        <w:rPr>
          <w:rFonts w:ascii="Helvetica Neue" w:hAnsi="Helvetica Neue" w:cs="宋体"/>
          <w:color w:val="353736"/>
          <w:spacing w:val="8"/>
          <w:kern w:val="0"/>
          <w:sz w:val="28"/>
          <w:szCs w:val="23"/>
        </w:rPr>
        <w:t>）中的有關文字解釋一下：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賴子之善，善之也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，意思是説</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想靠您的爲人好來使他（太子箴）做好人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善在太子，太子欲善，善人將至；若不欲善，善</w:t>
      </w:r>
      <w:r w:rsidRPr="0055724E">
        <w:rPr>
          <w:rFonts w:ascii="Helvetica Neue" w:hAnsi="Helvetica Neue" w:cs="宋体"/>
          <w:color w:val="353736"/>
          <w:spacing w:val="8"/>
          <w:kern w:val="0"/>
          <w:sz w:val="18"/>
          <w:szCs w:val="18"/>
        </w:rPr>
        <w:t>（此</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善</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指</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善人</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，前已説明）</w:t>
      </w:r>
      <w:r w:rsidRPr="0055724E">
        <w:rPr>
          <w:rFonts w:ascii="Helvetica Neue" w:hAnsi="Helvetica Neue" w:cs="宋体"/>
          <w:color w:val="353736"/>
          <w:spacing w:val="8"/>
          <w:kern w:val="0"/>
          <w:sz w:val="28"/>
          <w:szCs w:val="23"/>
        </w:rPr>
        <w:t>則不用</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，意思是説</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爲人好是太子的事，太子如果想做好人，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就會來；太子如果不想做好人，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就用不著了</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夫豈不欲其善，不能故也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意思是説</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（五王）難道不想讓他們（指五王之子）做好人嗎，是他們自己做不到</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p>
    <w:p w14:paraId="7FFC98E1" w14:textId="52F30DEC"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《論語</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顏淵》：</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季康子問政於孔子曰：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如殺無道，以就有道，何如？</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孔子對曰：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子爲政，焉用殺？</w:t>
      </w:r>
      <w:r w:rsidRPr="0055724E">
        <w:rPr>
          <w:rFonts w:ascii="Helvetica Neue" w:eastAsia="楷体" w:hAnsi="Helvetica Neue" w:cs="宋体"/>
          <w:b/>
          <w:bCs/>
          <w:color w:val="000000" w:themeColor="text1"/>
          <w:spacing w:val="8"/>
          <w:kern w:val="0"/>
          <w:sz w:val="28"/>
          <w:szCs w:val="23"/>
          <w:u w:val="single"/>
        </w:rPr>
        <w:t>子欲善，而民善矣</w:t>
      </w:r>
      <w:r w:rsidRPr="0055724E">
        <w:rPr>
          <w:rFonts w:ascii="Helvetica Neue" w:eastAsia="楷体" w:hAnsi="Helvetica Neue" w:cs="宋体"/>
          <w:color w:val="000000" w:themeColor="text1"/>
          <w:spacing w:val="8"/>
          <w:kern w:val="0"/>
          <w:sz w:val="28"/>
          <w:szCs w:val="23"/>
        </w:rPr>
        <w:t>。君子之德風，小人之德草，草上之風，必偃。</w:t>
      </w:r>
      <w:r w:rsidRPr="0055724E">
        <w:rPr>
          <w:rFonts w:ascii="Helvetica Neue" w:eastAsia="楷体" w:hAnsi="Helvetica Neue" w:cs="宋体"/>
          <w:color w:val="000000" w:themeColor="text1"/>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子欲善，而民善矣</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意思是説如果您想要把魯國的執政當得很好，百姓也就會做好人。劉寶楠用賈誼《新書</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大政下》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故君能爲善，則吏必能爲善矣。吏能爲善，則民必能爲善矣</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來解釋這一句</w:t>
      </w:r>
      <w:r w:rsidRPr="00965627">
        <w:rPr>
          <w:rStyle w:val="ae"/>
          <w:rFonts w:ascii="Helvetica Neue" w:hAnsi="Helvetica Neue" w:cs="宋体"/>
          <w:color w:val="353736"/>
          <w:spacing w:val="8"/>
          <w:kern w:val="0"/>
          <w:sz w:val="28"/>
          <w:szCs w:val="23"/>
        </w:rPr>
        <w:endnoteReference w:id="154"/>
      </w:r>
      <w:r w:rsidRPr="0055724E">
        <w:rPr>
          <w:rFonts w:ascii="Helvetica Neue" w:hAnsi="Helvetica Neue" w:cs="宋体"/>
          <w:color w:val="353736"/>
          <w:spacing w:val="8"/>
          <w:kern w:val="0"/>
          <w:sz w:val="28"/>
          <w:szCs w:val="23"/>
        </w:rPr>
        <w:t>，相當合適。這與我們上面所説的不同階層的人的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爲人好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情況是不同的説法相合。上</w:t>
      </w:r>
      <w:r w:rsidRPr="0055724E">
        <w:rPr>
          <w:rFonts w:ascii="Helvetica Neue" w:hAnsi="Helvetica Neue" w:cs="宋体"/>
          <w:color w:val="353736"/>
          <w:spacing w:val="8"/>
          <w:kern w:val="0"/>
          <w:sz w:val="28"/>
          <w:szCs w:val="23"/>
        </w:rPr>
        <w:lastRenderedPageBreak/>
        <w:t>引孔子對季康子之語中的兩個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字，雖然基本意義相同，但是如把</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子欲善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就理解爲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您想要做好人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，對當時的語境來説就不合適了。</w:t>
      </w:r>
    </w:p>
    <w:p w14:paraId="4CB93878" w14:textId="77777777"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《論語</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子張》：</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子貢曰：</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b/>
          <w:bCs/>
          <w:color w:val="000000" w:themeColor="text1"/>
          <w:spacing w:val="8"/>
          <w:kern w:val="0"/>
          <w:sz w:val="28"/>
          <w:szCs w:val="23"/>
          <w:u w:val="single"/>
        </w:rPr>
        <w:t>紂之不善</w:t>
      </w:r>
      <w:r w:rsidRPr="0055724E">
        <w:rPr>
          <w:rFonts w:ascii="Helvetica Neue" w:eastAsia="楷体" w:hAnsi="Helvetica Neue" w:cs="宋体"/>
          <w:color w:val="000000" w:themeColor="text1"/>
          <w:spacing w:val="8"/>
          <w:kern w:val="0"/>
          <w:sz w:val="28"/>
          <w:szCs w:val="23"/>
        </w:rPr>
        <w:t>，不如是之甚也。是以君子惡居下流，天下之惡皆歸焉。</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紂之不善，不如是之甚</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意思就是</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紂的爲人不好（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在這裏也可以理解爲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壞</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），並不像一般人所説的那樣嚴重</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p>
    <w:p w14:paraId="4CBC6C9C" w14:textId="218876D0"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郭店《性自命出》簡</w:t>
      </w:r>
      <w:r w:rsidR="00687FDE" w:rsidRPr="00687FDE">
        <w:rPr>
          <w:rFonts w:hAnsi="Helvetica Neue" w:cs="宋体"/>
          <w:color w:val="353736"/>
          <w:spacing w:val="8"/>
          <w:kern w:val="0"/>
          <w:sz w:val="28"/>
          <w:szCs w:val="23"/>
        </w:rPr>
        <w:t>4</w:t>
      </w:r>
      <w:r w:rsidRPr="0055724E">
        <w:rPr>
          <w:rFonts w:ascii="Helvetica Neue" w:hAnsi="Helvetica Neue" w:cs="宋体"/>
          <w:color w:val="353736"/>
          <w:spacing w:val="8"/>
          <w:kern w:val="0"/>
          <w:sz w:val="28"/>
          <w:szCs w:val="23"/>
        </w:rPr>
        <w:t>—</w:t>
      </w:r>
      <w:r w:rsidR="00687FDE" w:rsidRPr="00687FDE">
        <w:rPr>
          <w:rFonts w:hAnsi="Helvetica Neue" w:cs="宋体"/>
          <w:color w:val="353736"/>
          <w:spacing w:val="8"/>
          <w:kern w:val="0"/>
          <w:sz w:val="28"/>
          <w:szCs w:val="23"/>
        </w:rPr>
        <w:t>5</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好惡，性也；所好〔所〕惡，物也。善〔不善，性也〕</w:t>
      </w:r>
      <w:r w:rsidRPr="0055724E">
        <w:rPr>
          <w:rFonts w:ascii="Helvetica Neue" w:hAnsi="Helvetica Neue" w:cs="宋体"/>
          <w:color w:val="353736"/>
          <w:spacing w:val="8"/>
          <w:kern w:val="0"/>
          <w:sz w:val="18"/>
          <w:szCs w:val="18"/>
        </w:rPr>
        <w:t>（此四字原殘去，爲研究者所補。上博簡《性情論》爲《性自命出》之異本，内容大同小異，此四字正作</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不善性也</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w:t>
      </w:r>
      <w:r w:rsidRPr="0055724E">
        <w:rPr>
          <w:rFonts w:ascii="Helvetica Neue" w:eastAsia="楷体" w:hAnsi="Helvetica Neue" w:cs="宋体"/>
          <w:color w:val="000000" w:themeColor="text1"/>
          <w:spacing w:val="8"/>
          <w:kern w:val="0"/>
          <w:sz w:val="28"/>
          <w:szCs w:val="23"/>
        </w:rPr>
        <w:t>；所善所不善，勢也。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此文的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所</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字應該理解爲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所以</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。馬漢麟《古漢語</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所</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字的指代作用和</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所</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字詞組的分析》指出：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所</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字用在動詞或動賓詞組之前，指代的對象是相當廣泛的，可以説除了動詞行爲的施事以外，凡是與動詞行爲有關的方面大約都可以指代</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，例如</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工具、憑藉、原因、方式方法、相關人物，等等</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都可用</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所</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字指代。他所舉的用來指代</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工具、憑藉、原因</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的例子有：《左傳</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襄公三十一年》</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大官大邑，身之所蔽也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，《荀子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勸學》</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邪穢在身，怨之所構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，《莊子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胠篋》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彼曾、史、楊、墨、師曠、工倕、離朱，皆外立其德</w:t>
      </w:r>
      <w:r w:rsidRPr="0055724E">
        <w:rPr>
          <w:rFonts w:ascii="Helvetica Neue" w:hAnsi="Helvetica Neue" w:cs="宋体"/>
          <w:color w:val="353736"/>
          <w:spacing w:val="8"/>
          <w:kern w:val="0"/>
          <w:sz w:val="28"/>
          <w:szCs w:val="23"/>
        </w:rPr>
        <w:lastRenderedPageBreak/>
        <w:t>而以爚亂天下者也，法之所無用也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。他用</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所以</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來解釋這些</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所</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字，並指出《左傳</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襄公三十一年》一例下文中就有</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大官大邑，所以蔽身也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之語</w:t>
      </w:r>
      <w:r w:rsidRPr="00965627">
        <w:rPr>
          <w:rStyle w:val="ae"/>
          <w:rFonts w:ascii="Helvetica Neue" w:hAnsi="Helvetica Neue" w:cs="宋体"/>
          <w:color w:val="353736"/>
          <w:spacing w:val="8"/>
          <w:kern w:val="0"/>
          <w:sz w:val="28"/>
          <w:szCs w:val="23"/>
        </w:rPr>
        <w:endnoteReference w:id="155"/>
      </w:r>
      <w:r w:rsidRPr="0055724E">
        <w:rPr>
          <w:rFonts w:ascii="Helvetica Neue" w:hAnsi="Helvetica Neue" w:cs="宋体"/>
          <w:color w:val="353736"/>
          <w:spacing w:val="8"/>
          <w:kern w:val="0"/>
          <w:sz w:val="28"/>
          <w:szCs w:val="23"/>
        </w:rPr>
        <w:t>。上引《性自命出》兩句話的意思是説：</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好惡出自人性；所以表現出好或惡，是由於人接觸了物。做好人或做不好的人出自人性；導致一個人做好人或做不好的人的，是情勢、環境。</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《性自命出》還有</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動性者，物也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出性者，勢也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的話，可以用來印證我們對</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所好所惡，物也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所善所不善，勢也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的解釋。《孟子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告子上》</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公都子曰：告子曰：</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性無善無不善也。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或曰：</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性可以爲善，可以爲不善；是故文武興，則民好善；幽厲興，則民好暴。</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或曰：</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有性善，有性不善；是故以堯爲君而有象，以瞽瞍爲父而有舜</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文武興，則民好善；幽厲興，則民好暴</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就可以用來説明</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所善所不善，勢也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的含義，由此可見，《性自命出》篇的作者應該是持</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性可以爲善可以爲不善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説的</w:t>
      </w:r>
      <w:r w:rsidRPr="00965627">
        <w:rPr>
          <w:rStyle w:val="ae"/>
          <w:rFonts w:asciiTheme="minorEastAsia" w:hAnsiTheme="minorEastAsia" w:cs="宋体"/>
          <w:color w:val="000000"/>
          <w:kern w:val="0"/>
          <w:sz w:val="28"/>
          <w:szCs w:val="24"/>
        </w:rPr>
        <w:endnoteReference w:id="156"/>
      </w:r>
      <w:r w:rsidRPr="0055724E">
        <w:rPr>
          <w:rFonts w:ascii="Helvetica Neue" w:hAnsi="Helvetica Neue" w:cs="宋体"/>
          <w:color w:val="353736"/>
          <w:spacing w:val="8"/>
          <w:kern w:val="0"/>
          <w:sz w:val="28"/>
          <w:szCs w:val="23"/>
        </w:rPr>
        <w:t>。</w:t>
      </w:r>
    </w:p>
    <w:p w14:paraId="45A9A73F" w14:textId="77777777"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《性自命出》還有如下一段話：</w:t>
      </w:r>
    </w:p>
    <w:p w14:paraId="4E2CA1B0" w14:textId="7DED9EA5"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eastAsia="楷体" w:hAnsi="Helvetica Neue" w:cs="宋体"/>
          <w:color w:val="000000" w:themeColor="text1"/>
          <w:spacing w:val="8"/>
          <w:kern w:val="0"/>
          <w:sz w:val="28"/>
          <w:szCs w:val="23"/>
        </w:rPr>
        <w:t>凡人情爲可悦也。苟以其情，雖過不惡；不以其情，雖難不貴。苟有其情，未之爲，斯人信之矣。未言而信，有美情者也。未教而民</w:t>
      </w:r>
      <w:r>
        <w:rPr>
          <w:rFonts w:ascii="SimSun-ExtB" w:eastAsia="SimSun-ExtB" w:hAnsi="SimSun-ExtB" w:cs="SimSun-ExtB" w:hint="eastAsia"/>
          <w:color w:val="000000"/>
          <w:kern w:val="0"/>
          <w:szCs w:val="24"/>
          <w:lang w:eastAsia="zh-TW"/>
        </w:rPr>
        <w:t>𠄨</w:t>
      </w:r>
      <w:r w:rsidRPr="0055724E">
        <w:rPr>
          <w:rFonts w:ascii="Helvetica Neue" w:eastAsia="楷体" w:hAnsi="Helvetica Neue" w:cs="宋体"/>
          <w:color w:val="000000" w:themeColor="text1"/>
          <w:spacing w:val="8"/>
          <w:kern w:val="0"/>
          <w:sz w:val="28"/>
          <w:szCs w:val="23"/>
        </w:rPr>
        <w:t>（恒），性善者也。未賞而民勸，含福（富）者也。未刑而民畏，有心畏者也。</w:t>
      </w:r>
      <w:r w:rsidRPr="0055724E">
        <w:rPr>
          <w:rFonts w:ascii="Helvetica Neue" w:hAnsi="Helvetica Neue" w:cs="宋体"/>
          <w:color w:val="353736"/>
          <w:spacing w:val="8"/>
          <w:kern w:val="0"/>
          <w:sz w:val="18"/>
          <w:szCs w:val="18"/>
        </w:rPr>
        <w:t>（簡</w:t>
      </w:r>
      <w:r w:rsidR="00687FDE" w:rsidRPr="00687FDE">
        <w:rPr>
          <w:rFonts w:hAnsi="Helvetica Neue" w:cs="宋体"/>
          <w:color w:val="353736"/>
          <w:spacing w:val="8"/>
          <w:kern w:val="0"/>
          <w:sz w:val="18"/>
          <w:szCs w:val="18"/>
        </w:rPr>
        <w:t>50</w:t>
      </w:r>
      <w:r w:rsidRPr="0055724E">
        <w:rPr>
          <w:rFonts w:ascii="Helvetica Neue" w:hAnsi="Helvetica Neue" w:cs="宋体"/>
          <w:color w:val="353736"/>
          <w:spacing w:val="8"/>
          <w:kern w:val="0"/>
          <w:sz w:val="18"/>
          <w:szCs w:val="18"/>
        </w:rPr>
        <w:t>—</w:t>
      </w:r>
      <w:r w:rsidR="00687FDE" w:rsidRPr="00687FDE">
        <w:rPr>
          <w:rFonts w:hAnsi="Helvetica Neue" w:cs="宋体"/>
          <w:color w:val="353736"/>
          <w:spacing w:val="8"/>
          <w:kern w:val="0"/>
          <w:sz w:val="18"/>
          <w:szCs w:val="18"/>
        </w:rPr>
        <w:t>53</w:t>
      </w:r>
      <w:r w:rsidRPr="0055724E">
        <w:rPr>
          <w:rFonts w:ascii="Helvetica Neue" w:hAnsi="Helvetica Neue" w:cs="宋体"/>
          <w:color w:val="353736"/>
          <w:spacing w:val="8"/>
          <w:kern w:val="0"/>
          <w:sz w:val="18"/>
          <w:szCs w:val="18"/>
        </w:rPr>
        <w:t>）</w:t>
      </w:r>
    </w:p>
    <w:p w14:paraId="3F267230" w14:textId="674214C8" w:rsidR="009F4F5A" w:rsidRPr="0055724E" w:rsidRDefault="009F4F5A" w:rsidP="00445DA3">
      <w:pPr>
        <w:widowControl/>
        <w:spacing w:beforeLines="50" w:before="180" w:line="480" w:lineRule="auto"/>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lastRenderedPageBreak/>
        <w:t>“</w:t>
      </w:r>
      <w:r w:rsidRPr="0055724E">
        <w:rPr>
          <w:rFonts w:ascii="Helvetica Neue" w:hAnsi="Helvetica Neue" w:cs="宋体"/>
          <w:color w:val="353736"/>
          <w:spacing w:val="8"/>
          <w:kern w:val="0"/>
          <w:sz w:val="28"/>
          <w:szCs w:val="23"/>
        </w:rPr>
        <w:t>未教而民恒，性善者也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是</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苟有其情，未之爲，斯人信之矣</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的一個具體例子。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教民</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者的目的是要使民向</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，《孟子》的《梁惠王上》《滕文公上》兩篇都説民</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苟無恒心，放辟邪侈無不爲已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，民若有恒就能符合統治者的要求，不做壞事，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未教而民恒</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就是爲政者未教而民信之的意思。由於教民者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性善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，本身就爲人很好，所以民</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信之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，能够未教而向善。前引《管子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小稱》</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善人在則治，在於既善所以感之也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18"/>
          <w:szCs w:val="18"/>
        </w:rPr>
        <w:t>［三（二）</w:t>
      </w:r>
      <w:r w:rsidR="00687FDE" w:rsidRPr="00687FDE">
        <w:rPr>
          <w:rFonts w:hAnsi="Helvetica Neue" w:cs="宋体"/>
          <w:color w:val="353736"/>
          <w:spacing w:val="8"/>
          <w:kern w:val="0"/>
          <w:sz w:val="18"/>
          <w:szCs w:val="18"/>
        </w:rPr>
        <w:t>1</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例（</w:t>
      </w:r>
      <w:r w:rsidR="00687FDE" w:rsidRPr="00687FDE">
        <w:rPr>
          <w:rFonts w:hAnsi="Helvetica Neue" w:cs="宋体"/>
          <w:color w:val="353736"/>
          <w:spacing w:val="8"/>
          <w:kern w:val="0"/>
          <w:sz w:val="18"/>
          <w:szCs w:val="18"/>
        </w:rPr>
        <w:t>21</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28"/>
          <w:szCs w:val="23"/>
        </w:rPr>
        <w:t>，可以幫助我們理解此句之意。</w:t>
      </w:r>
    </w:p>
    <w:p w14:paraId="6FAE7E39" w14:textId="77777777"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前引《墨子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尚同下》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上之爲政，得下之情，則是明於民之善非也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善非</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應該就是善與不善的意思，也就是爲人好和爲人不好的意思。</w:t>
      </w:r>
    </w:p>
    <w:p w14:paraId="264431E6" w14:textId="77777777"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把</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爲人好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説成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，跟前面講過的禾長得好，脾、音樂等起作用起得好稱爲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18"/>
          <w:szCs w:val="18"/>
        </w:rPr>
        <w:t>［見一（六）］</w:t>
      </w:r>
      <w:r w:rsidRPr="0055724E">
        <w:rPr>
          <w:rFonts w:ascii="Helvetica Neue" w:hAnsi="Helvetica Neue" w:cs="宋体"/>
          <w:color w:val="353736"/>
          <w:spacing w:val="8"/>
          <w:kern w:val="0"/>
          <w:sz w:val="28"/>
          <w:szCs w:val="23"/>
        </w:rPr>
        <w:t>，其情況其實是很相似的。</w:t>
      </w:r>
    </w:p>
    <w:p w14:paraId="28BD6186" w14:textId="77777777" w:rsidR="00445DA3" w:rsidRDefault="00445DA3" w:rsidP="00445DA3">
      <w:pPr>
        <w:widowControl/>
        <w:spacing w:beforeLines="50" w:before="180" w:line="480" w:lineRule="auto"/>
        <w:rPr>
          <w:rFonts w:ascii="Helvetica Neue" w:hAnsi="Helvetica Neue" w:cs="宋体"/>
          <w:b/>
          <w:bCs/>
          <w:color w:val="353736"/>
          <w:spacing w:val="8"/>
          <w:kern w:val="0"/>
          <w:sz w:val="28"/>
          <w:szCs w:val="23"/>
        </w:rPr>
      </w:pPr>
    </w:p>
    <w:p w14:paraId="7024673D" w14:textId="38016646" w:rsidR="009F4F5A" w:rsidRPr="0055724E" w:rsidRDefault="009F4F5A" w:rsidP="00445DA3">
      <w:pPr>
        <w:widowControl/>
        <w:spacing w:beforeLines="50" w:before="180" w:line="480" w:lineRule="auto"/>
        <w:rPr>
          <w:rFonts w:ascii="Helvetica Neue" w:hAnsi="Helvetica Neue" w:cs="宋体"/>
          <w:color w:val="616161"/>
          <w:spacing w:val="8"/>
          <w:kern w:val="0"/>
          <w:sz w:val="28"/>
          <w:szCs w:val="24"/>
        </w:rPr>
      </w:pPr>
      <w:r w:rsidRPr="0055724E">
        <w:rPr>
          <w:rFonts w:ascii="Helvetica Neue" w:hAnsi="Helvetica Neue" w:cs="宋体"/>
          <w:b/>
          <w:bCs/>
          <w:color w:val="353736"/>
          <w:spacing w:val="8"/>
          <w:kern w:val="0"/>
          <w:sz w:val="28"/>
          <w:szCs w:val="23"/>
        </w:rPr>
        <w:t>（五）當</w:t>
      </w:r>
      <w:r w:rsidRPr="0055724E">
        <w:rPr>
          <w:rFonts w:ascii="Helvetica Neue" w:hAnsi="Helvetica Neue" w:cs="宋体"/>
          <w:b/>
          <w:bCs/>
          <w:color w:val="353736"/>
          <w:spacing w:val="8"/>
          <w:kern w:val="0"/>
          <w:sz w:val="28"/>
          <w:szCs w:val="23"/>
        </w:rPr>
        <w:t>“</w:t>
      </w:r>
      <w:r w:rsidRPr="0055724E">
        <w:rPr>
          <w:rFonts w:ascii="Helvetica Neue" w:hAnsi="Helvetica Neue" w:cs="宋体"/>
          <w:b/>
          <w:bCs/>
          <w:color w:val="353736"/>
          <w:spacing w:val="8"/>
          <w:kern w:val="0"/>
          <w:sz w:val="28"/>
          <w:szCs w:val="23"/>
        </w:rPr>
        <w:t>爲人好的人</w:t>
      </w:r>
      <w:r w:rsidRPr="0055724E">
        <w:rPr>
          <w:rFonts w:ascii="Helvetica Neue" w:hAnsi="Helvetica Neue" w:cs="宋体"/>
          <w:b/>
          <w:bCs/>
          <w:color w:val="353736"/>
          <w:spacing w:val="8"/>
          <w:kern w:val="0"/>
          <w:sz w:val="28"/>
          <w:szCs w:val="23"/>
        </w:rPr>
        <w:t>”</w:t>
      </w:r>
      <w:r w:rsidRPr="0055724E">
        <w:rPr>
          <w:rFonts w:ascii="Helvetica Neue" w:hAnsi="Helvetica Neue" w:cs="宋体"/>
          <w:b/>
          <w:bCs/>
          <w:color w:val="353736"/>
          <w:spacing w:val="8"/>
          <w:kern w:val="0"/>
          <w:sz w:val="28"/>
          <w:szCs w:val="23"/>
        </w:rPr>
        <w:t>講的</w:t>
      </w:r>
      <w:r w:rsidRPr="0055724E">
        <w:rPr>
          <w:rFonts w:ascii="Helvetica Neue" w:hAnsi="Helvetica Neue" w:cs="宋体"/>
          <w:b/>
          <w:bCs/>
          <w:color w:val="353736"/>
          <w:spacing w:val="8"/>
          <w:kern w:val="0"/>
          <w:sz w:val="28"/>
          <w:szCs w:val="23"/>
        </w:rPr>
        <w:t>“</w:t>
      </w:r>
      <w:r w:rsidRPr="0055724E">
        <w:rPr>
          <w:rFonts w:ascii="Helvetica Neue" w:hAnsi="Helvetica Neue" w:cs="宋体"/>
          <w:b/>
          <w:bCs/>
          <w:color w:val="353736"/>
          <w:spacing w:val="8"/>
          <w:kern w:val="0"/>
          <w:sz w:val="28"/>
          <w:szCs w:val="23"/>
        </w:rPr>
        <w:t>善者</w:t>
      </w:r>
      <w:r w:rsidRPr="0055724E">
        <w:rPr>
          <w:rFonts w:ascii="Helvetica Neue" w:hAnsi="Helvetica Neue" w:cs="宋体"/>
          <w:b/>
          <w:bCs/>
          <w:color w:val="353736"/>
          <w:spacing w:val="8"/>
          <w:kern w:val="0"/>
          <w:sz w:val="28"/>
          <w:szCs w:val="23"/>
        </w:rPr>
        <w:t>”</w:t>
      </w:r>
      <w:r w:rsidRPr="0055724E">
        <w:rPr>
          <w:rFonts w:ascii="Helvetica Neue" w:hAnsi="Helvetica Neue" w:cs="宋体"/>
          <w:b/>
          <w:bCs/>
          <w:color w:val="353736"/>
          <w:spacing w:val="8"/>
          <w:kern w:val="0"/>
          <w:sz w:val="28"/>
          <w:szCs w:val="23"/>
        </w:rPr>
        <w:t>、</w:t>
      </w:r>
      <w:r w:rsidRPr="0055724E">
        <w:rPr>
          <w:rFonts w:ascii="Helvetica Neue" w:hAnsi="Helvetica Neue" w:cs="宋体"/>
          <w:b/>
          <w:bCs/>
          <w:color w:val="353736"/>
          <w:spacing w:val="8"/>
          <w:kern w:val="0"/>
          <w:sz w:val="28"/>
          <w:szCs w:val="23"/>
        </w:rPr>
        <w:t>“</w:t>
      </w:r>
      <w:r w:rsidRPr="0055724E">
        <w:rPr>
          <w:rFonts w:ascii="Helvetica Neue" w:hAnsi="Helvetica Neue" w:cs="宋体"/>
          <w:b/>
          <w:bCs/>
          <w:color w:val="353736"/>
          <w:spacing w:val="8"/>
          <w:kern w:val="0"/>
          <w:sz w:val="28"/>
          <w:szCs w:val="23"/>
        </w:rPr>
        <w:t>善人</w:t>
      </w:r>
      <w:r w:rsidRPr="0055724E">
        <w:rPr>
          <w:rFonts w:ascii="Helvetica Neue" w:hAnsi="Helvetica Neue" w:cs="宋体"/>
          <w:b/>
          <w:bCs/>
          <w:color w:val="353736"/>
          <w:spacing w:val="8"/>
          <w:kern w:val="0"/>
          <w:sz w:val="28"/>
          <w:szCs w:val="23"/>
        </w:rPr>
        <w:t>”</w:t>
      </w:r>
      <w:r w:rsidRPr="0055724E">
        <w:rPr>
          <w:rFonts w:ascii="Helvetica Neue" w:hAnsi="Helvetica Neue" w:cs="宋体"/>
          <w:b/>
          <w:bCs/>
          <w:color w:val="353736"/>
          <w:spacing w:val="8"/>
          <w:kern w:val="0"/>
          <w:sz w:val="28"/>
          <w:szCs w:val="23"/>
        </w:rPr>
        <w:t>也可徑稱</w:t>
      </w:r>
      <w:r w:rsidRPr="0055724E">
        <w:rPr>
          <w:rFonts w:ascii="Helvetica Neue" w:hAnsi="Helvetica Neue" w:cs="宋体"/>
          <w:b/>
          <w:bCs/>
          <w:color w:val="353736"/>
          <w:spacing w:val="8"/>
          <w:kern w:val="0"/>
          <w:sz w:val="28"/>
          <w:szCs w:val="23"/>
        </w:rPr>
        <w:t>“</w:t>
      </w:r>
      <w:r w:rsidRPr="0055724E">
        <w:rPr>
          <w:rFonts w:ascii="Helvetica Neue" w:hAnsi="Helvetica Neue" w:cs="宋体"/>
          <w:b/>
          <w:bCs/>
          <w:color w:val="353736"/>
          <w:spacing w:val="8"/>
          <w:kern w:val="0"/>
          <w:sz w:val="28"/>
          <w:szCs w:val="23"/>
        </w:rPr>
        <w:t>善</w:t>
      </w:r>
      <w:r w:rsidRPr="0055724E">
        <w:rPr>
          <w:rFonts w:ascii="Helvetica Neue" w:hAnsi="Helvetica Neue" w:cs="宋体"/>
          <w:b/>
          <w:bCs/>
          <w:color w:val="353736"/>
          <w:spacing w:val="8"/>
          <w:kern w:val="0"/>
          <w:sz w:val="28"/>
          <w:szCs w:val="23"/>
        </w:rPr>
        <w:t>”</w:t>
      </w:r>
    </w:p>
    <w:p w14:paraId="3F99731D" w14:textId="415D7465"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前面曾舉過以單用的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指稱能幹的人</w:t>
      </w:r>
      <w:r w:rsidRPr="0055724E">
        <w:rPr>
          <w:rFonts w:ascii="Helvetica Neue" w:hAnsi="Helvetica Neue" w:cs="宋体"/>
          <w:color w:val="353736"/>
          <w:spacing w:val="8"/>
          <w:kern w:val="0"/>
          <w:sz w:val="18"/>
          <w:szCs w:val="18"/>
        </w:rPr>
        <w:t>（《論語</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爲政》</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舉善而教不能</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，清華簡《子產》</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由善用聖</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28"/>
          <w:szCs w:val="23"/>
        </w:rPr>
        <w:t>、以及指稱當</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才德具備的人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講的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18"/>
          <w:szCs w:val="18"/>
        </w:rPr>
        <w:t>［如見</w:t>
      </w:r>
      <w:r w:rsidRPr="0055724E">
        <w:rPr>
          <w:rFonts w:ascii="Helvetica Neue" w:hAnsi="Helvetica Neue" w:cs="宋体"/>
          <w:color w:val="353736"/>
          <w:spacing w:val="8"/>
          <w:kern w:val="0"/>
          <w:sz w:val="18"/>
          <w:szCs w:val="18"/>
        </w:rPr>
        <w:lastRenderedPageBreak/>
        <w:t>於三（二）</w:t>
      </w:r>
      <w:r w:rsidR="00687FDE" w:rsidRPr="00687FDE">
        <w:rPr>
          <w:rFonts w:hAnsi="Helvetica Neue" w:cs="宋体"/>
          <w:color w:val="353736"/>
          <w:spacing w:val="8"/>
          <w:kern w:val="0"/>
          <w:sz w:val="18"/>
          <w:szCs w:val="18"/>
        </w:rPr>
        <w:t>1</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例（</w:t>
      </w:r>
      <w:r w:rsidR="00687FDE" w:rsidRPr="00687FDE">
        <w:rPr>
          <w:rFonts w:hAnsi="Helvetica Neue" w:cs="宋体"/>
          <w:color w:val="353736"/>
          <w:spacing w:val="8"/>
          <w:kern w:val="0"/>
          <w:sz w:val="18"/>
          <w:szCs w:val="18"/>
        </w:rPr>
        <w:t>14</w:t>
      </w:r>
      <w:r w:rsidRPr="0055724E">
        <w:rPr>
          <w:rFonts w:ascii="Helvetica Neue" w:hAnsi="Helvetica Neue" w:cs="宋体"/>
          <w:color w:val="353736"/>
          <w:spacing w:val="8"/>
          <w:kern w:val="0"/>
          <w:sz w:val="18"/>
          <w:szCs w:val="18"/>
        </w:rPr>
        <w:t>）的</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善則不用</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、例（</w:t>
      </w:r>
      <w:r w:rsidR="00687FDE" w:rsidRPr="00687FDE">
        <w:rPr>
          <w:rFonts w:hAnsi="Helvetica Neue" w:cs="宋体"/>
          <w:color w:val="353736"/>
          <w:spacing w:val="8"/>
          <w:kern w:val="0"/>
          <w:sz w:val="18"/>
          <w:szCs w:val="18"/>
        </w:rPr>
        <w:t>20</w:t>
      </w:r>
      <w:r w:rsidRPr="0055724E">
        <w:rPr>
          <w:rFonts w:ascii="Helvetica Neue" w:hAnsi="Helvetica Neue" w:cs="宋体"/>
          <w:color w:val="353736"/>
          <w:spacing w:val="8"/>
          <w:kern w:val="0"/>
          <w:sz w:val="18"/>
          <w:szCs w:val="18"/>
        </w:rPr>
        <w:t>）的</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好善而忘勢</w:t>
      </w:r>
      <w:r w:rsidRPr="0055724E">
        <w:rPr>
          <w:rFonts w:ascii="Helvetica Neue" w:hAnsi="Helvetica Neue" w:cs="宋体"/>
          <w:color w:val="353736"/>
          <w:spacing w:val="8"/>
          <w:kern w:val="0"/>
          <w:sz w:val="18"/>
          <w:szCs w:val="18"/>
        </w:rPr>
        <w:t>”</w:t>
      </w:r>
      <w:r>
        <w:rPr>
          <w:rStyle w:val="ae"/>
          <w:rFonts w:ascii="Helvetica Neue" w:hAnsi="Helvetica Neue" w:cs="宋体"/>
          <w:color w:val="353736"/>
          <w:spacing w:val="8"/>
          <w:kern w:val="0"/>
          <w:sz w:val="18"/>
          <w:szCs w:val="18"/>
        </w:rPr>
        <w:endnoteReference w:id="157"/>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28"/>
          <w:szCs w:val="23"/>
        </w:rPr>
        <w:t>的例子，當</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爲人好的人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講的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也有單用</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字來指稱的。上引《鬼神之明》文的開始一段中有</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賞善罰暴</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之語</w:t>
      </w:r>
      <w:r w:rsidRPr="0055724E">
        <w:rPr>
          <w:rFonts w:ascii="Helvetica Neue" w:hAnsi="Helvetica Neue" w:cs="宋体"/>
          <w:color w:val="353736"/>
          <w:spacing w:val="8"/>
          <w:kern w:val="0"/>
          <w:sz w:val="18"/>
          <w:szCs w:val="18"/>
        </w:rPr>
        <w:t>［見三（三）］</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和</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暴</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指的就是其下文中的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暴者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p>
    <w:p w14:paraId="05F494DC" w14:textId="77777777"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先秦漢語中屢見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賞善罰暴</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這類説法</w:t>
      </w:r>
      <w:r w:rsidRPr="0055724E">
        <w:rPr>
          <w:rFonts w:ascii="Helvetica Neue" w:hAnsi="Helvetica Neue" w:cs="宋体"/>
          <w:color w:val="353736"/>
          <w:spacing w:val="8"/>
          <w:kern w:val="0"/>
          <w:sz w:val="18"/>
          <w:szCs w:val="18"/>
        </w:rPr>
        <w:t>（與</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善</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相對的也可以是其他表示惡德的詞；賞罰之意，也有多種表達方式）</w:t>
      </w:r>
      <w:r w:rsidRPr="0055724E">
        <w:rPr>
          <w:rFonts w:ascii="Helvetica Neue" w:hAnsi="Helvetica Neue" w:cs="宋体"/>
          <w:color w:val="353736"/>
          <w:spacing w:val="8"/>
          <w:kern w:val="0"/>
          <w:sz w:val="28"/>
          <w:szCs w:val="23"/>
        </w:rPr>
        <w:t>：《左傳</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襄公十四年》記師曠對晋侯之語有</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良君將賞善而刑淫</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，《成公十四年》</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君子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評《春秋》之語有</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懲惡而勸善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；《國語</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周語中》</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定王使單襄公聘於宋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章單襄公所引</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先王之令</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有</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天道賞善而罰淫</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，《晋語九》</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中行穆子帥師伐狄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章記中行穆子之語有</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賞善罰奸，國之憲法也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；《墨子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天志下》</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賞善罰暴</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之語兩見，《非命下》</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賞善罰暴</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一見；《韓非子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有度》篇有</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刑過不避大臣，賞善不遺匹夫</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之語，《八經》篇有</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明君求善而賞之，求奸而誅之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之語，《難三》篇有</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故賞賢罰暴，舉善之至者也；賞暴罰賢，舉惡之至者也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之語；其中的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過</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奸</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惡</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諸字爲對文，所言之事皆與賞罰有關，</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亦宜當</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爲人好的人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講。</w:t>
      </w:r>
    </w:p>
    <w:p w14:paraId="6B41FAA8" w14:textId="06D050BB" w:rsidR="009F4F5A" w:rsidRDefault="009F4F5A" w:rsidP="00445DA3">
      <w:pPr>
        <w:widowControl/>
        <w:spacing w:beforeLines="50" w:before="180" w:line="480" w:lineRule="auto"/>
        <w:ind w:firstLine="480"/>
        <w:rPr>
          <w:rFonts w:ascii="Helvetica Neue" w:hAnsi="Helvetica Neue" w:cs="宋体"/>
          <w:color w:val="353736"/>
          <w:spacing w:val="8"/>
          <w:kern w:val="0"/>
          <w:sz w:val="28"/>
          <w:szCs w:val="23"/>
        </w:rPr>
      </w:pPr>
      <w:r w:rsidRPr="0055724E">
        <w:rPr>
          <w:rFonts w:ascii="Helvetica Neue" w:hAnsi="Helvetica Neue" w:cs="宋体"/>
          <w:color w:val="353736"/>
          <w:spacing w:val="8"/>
          <w:kern w:val="0"/>
          <w:sz w:val="28"/>
          <w:szCs w:val="23"/>
        </w:rPr>
        <w:t>《商君書</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畫策》篇中也有這樣的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故善治者，刑不</w:t>
      </w:r>
      <w:r w:rsidRPr="0055724E">
        <w:rPr>
          <w:rFonts w:ascii="Helvetica Neue" w:eastAsia="楷体" w:hAnsi="Helvetica Neue" w:cs="宋体"/>
          <w:b/>
          <w:bCs/>
          <w:color w:val="000000" w:themeColor="text1"/>
          <w:spacing w:val="8"/>
          <w:kern w:val="0"/>
          <w:sz w:val="28"/>
          <w:szCs w:val="23"/>
          <w:u w:val="single"/>
        </w:rPr>
        <w:t>善</w:t>
      </w:r>
      <w:r w:rsidRPr="0055724E">
        <w:rPr>
          <w:rFonts w:ascii="Helvetica Neue" w:eastAsia="楷体" w:hAnsi="Helvetica Neue" w:cs="宋体"/>
          <w:color w:val="000000" w:themeColor="text1"/>
          <w:spacing w:val="8"/>
          <w:kern w:val="0"/>
          <w:sz w:val="28"/>
          <w:szCs w:val="23"/>
        </w:rPr>
        <w:t>，而不賞</w:t>
      </w:r>
      <w:r w:rsidRPr="0055724E">
        <w:rPr>
          <w:rFonts w:ascii="Helvetica Neue" w:eastAsia="楷体" w:hAnsi="Helvetica Neue" w:cs="宋体"/>
          <w:b/>
          <w:bCs/>
          <w:color w:val="000000" w:themeColor="text1"/>
          <w:spacing w:val="8"/>
          <w:kern w:val="0"/>
          <w:sz w:val="28"/>
          <w:szCs w:val="23"/>
          <w:u w:val="single"/>
        </w:rPr>
        <w:t>善</w:t>
      </w:r>
      <w:r w:rsidRPr="0055724E">
        <w:rPr>
          <w:rFonts w:ascii="Helvetica Neue" w:eastAsia="楷体" w:hAnsi="Helvetica Neue" w:cs="宋体"/>
          <w:color w:val="000000" w:themeColor="text1"/>
          <w:spacing w:val="8"/>
          <w:kern w:val="0"/>
          <w:sz w:val="28"/>
          <w:szCs w:val="23"/>
        </w:rPr>
        <w:t>，故不刑而民善。不刑而民善，刑重也。刑重者，民不</w:t>
      </w:r>
      <w:r w:rsidRPr="0055724E">
        <w:rPr>
          <w:rFonts w:ascii="Helvetica Neue" w:eastAsia="楷体" w:hAnsi="Helvetica Neue" w:cs="宋体"/>
          <w:color w:val="000000" w:themeColor="text1"/>
          <w:spacing w:val="8"/>
          <w:kern w:val="0"/>
          <w:sz w:val="28"/>
          <w:szCs w:val="23"/>
        </w:rPr>
        <w:lastRenderedPageBreak/>
        <w:t>敢犯，故無刑也，而民莫敢爲非，是一國皆善也。故不賞</w:t>
      </w:r>
      <w:r w:rsidRPr="0055724E">
        <w:rPr>
          <w:rFonts w:ascii="Helvetica Neue" w:eastAsia="楷体" w:hAnsi="Helvetica Neue" w:cs="宋体"/>
          <w:b/>
          <w:bCs/>
          <w:color w:val="000000" w:themeColor="text1"/>
          <w:spacing w:val="8"/>
          <w:kern w:val="0"/>
          <w:sz w:val="28"/>
          <w:szCs w:val="23"/>
          <w:u w:val="single"/>
        </w:rPr>
        <w:t>善</w:t>
      </w:r>
      <w:r w:rsidRPr="0055724E">
        <w:rPr>
          <w:rFonts w:ascii="Helvetica Neue" w:eastAsia="楷体" w:hAnsi="Helvetica Neue" w:cs="宋体"/>
          <w:color w:val="000000" w:themeColor="text1"/>
          <w:spacing w:val="8"/>
          <w:kern w:val="0"/>
          <w:sz w:val="28"/>
          <w:szCs w:val="23"/>
        </w:rPr>
        <w:t>，而民善。賞</w:t>
      </w:r>
      <w:r w:rsidRPr="0055724E">
        <w:rPr>
          <w:rFonts w:ascii="Helvetica Neue" w:eastAsia="楷体" w:hAnsi="Helvetica Neue" w:cs="宋体"/>
          <w:b/>
          <w:bCs/>
          <w:color w:val="000000" w:themeColor="text1"/>
          <w:spacing w:val="8"/>
          <w:kern w:val="0"/>
          <w:sz w:val="28"/>
          <w:szCs w:val="23"/>
          <w:u w:val="single"/>
        </w:rPr>
        <w:t>善</w:t>
      </w:r>
      <w:r w:rsidRPr="0055724E">
        <w:rPr>
          <w:rFonts w:ascii="Helvetica Neue" w:eastAsia="楷体" w:hAnsi="Helvetica Neue" w:cs="宋体"/>
          <w:color w:val="000000" w:themeColor="text1"/>
          <w:spacing w:val="8"/>
          <w:kern w:val="0"/>
          <w:sz w:val="28"/>
          <w:szCs w:val="23"/>
        </w:rPr>
        <w:t>之不可也，猶賞不盜。</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這段話中，</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善治者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應該當</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擅長</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講，與我們現在的討論無關。其他的那些</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字，名詞性的應該都指爲人好的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民</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，作爲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刑</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的賓語的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則指爲人不好、爲人壞的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民</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。動詞性的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則應理解爲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爲人好</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或</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做好人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。此文有</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而民莫敢爲非，是一國皆善也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之語，可知</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爲非</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就是</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。下文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四（一）例（</w:t>
      </w:r>
      <w:r w:rsidR="00687FDE" w:rsidRPr="00687FDE">
        <w:rPr>
          <w:rFonts w:hAnsi="Helvetica Neue" w:cs="宋体"/>
          <w:color w:val="353736"/>
          <w:spacing w:val="8"/>
          <w:kern w:val="0"/>
          <w:sz w:val="28"/>
          <w:szCs w:val="23"/>
        </w:rPr>
        <w:t>2</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明確以</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爲善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爲非</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對舉，可參看。</w:t>
      </w:r>
    </w:p>
    <w:p w14:paraId="2562F0D5" w14:textId="77777777" w:rsidR="00445DA3" w:rsidRPr="0055724E" w:rsidRDefault="00445DA3" w:rsidP="00445DA3">
      <w:pPr>
        <w:widowControl/>
        <w:spacing w:beforeLines="50" w:before="180" w:line="480" w:lineRule="auto"/>
        <w:ind w:firstLine="480"/>
        <w:rPr>
          <w:rFonts w:ascii="Helvetica Neue" w:hAnsi="Helvetica Neue" w:cs="宋体"/>
          <w:color w:val="616161"/>
          <w:spacing w:val="8"/>
          <w:kern w:val="0"/>
          <w:sz w:val="28"/>
          <w:szCs w:val="24"/>
        </w:rPr>
      </w:pPr>
    </w:p>
    <w:p w14:paraId="1374C465" w14:textId="77777777" w:rsidR="009F4F5A" w:rsidRPr="0055724E" w:rsidRDefault="009F4F5A" w:rsidP="00445DA3">
      <w:pPr>
        <w:widowControl/>
        <w:spacing w:beforeLines="50" w:before="180" w:line="480" w:lineRule="auto"/>
        <w:rPr>
          <w:rFonts w:ascii="Helvetica Neue" w:hAnsi="Helvetica Neue" w:cs="宋体"/>
          <w:color w:val="616161"/>
          <w:spacing w:val="8"/>
          <w:kern w:val="0"/>
          <w:sz w:val="28"/>
          <w:szCs w:val="24"/>
        </w:rPr>
      </w:pPr>
      <w:r w:rsidRPr="0055724E">
        <w:rPr>
          <w:rFonts w:ascii="Helvetica Neue" w:hAnsi="Helvetica Neue" w:cs="宋体"/>
          <w:b/>
          <w:bCs/>
          <w:color w:val="353736"/>
          <w:spacing w:val="8"/>
          <w:kern w:val="0"/>
          <w:sz w:val="28"/>
          <w:szCs w:val="23"/>
        </w:rPr>
        <w:t>（六）</w:t>
      </w:r>
      <w:r w:rsidRPr="0055724E">
        <w:rPr>
          <w:rFonts w:ascii="Helvetica Neue" w:hAnsi="Helvetica Neue" w:cs="宋体"/>
          <w:b/>
          <w:bCs/>
          <w:color w:val="353736"/>
          <w:spacing w:val="8"/>
          <w:kern w:val="0"/>
          <w:sz w:val="28"/>
          <w:szCs w:val="23"/>
        </w:rPr>
        <w:t>“</w:t>
      </w:r>
      <w:r w:rsidRPr="0055724E">
        <w:rPr>
          <w:rFonts w:ascii="Helvetica Neue" w:hAnsi="Helvetica Neue" w:cs="宋体"/>
          <w:b/>
          <w:bCs/>
          <w:color w:val="353736"/>
          <w:spacing w:val="8"/>
          <w:kern w:val="0"/>
          <w:sz w:val="28"/>
          <w:szCs w:val="23"/>
        </w:rPr>
        <w:t>善</w:t>
      </w:r>
      <w:r w:rsidRPr="0055724E">
        <w:rPr>
          <w:rFonts w:ascii="Helvetica Neue" w:hAnsi="Helvetica Neue" w:cs="宋体"/>
          <w:b/>
          <w:bCs/>
          <w:color w:val="353736"/>
          <w:spacing w:val="8"/>
          <w:kern w:val="0"/>
          <w:sz w:val="28"/>
          <w:szCs w:val="23"/>
        </w:rPr>
        <w:t>”</w:t>
      </w:r>
      <w:r w:rsidRPr="0055724E">
        <w:rPr>
          <w:rFonts w:ascii="Helvetica Neue" w:hAnsi="Helvetica Neue" w:cs="宋体"/>
          <w:b/>
          <w:bCs/>
          <w:color w:val="353736"/>
          <w:spacing w:val="8"/>
          <w:kern w:val="0"/>
          <w:sz w:val="28"/>
          <w:szCs w:val="23"/>
        </w:rPr>
        <w:t>專指品德、性格好的用法的產生</w:t>
      </w:r>
    </w:p>
    <w:p w14:paraId="019F09F2" w14:textId="7E3B49E2"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根據以上所述，指才德具備者的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和指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爲人好的人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善者</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中的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字，往往有其含義顯得偏重於指品德一方面的用法，從這種</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字的用法演變出專指品德、性格好的用法，如我們現在還在使用的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善良</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慈善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善心</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和善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，是相當自然的。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一語後世也有專指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有道德的人、善良的人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的用法，《漢語大詞典》</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條把它列爲第一個義項，所舉書證除第一、二條本指才德具備的爲政、從政者</w:t>
      </w:r>
      <w:r w:rsidRPr="00965627">
        <w:rPr>
          <w:rStyle w:val="ae"/>
          <w:rFonts w:ascii="Helvetica Neue" w:hAnsi="Helvetica Neue" w:cs="宋体"/>
          <w:color w:val="353736"/>
          <w:spacing w:val="8"/>
          <w:kern w:val="0"/>
          <w:sz w:val="28"/>
          <w:szCs w:val="23"/>
        </w:rPr>
        <w:endnoteReference w:id="158"/>
      </w:r>
      <w:r w:rsidRPr="0055724E">
        <w:rPr>
          <w:rFonts w:ascii="Helvetica Neue" w:hAnsi="Helvetica Neue" w:cs="宋体"/>
          <w:color w:val="353736"/>
          <w:spacing w:val="8"/>
          <w:kern w:val="0"/>
          <w:sz w:val="28"/>
          <w:szCs w:val="23"/>
        </w:rPr>
        <w:t>，由於編者以今例古錯收於</w:t>
      </w:r>
      <w:r w:rsidRPr="0055724E">
        <w:rPr>
          <w:rFonts w:ascii="Helvetica Neue" w:hAnsi="Helvetica Neue" w:cs="宋体"/>
          <w:color w:val="353736"/>
          <w:spacing w:val="8"/>
          <w:kern w:val="0"/>
          <w:sz w:val="28"/>
          <w:szCs w:val="23"/>
        </w:rPr>
        <w:lastRenderedPageBreak/>
        <w:t>此外，最古的書證屬南宋時代</w:t>
      </w:r>
      <w:r w:rsidRPr="0055724E">
        <w:rPr>
          <w:rFonts w:ascii="Helvetica Neue" w:hAnsi="Helvetica Neue" w:cs="宋体"/>
          <w:color w:val="353736"/>
          <w:spacing w:val="8"/>
          <w:kern w:val="0"/>
          <w:sz w:val="18"/>
          <w:szCs w:val="18"/>
        </w:rPr>
        <w:t>（葉適《葉君宗儒墓志銘》）</w:t>
      </w:r>
      <w:r w:rsidRPr="0055724E">
        <w:rPr>
          <w:rFonts w:ascii="Helvetica Neue" w:hAnsi="Helvetica Neue" w:cs="宋体"/>
          <w:color w:val="353736"/>
          <w:spacing w:val="8"/>
          <w:kern w:val="0"/>
          <w:sz w:val="28"/>
          <w:szCs w:val="23"/>
        </w:rPr>
        <w:t>，估計古書中還有較古的書證待檢。</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的這種用法也沿襲至今</w:t>
      </w:r>
      <w:r w:rsidRPr="0055724E">
        <w:rPr>
          <w:rFonts w:ascii="Helvetica Neue" w:hAnsi="Helvetica Neue" w:cs="宋体"/>
          <w:color w:val="353736"/>
          <w:spacing w:val="8"/>
          <w:kern w:val="0"/>
          <w:sz w:val="18"/>
          <w:szCs w:val="18"/>
        </w:rPr>
        <w:t>［《現代漢語詞典》</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善</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字條第一義項</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善良；慈善（跟</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惡</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相對）</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下所引第一個用例就是</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善人</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28"/>
          <w:szCs w:val="23"/>
        </w:rPr>
        <w:t>。</w:t>
      </w:r>
    </w:p>
    <w:p w14:paraId="287709F7" w14:textId="77777777"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不過，需要指出，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字意義的這種演變在先秦時代可能尚未完成。《禮記》中已有</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善良</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一詞：</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發慮憲，求</w:t>
      </w:r>
      <w:r w:rsidRPr="0055724E">
        <w:rPr>
          <w:rFonts w:ascii="Helvetica Neue" w:eastAsia="楷体" w:hAnsi="Helvetica Neue" w:cs="宋体"/>
          <w:b/>
          <w:bCs/>
          <w:color w:val="000000" w:themeColor="text1"/>
          <w:spacing w:val="8"/>
          <w:kern w:val="0"/>
          <w:sz w:val="28"/>
          <w:szCs w:val="23"/>
          <w:u w:val="single"/>
        </w:rPr>
        <w:t>善良</w:t>
      </w:r>
      <w:r w:rsidRPr="0055724E">
        <w:rPr>
          <w:rFonts w:ascii="Helvetica Neue" w:eastAsia="楷体" w:hAnsi="Helvetica Neue" w:cs="宋体"/>
          <w:color w:val="000000" w:themeColor="text1"/>
          <w:spacing w:val="8"/>
          <w:kern w:val="0"/>
          <w:sz w:val="28"/>
          <w:szCs w:val="23"/>
        </w:rPr>
        <w:t>，足以謏聞</w:t>
      </w:r>
      <w:r w:rsidRPr="0055724E">
        <w:rPr>
          <w:rFonts w:ascii="Helvetica Neue" w:eastAsia="楷体" w:hAnsi="Helvetica Neue" w:cs="宋体"/>
          <w:color w:val="000000" w:themeColor="text1"/>
          <w:spacing w:val="8"/>
          <w:kern w:val="0"/>
          <w:sz w:val="18"/>
          <w:szCs w:val="18"/>
        </w:rPr>
        <w:t>（鄭注：謏之言小也。正義：小有聲聞）</w:t>
      </w:r>
      <w:r w:rsidRPr="0055724E">
        <w:rPr>
          <w:rFonts w:ascii="Helvetica Neue" w:eastAsia="楷体" w:hAnsi="Helvetica Neue" w:cs="宋体"/>
          <w:color w:val="000000" w:themeColor="text1"/>
          <w:spacing w:val="8"/>
          <w:kern w:val="0"/>
          <w:sz w:val="28"/>
          <w:szCs w:val="23"/>
        </w:rPr>
        <w:t>，不足以動衆。就賢體遠，足以動衆，未足以化民。君子如欲化民成俗，其必由學乎！</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18"/>
          <w:szCs w:val="18"/>
        </w:rPr>
        <w:t>（《學記》）</w:t>
      </w:r>
      <w:r w:rsidRPr="0055724E">
        <w:rPr>
          <w:rFonts w:ascii="Helvetica Neue" w:hAnsi="Helvetica Neue" w:cs="宋体"/>
          <w:color w:val="353736"/>
          <w:spacing w:val="8"/>
          <w:kern w:val="0"/>
          <w:sz w:val="28"/>
          <w:szCs w:val="23"/>
        </w:rPr>
        <w:t>從文意看，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善良</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在這裏應指兼有才德的良才</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良</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與《左傳</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文公六年》</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子車氏之三子</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皆秦之良也</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的</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良</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同義）</w:t>
      </w:r>
      <w:r w:rsidRPr="0055724E">
        <w:rPr>
          <w:rFonts w:ascii="Helvetica Neue" w:hAnsi="Helvetica Neue" w:cs="宋体"/>
          <w:color w:val="353736"/>
          <w:spacing w:val="8"/>
          <w:kern w:val="0"/>
          <w:sz w:val="28"/>
          <w:szCs w:val="23"/>
        </w:rPr>
        <w:t>，《漢語大詞典》</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善良</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條釋義説</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和善，心地好。亦指和善而不懷惡意的人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，所引第一條書證即爲上引《學記》之文，對《學記》的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善良</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單純從品德好一方面加以理解，這是以今例古的不恰當做法。</w:t>
      </w:r>
    </w:p>
    <w:p w14:paraId="40F82EE9" w14:textId="0F49368A" w:rsidR="009F4F5A" w:rsidRPr="0055724E" w:rsidRDefault="009F4F5A" w:rsidP="00445DA3">
      <w:pPr>
        <w:widowControl/>
        <w:spacing w:beforeLines="50" w:before="180" w:line="480" w:lineRule="auto"/>
        <w:ind w:firstLine="480"/>
        <w:rPr>
          <w:rFonts w:ascii="Helvetica Neue" w:hAnsi="Helvetica Neue" w:cs="宋体"/>
          <w:color w:val="616161"/>
          <w:spacing w:val="8"/>
          <w:kern w:val="0"/>
          <w:sz w:val="28"/>
          <w:szCs w:val="24"/>
        </w:rPr>
      </w:pPr>
      <w:r w:rsidRPr="0055724E">
        <w:rPr>
          <w:rFonts w:ascii="Helvetica Neue" w:hAnsi="Helvetica Neue" w:cs="宋体"/>
          <w:color w:val="353736"/>
          <w:spacing w:val="8"/>
          <w:kern w:val="0"/>
          <w:sz w:val="28"/>
          <w:szCs w:val="23"/>
        </w:rPr>
        <w:t>《國語</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魯語下》記魯大夫公父文伯之母教訓他的話，其中已有</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善心</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一語：</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夫民勞則思，思則</w:t>
      </w:r>
      <w:r w:rsidRPr="0055724E">
        <w:rPr>
          <w:rFonts w:ascii="Helvetica Neue" w:eastAsia="楷体" w:hAnsi="Helvetica Neue" w:cs="宋体"/>
          <w:b/>
          <w:bCs/>
          <w:color w:val="000000" w:themeColor="text1"/>
          <w:spacing w:val="8"/>
          <w:kern w:val="0"/>
          <w:sz w:val="28"/>
          <w:szCs w:val="23"/>
          <w:u w:val="single"/>
        </w:rPr>
        <w:t>善心</w:t>
      </w:r>
      <w:r w:rsidRPr="0055724E">
        <w:rPr>
          <w:rFonts w:ascii="Helvetica Neue" w:eastAsia="楷体" w:hAnsi="Helvetica Neue" w:cs="宋体"/>
          <w:color w:val="000000" w:themeColor="text1"/>
          <w:spacing w:val="8"/>
          <w:kern w:val="0"/>
          <w:sz w:val="28"/>
          <w:szCs w:val="23"/>
        </w:rPr>
        <w:t>生</w:t>
      </w:r>
      <w:r w:rsidRPr="0055724E">
        <w:rPr>
          <w:rFonts w:ascii="Helvetica Neue" w:hAnsi="Helvetica Neue" w:cs="宋体"/>
          <w:color w:val="353736"/>
          <w:spacing w:val="8"/>
          <w:kern w:val="0"/>
          <w:sz w:val="18"/>
          <w:szCs w:val="18"/>
        </w:rPr>
        <w:t>（韋昭注：善心生，故向義也）</w:t>
      </w:r>
      <w:r w:rsidRPr="0055724E">
        <w:rPr>
          <w:rFonts w:ascii="Helvetica Neue" w:eastAsia="楷体" w:hAnsi="Helvetica Neue" w:cs="宋体"/>
          <w:color w:val="000000" w:themeColor="text1"/>
          <w:spacing w:val="8"/>
          <w:kern w:val="0"/>
          <w:sz w:val="28"/>
          <w:szCs w:val="23"/>
        </w:rPr>
        <w:t>；逸則淫，淫則忘善，忘善則惡心生。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善心</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之語，又見《禮記</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樂記》：</w:t>
      </w:r>
      <w:r w:rsidRPr="0055724E">
        <w:rPr>
          <w:rFonts w:ascii="Helvetica Neue" w:hAnsi="Helvetica Neue" w:cs="宋体"/>
          <w:color w:val="353736"/>
          <w:spacing w:val="8"/>
          <w:kern w:val="0"/>
          <w:sz w:val="28"/>
          <w:szCs w:val="23"/>
        </w:rPr>
        <w:t>“</w:t>
      </w:r>
      <w:r w:rsidRPr="0055724E">
        <w:rPr>
          <w:rFonts w:ascii="Helvetica Neue" w:eastAsia="楷体" w:hAnsi="Helvetica Neue" w:cs="宋体"/>
          <w:color w:val="000000" w:themeColor="text1"/>
          <w:spacing w:val="8"/>
          <w:kern w:val="0"/>
          <w:sz w:val="28"/>
          <w:szCs w:val="23"/>
        </w:rPr>
        <w:t>人不耐（能）無樂</w:t>
      </w:r>
      <w:r w:rsidRPr="0055724E">
        <w:rPr>
          <w:rFonts w:ascii="Helvetica Neue" w:hAnsi="Helvetica Neue" w:cs="宋体"/>
          <w:color w:val="353736"/>
          <w:spacing w:val="8"/>
          <w:kern w:val="0"/>
          <w:sz w:val="18"/>
          <w:szCs w:val="18"/>
        </w:rPr>
        <w:t>（按：此樂爲喜樂之樂）</w:t>
      </w:r>
      <w:r w:rsidRPr="0055724E">
        <w:rPr>
          <w:rFonts w:ascii="Helvetica Neue" w:eastAsia="楷体" w:hAnsi="Helvetica Neue" w:cs="宋体"/>
          <w:color w:val="000000" w:themeColor="text1"/>
          <w:spacing w:val="8"/>
          <w:kern w:val="0"/>
          <w:sz w:val="28"/>
          <w:szCs w:val="23"/>
        </w:rPr>
        <w:t>，樂不耐（能）無形。形而不爲道，不耐（能）無亂。先王恥其亂，故制雅、頌之聲以道（導）之，</w:t>
      </w:r>
      <w:r w:rsidRPr="0055724E">
        <w:rPr>
          <w:rFonts w:ascii="Helvetica Neue" w:eastAsia="楷体" w:hAnsi="Helvetica Neue" w:cs="宋体"/>
          <w:color w:val="000000" w:themeColor="text1"/>
          <w:spacing w:val="8"/>
          <w:kern w:val="0"/>
          <w:sz w:val="28"/>
          <w:szCs w:val="23"/>
        </w:rPr>
        <w:t>……</w:t>
      </w:r>
      <w:r w:rsidRPr="0055724E">
        <w:rPr>
          <w:rFonts w:ascii="Helvetica Neue" w:eastAsia="楷体" w:hAnsi="Helvetica Neue" w:cs="宋体"/>
          <w:color w:val="000000" w:themeColor="text1"/>
          <w:spacing w:val="8"/>
          <w:kern w:val="0"/>
          <w:sz w:val="28"/>
          <w:szCs w:val="23"/>
        </w:rPr>
        <w:t>使其曲直、繁瘠、廉肉、節奏足以感動人之</w:t>
      </w:r>
      <w:r w:rsidRPr="0055724E">
        <w:rPr>
          <w:rFonts w:ascii="Helvetica Neue" w:eastAsia="楷体" w:hAnsi="Helvetica Neue" w:cs="宋体"/>
          <w:b/>
          <w:bCs/>
          <w:color w:val="000000" w:themeColor="text1"/>
          <w:spacing w:val="8"/>
          <w:kern w:val="0"/>
          <w:sz w:val="28"/>
          <w:szCs w:val="23"/>
          <w:u w:val="single"/>
        </w:rPr>
        <w:t>善</w:t>
      </w:r>
      <w:r w:rsidRPr="0055724E">
        <w:rPr>
          <w:rFonts w:ascii="Helvetica Neue" w:eastAsia="楷体" w:hAnsi="Helvetica Neue" w:cs="宋体"/>
          <w:b/>
          <w:bCs/>
          <w:color w:val="000000" w:themeColor="text1"/>
          <w:spacing w:val="8"/>
          <w:kern w:val="0"/>
          <w:sz w:val="28"/>
          <w:szCs w:val="23"/>
          <w:u w:val="single"/>
        </w:rPr>
        <w:lastRenderedPageBreak/>
        <w:t>心</w:t>
      </w:r>
      <w:r w:rsidRPr="0055724E">
        <w:rPr>
          <w:rFonts w:ascii="Helvetica Neue" w:eastAsia="楷体" w:hAnsi="Helvetica Neue" w:cs="宋体"/>
          <w:color w:val="000000" w:themeColor="text1"/>
          <w:spacing w:val="8"/>
          <w:kern w:val="0"/>
          <w:sz w:val="28"/>
          <w:szCs w:val="23"/>
        </w:rPr>
        <w:t>而已矣，不使放心邪氣得接焉。</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18"/>
          <w:szCs w:val="18"/>
        </w:rPr>
        <w:t>（此文亦見《荀子</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樂論》，但文字稍有出入，《荀子</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樂論》末句</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繁瘠</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作</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繁省</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善心</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下無</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而已矣</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三字，</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不使放心邪氣得接焉</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作</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使夫邪汙之氣無由得接焉</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28"/>
          <w:szCs w:val="23"/>
        </w:rPr>
        <w:t>《魯語》以</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善心</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惡心</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相對，《樂記》以</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善心</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放心邪氣</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18"/>
          <w:szCs w:val="18"/>
        </w:rPr>
        <w:t>（《荀子》作</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邪汙之氣</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28"/>
          <w:szCs w:val="23"/>
        </w:rPr>
        <w:t>相對，兩者的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善心</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應該同義。前面説過，古人所謂</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樂</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指</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樂</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所能起的教化人的好作用</w:t>
      </w:r>
      <w:r w:rsidRPr="0055724E">
        <w:rPr>
          <w:rFonts w:ascii="Helvetica Neue" w:hAnsi="Helvetica Neue" w:cs="宋体"/>
          <w:color w:val="353736"/>
          <w:spacing w:val="8"/>
          <w:kern w:val="0"/>
          <w:sz w:val="18"/>
          <w:szCs w:val="18"/>
        </w:rPr>
        <w:t>［見二（六）例（</w:t>
      </w:r>
      <w:r w:rsidR="00687FDE" w:rsidRPr="00687FDE">
        <w:rPr>
          <w:rFonts w:hAnsi="Helvetica Neue" w:cs="宋体"/>
          <w:color w:val="353736"/>
          <w:spacing w:val="8"/>
          <w:kern w:val="0"/>
          <w:sz w:val="18"/>
          <w:szCs w:val="18"/>
        </w:rPr>
        <w:t>3</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28"/>
          <w:szCs w:val="23"/>
        </w:rPr>
        <w:t>，也就是《樂記》所説的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感動人之善心</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的作用，爲</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樂</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之</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所感動的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善心</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應指想把事做得好、把人做得好的存心。《魯語》韋昭注説</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善心生，故向義</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，《荀子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大略》</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義，理也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，《孟子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離婁上》</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義，人之正路也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理</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就是道理，</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正路</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就是正道，韋注的意思與《樂記》認爲先王懼怕人們把快樂發洩出來時</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不爲道</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而制樂以</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感動人之善心</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的説法，彼此是相通的。公父文伯之母所説的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淫則忘善，忘善則惡心生</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句中的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，指的應該就是做好事、做好人的道理。《漢語大詞典》</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善心</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條的釋義是</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善良的心，好心腸</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，所引第一條書證就是《荀子</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樂論》的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善心</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，將先秦的這種</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善心</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與後世當</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善良的心，好心腸</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講的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善心</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混爲一談，也有以今例古的毛病。</w:t>
      </w:r>
    </w:p>
    <w:p w14:paraId="205584E1" w14:textId="707F961B" w:rsidR="009F4F5A" w:rsidRDefault="009F4F5A" w:rsidP="00445DA3">
      <w:pPr>
        <w:widowControl/>
        <w:spacing w:beforeLines="50" w:before="180" w:line="480" w:lineRule="auto"/>
        <w:ind w:firstLine="480"/>
        <w:rPr>
          <w:rFonts w:ascii="Helvetica Neue" w:hAnsi="Helvetica Neue" w:cs="宋体"/>
          <w:color w:val="353736"/>
          <w:spacing w:val="8"/>
          <w:kern w:val="0"/>
          <w:sz w:val="28"/>
          <w:szCs w:val="23"/>
        </w:rPr>
      </w:pPr>
      <w:r w:rsidRPr="0055724E">
        <w:rPr>
          <w:rFonts w:ascii="Helvetica Neue" w:hAnsi="Helvetica Neue" w:cs="宋体"/>
          <w:color w:val="353736"/>
          <w:spacing w:val="8"/>
          <w:kern w:val="0"/>
          <w:sz w:val="28"/>
          <w:szCs w:val="23"/>
        </w:rPr>
        <w:t>我們現在對能力較弱、本職工作做得不算好而忠厚老實的人，可以稱贊他爲人很好，先秦時代的人大概是不會把這種人稱爲當</w:t>
      </w:r>
      <w:r w:rsidRPr="0055724E">
        <w:rPr>
          <w:rFonts w:ascii="Helvetica Neue" w:hAnsi="Helvetica Neue" w:cs="宋体"/>
          <w:color w:val="353736"/>
          <w:spacing w:val="8"/>
          <w:kern w:val="0"/>
          <w:sz w:val="28"/>
          <w:szCs w:val="23"/>
        </w:rPr>
        <w:lastRenderedPageBreak/>
        <w:t>“</w:t>
      </w:r>
      <w:r w:rsidRPr="0055724E">
        <w:rPr>
          <w:rFonts w:ascii="Helvetica Neue" w:hAnsi="Helvetica Neue" w:cs="宋体"/>
          <w:color w:val="353736"/>
          <w:spacing w:val="8"/>
          <w:kern w:val="0"/>
          <w:sz w:val="28"/>
          <w:szCs w:val="23"/>
        </w:rPr>
        <w:t>爲人好的人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講的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的。這種人在</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賞善罰暴</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一類政策之下，如無特殊情況，也是不會進入被賞者之列的。</w:t>
      </w:r>
    </w:p>
    <w:p w14:paraId="69AE7C39" w14:textId="77777777" w:rsidR="00445DA3" w:rsidRPr="0055724E" w:rsidRDefault="00445DA3" w:rsidP="00445DA3">
      <w:pPr>
        <w:widowControl/>
        <w:spacing w:beforeLines="50" w:before="180" w:line="480" w:lineRule="auto"/>
        <w:ind w:firstLine="480"/>
        <w:rPr>
          <w:rFonts w:ascii="Helvetica Neue" w:hAnsi="Helvetica Neue" w:cs="宋体"/>
          <w:color w:val="616161"/>
          <w:spacing w:val="8"/>
          <w:kern w:val="0"/>
          <w:sz w:val="28"/>
          <w:szCs w:val="24"/>
        </w:rPr>
      </w:pPr>
    </w:p>
    <w:p w14:paraId="60EB0CF6" w14:textId="77777777" w:rsidR="009F4F5A" w:rsidRPr="0055724E" w:rsidRDefault="009F4F5A" w:rsidP="00445DA3">
      <w:pPr>
        <w:widowControl/>
        <w:spacing w:beforeLines="50" w:before="180" w:line="480" w:lineRule="auto"/>
        <w:rPr>
          <w:rFonts w:ascii="Helvetica Neue" w:hAnsi="Helvetica Neue" w:cs="宋体"/>
          <w:color w:val="616161"/>
          <w:spacing w:val="8"/>
          <w:kern w:val="0"/>
          <w:sz w:val="28"/>
          <w:szCs w:val="24"/>
        </w:rPr>
      </w:pPr>
      <w:r w:rsidRPr="0055724E">
        <w:rPr>
          <w:rFonts w:ascii="Helvetica Neue" w:hAnsi="Helvetica Neue" w:cs="宋体"/>
          <w:b/>
          <w:bCs/>
          <w:color w:val="353736"/>
          <w:spacing w:val="8"/>
          <w:kern w:val="0"/>
          <w:sz w:val="28"/>
          <w:szCs w:val="23"/>
        </w:rPr>
        <w:t>（七）</w:t>
      </w:r>
      <w:r w:rsidRPr="0055724E">
        <w:rPr>
          <w:rFonts w:ascii="Helvetica Neue" w:hAnsi="Helvetica Neue" w:cs="宋体"/>
          <w:b/>
          <w:bCs/>
          <w:color w:val="353736"/>
          <w:spacing w:val="8"/>
          <w:kern w:val="0"/>
          <w:sz w:val="28"/>
          <w:szCs w:val="23"/>
        </w:rPr>
        <w:t>“</w:t>
      </w:r>
      <w:r w:rsidRPr="0055724E">
        <w:rPr>
          <w:rFonts w:ascii="Helvetica Neue" w:hAnsi="Helvetica Neue" w:cs="宋体"/>
          <w:b/>
          <w:bCs/>
          <w:color w:val="353736"/>
          <w:spacing w:val="8"/>
          <w:kern w:val="0"/>
          <w:sz w:val="28"/>
          <w:szCs w:val="23"/>
        </w:rPr>
        <w:t>善人</w:t>
      </w:r>
      <w:r w:rsidRPr="0055724E">
        <w:rPr>
          <w:rFonts w:ascii="Helvetica Neue" w:hAnsi="Helvetica Neue" w:cs="宋体"/>
          <w:b/>
          <w:bCs/>
          <w:color w:val="353736"/>
          <w:spacing w:val="8"/>
          <w:kern w:val="0"/>
          <w:sz w:val="28"/>
          <w:szCs w:val="23"/>
        </w:rPr>
        <w:t>”</w:t>
      </w:r>
      <w:r w:rsidRPr="0055724E">
        <w:rPr>
          <w:rFonts w:ascii="Helvetica Neue" w:hAnsi="Helvetica Neue" w:cs="宋体"/>
          <w:b/>
          <w:bCs/>
          <w:color w:val="353736"/>
          <w:spacing w:val="8"/>
          <w:kern w:val="0"/>
          <w:sz w:val="28"/>
          <w:szCs w:val="23"/>
        </w:rPr>
        <w:t>的某些特殊用法</w:t>
      </w:r>
    </w:p>
    <w:p w14:paraId="4C222914" w14:textId="1F5E295E" w:rsidR="009F4F5A" w:rsidRDefault="009F4F5A" w:rsidP="00445DA3">
      <w:pPr>
        <w:widowControl/>
        <w:spacing w:beforeLines="50" w:before="180" w:line="480" w:lineRule="auto"/>
        <w:ind w:firstLine="480"/>
        <w:rPr>
          <w:rFonts w:ascii="Helvetica Neue" w:hAnsi="Helvetica Neue" w:cs="宋体"/>
          <w:color w:val="353736"/>
          <w:spacing w:val="8"/>
          <w:kern w:val="0"/>
          <w:sz w:val="28"/>
          <w:szCs w:val="23"/>
        </w:rPr>
      </w:pPr>
      <w:r w:rsidRPr="0055724E">
        <w:rPr>
          <w:rFonts w:ascii="Helvetica Neue" w:hAnsi="Helvetica Neue" w:cs="宋体"/>
          <w:color w:val="353736"/>
          <w:spacing w:val="8"/>
          <w:kern w:val="0"/>
          <w:sz w:val="28"/>
          <w:szCs w:val="23"/>
        </w:rPr>
        <w:t>漢魏時人有用</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來指正常的、一般的人的用法，如：東漢王充《論衡》以</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與精神不正常的病人對言</w:t>
      </w:r>
      <w:r w:rsidRPr="0055724E">
        <w:rPr>
          <w:rFonts w:ascii="Helvetica Neue" w:hAnsi="Helvetica Neue" w:cs="宋体"/>
          <w:color w:val="353736"/>
          <w:spacing w:val="8"/>
          <w:kern w:val="0"/>
          <w:sz w:val="18"/>
          <w:szCs w:val="18"/>
        </w:rPr>
        <w:t>（《論衡</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訂鬼》</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人病則憂懼，憂懼見鬼出，狂癡獨語，不與善人相得者，病困精亂也</w:t>
      </w:r>
      <w:r w:rsidRPr="0055724E">
        <w:rPr>
          <w:rFonts w:ascii="Helvetica Neue" w:hAnsi="Helvetica Neue" w:cs="宋体"/>
          <w:color w:val="353736"/>
          <w:spacing w:val="8"/>
          <w:kern w:val="0"/>
          <w:sz w:val="18"/>
          <w:szCs w:val="18"/>
        </w:rPr>
        <w:t>”</w:t>
      </w:r>
      <w:r>
        <w:rPr>
          <w:rStyle w:val="ae"/>
          <w:rFonts w:ascii="Helvetica Neue" w:hAnsi="Helvetica Neue" w:cs="宋体"/>
          <w:color w:val="353736"/>
          <w:spacing w:val="8"/>
          <w:kern w:val="0"/>
          <w:sz w:val="18"/>
          <w:szCs w:val="18"/>
        </w:rPr>
        <w:endnoteReference w:id="159"/>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28"/>
          <w:szCs w:val="23"/>
        </w:rPr>
        <w:t>；東漢晚期道教經典《太平經》説</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奴婢順從君主，學善能賢，免爲善人良民</w:t>
      </w:r>
      <w:r w:rsidRPr="0055724E">
        <w:rPr>
          <w:rFonts w:ascii="Helvetica Neue" w:hAnsi="Helvetica Neue" w:cs="宋体"/>
          <w:color w:val="353736"/>
          <w:spacing w:val="8"/>
          <w:kern w:val="0"/>
          <w:sz w:val="28"/>
          <w:szCs w:val="23"/>
        </w:rPr>
        <w:t>”</w:t>
      </w:r>
      <w:r w:rsidRPr="00965627">
        <w:rPr>
          <w:rStyle w:val="ae"/>
          <w:rFonts w:ascii="Helvetica Neue" w:hAnsi="Helvetica Neue" w:cs="宋体"/>
          <w:color w:val="353736"/>
          <w:spacing w:val="8"/>
          <w:kern w:val="0"/>
          <w:sz w:val="28"/>
          <w:szCs w:val="23"/>
        </w:rPr>
        <w:endnoteReference w:id="160"/>
      </w:r>
      <w:r w:rsidRPr="0055724E">
        <w:rPr>
          <w:rFonts w:ascii="Helvetica Neue" w:hAnsi="Helvetica Neue" w:cs="宋体"/>
          <w:color w:val="353736"/>
          <w:spacing w:val="8"/>
          <w:kern w:val="0"/>
          <w:sz w:val="28"/>
          <w:szCs w:val="23"/>
        </w:rPr>
        <w:t>，三國吴韋昭説</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羌人以婢爲妻，生子曰獲；奴以善人爲妻，生子曰臧</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18"/>
          <w:szCs w:val="18"/>
        </w:rPr>
        <w:t>（《文選</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司馬遷〈報任少卿書〉》</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且夫臧獲婢妾</w:t>
      </w:r>
      <w:r w:rsidRPr="0055724E">
        <w:rPr>
          <w:rFonts w:ascii="Helvetica Neue" w:hAnsi="Helvetica Neue" w:cs="宋体"/>
          <w:color w:val="353736"/>
          <w:spacing w:val="8"/>
          <w:kern w:val="0"/>
          <w:sz w:val="18"/>
          <w:szCs w:val="18"/>
        </w:rPr>
        <w:t>”</w:t>
      </w:r>
      <w:r w:rsidRPr="0055724E">
        <w:rPr>
          <w:rFonts w:ascii="Helvetica Neue" w:hAnsi="Helvetica Neue" w:cs="宋体"/>
          <w:color w:val="353736"/>
          <w:spacing w:val="8"/>
          <w:kern w:val="0"/>
          <w:sz w:val="18"/>
          <w:szCs w:val="18"/>
        </w:rPr>
        <w:t>李善注引）</w:t>
      </w:r>
      <w:r w:rsidRPr="0055724E">
        <w:rPr>
          <w:rFonts w:ascii="Helvetica Neue" w:hAnsi="Helvetica Neue" w:cs="宋体"/>
          <w:color w:val="353736"/>
          <w:spacing w:val="8"/>
          <w:kern w:val="0"/>
          <w:sz w:val="28"/>
          <w:szCs w:val="23"/>
        </w:rPr>
        <w:t>，皆以</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指非奴婢身份的一般平民。這種用法的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似乎也可以看作是從先秦的</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善人</w:t>
      </w:r>
      <w:r w:rsidRPr="0055724E">
        <w:rPr>
          <w:rFonts w:ascii="Helvetica Neue" w:hAnsi="Helvetica Neue" w:cs="宋体"/>
          <w:color w:val="353736"/>
          <w:spacing w:val="8"/>
          <w:kern w:val="0"/>
          <w:sz w:val="28"/>
          <w:szCs w:val="23"/>
        </w:rPr>
        <w:t>”</w:t>
      </w:r>
      <w:r w:rsidRPr="0055724E">
        <w:rPr>
          <w:rFonts w:ascii="Helvetica Neue" w:hAnsi="Helvetica Neue" w:cs="宋体"/>
          <w:color w:val="353736"/>
          <w:spacing w:val="8"/>
          <w:kern w:val="0"/>
          <w:sz w:val="28"/>
          <w:szCs w:val="23"/>
        </w:rPr>
        <w:t>演變出來的。</w:t>
      </w:r>
    </w:p>
    <w:p w14:paraId="7A65CB8B" w14:textId="77777777" w:rsidR="00445DA3" w:rsidRDefault="00445DA3" w:rsidP="00445DA3">
      <w:pPr>
        <w:widowControl/>
        <w:spacing w:beforeLines="50" w:before="180" w:line="480" w:lineRule="auto"/>
        <w:ind w:firstLine="480"/>
        <w:rPr>
          <w:rFonts w:ascii="Helvetica Neue" w:hAnsi="Helvetica Neue" w:cs="宋体"/>
          <w:color w:val="616161"/>
          <w:spacing w:val="8"/>
          <w:kern w:val="0"/>
          <w:sz w:val="28"/>
          <w:szCs w:val="24"/>
        </w:rPr>
      </w:pPr>
    </w:p>
    <w:p w14:paraId="61593562" w14:textId="77777777" w:rsidR="009F4F5A" w:rsidRDefault="009F4F5A" w:rsidP="00445DA3">
      <w:pPr>
        <w:pStyle w:val="aa"/>
        <w:spacing w:beforeLines="50" w:before="180"/>
        <w:ind w:firstLineChars="0" w:firstLine="0"/>
        <w:jc w:val="center"/>
        <w:rPr>
          <w:b/>
          <w:bCs/>
        </w:rPr>
      </w:pPr>
      <w:r w:rsidRPr="0055724E">
        <w:rPr>
          <w:b/>
          <w:bCs/>
        </w:rPr>
        <w:t>四、先秦漢語中“善”字的其他用法</w:t>
      </w:r>
    </w:p>
    <w:p w14:paraId="3122724C" w14:textId="77777777" w:rsidR="00445DA3" w:rsidRDefault="00445DA3" w:rsidP="00445DA3">
      <w:pPr>
        <w:widowControl/>
        <w:spacing w:beforeLines="50" w:before="180" w:line="480" w:lineRule="auto"/>
        <w:ind w:firstLine="480"/>
        <w:jc w:val="left"/>
        <w:rPr>
          <w:rFonts w:cs="宋体"/>
          <w:kern w:val="0"/>
          <w:sz w:val="28"/>
          <w:szCs w:val="24"/>
        </w:rPr>
      </w:pPr>
    </w:p>
    <w:p w14:paraId="623B303A" w14:textId="2E3E8FE1"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以下我們再討論先秦漢語中“善”字的其他用法。</w:t>
      </w:r>
    </w:p>
    <w:p w14:paraId="4B0244CD" w14:textId="6299773F"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lastRenderedPageBreak/>
        <w:t>前面已經講過，單用的“善”可以用來指稱“善”的人</w:t>
      </w:r>
      <w:r w:rsidRPr="0055724E">
        <w:rPr>
          <w:rFonts w:cs="宋体"/>
          <w:b/>
          <w:bCs/>
          <w:color w:val="A0A0A0"/>
          <w:kern w:val="0"/>
          <w:sz w:val="21"/>
          <w:szCs w:val="21"/>
        </w:rPr>
        <w:t>[見二（七）]</w:t>
      </w:r>
      <w:r w:rsidRPr="0055724E">
        <w:rPr>
          <w:rFonts w:cs="宋体"/>
          <w:kern w:val="0"/>
          <w:sz w:val="28"/>
          <w:szCs w:val="24"/>
        </w:rPr>
        <w:t>，在先秦漢語中還存在著以單用的“善”指稱“善的事”、“善的道（包含道理、原則、方法以至思想等意義）”、“善的境地、境界”等用法。以下逐次説明，並將有關的“善事”“善道”等語附帶舉出。</w:t>
      </w:r>
    </w:p>
    <w:p w14:paraId="34809D8E" w14:textId="77777777" w:rsidR="00445DA3" w:rsidRDefault="00445DA3" w:rsidP="00445DA3">
      <w:pPr>
        <w:widowControl/>
        <w:spacing w:beforeLines="50" w:before="180" w:line="480" w:lineRule="auto"/>
        <w:ind w:firstLine="480"/>
        <w:jc w:val="left"/>
        <w:rPr>
          <w:rFonts w:cs="宋体"/>
          <w:kern w:val="0"/>
          <w:sz w:val="28"/>
          <w:szCs w:val="24"/>
        </w:rPr>
      </w:pPr>
    </w:p>
    <w:p w14:paraId="417CBB3D" w14:textId="77777777" w:rsidR="009F4F5A" w:rsidRDefault="009F4F5A" w:rsidP="00A45A65">
      <w:pPr>
        <w:widowControl/>
        <w:spacing w:beforeLines="50" w:before="180" w:line="480" w:lineRule="auto"/>
        <w:jc w:val="left"/>
        <w:rPr>
          <w:rFonts w:cs="宋体"/>
          <w:kern w:val="0"/>
          <w:sz w:val="28"/>
          <w:szCs w:val="24"/>
        </w:rPr>
      </w:pPr>
      <w:r w:rsidRPr="0055724E">
        <w:rPr>
          <w:rFonts w:cs="宋体"/>
          <w:b/>
          <w:bCs/>
          <w:kern w:val="0"/>
          <w:sz w:val="28"/>
          <w:szCs w:val="24"/>
        </w:rPr>
        <w:t>（一）以“善”指稱“善的事”</w:t>
      </w:r>
    </w:p>
    <w:p w14:paraId="3CB03FAE"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先看以“善”指稱“善的事”的用例</w:t>
      </w:r>
      <w:r w:rsidRPr="0055724E">
        <w:rPr>
          <w:rFonts w:cs="宋体"/>
          <w:b/>
          <w:bCs/>
          <w:color w:val="A0A0A0"/>
          <w:kern w:val="0"/>
          <w:sz w:val="21"/>
          <w:szCs w:val="21"/>
        </w:rPr>
        <w:t>（例句次序按我們説明的方便排列）</w:t>
      </w:r>
      <w:r w:rsidRPr="0055724E">
        <w:rPr>
          <w:rFonts w:cs="宋体"/>
          <w:kern w:val="0"/>
          <w:sz w:val="28"/>
          <w:szCs w:val="24"/>
        </w:rPr>
        <w:t>：</w:t>
      </w:r>
    </w:p>
    <w:p w14:paraId="04737DD7"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（1）《左傳·昭公四年》記“鄭子產作丘賦，國人謗之”，有人將這種情況告訴子產，子產回答説：“何害？苟利社稷，死生以之。且吾聞</w:t>
      </w:r>
      <w:r w:rsidRPr="0055724E">
        <w:rPr>
          <w:rFonts w:cs="宋体"/>
          <w:b/>
          <w:bCs/>
          <w:kern w:val="0"/>
          <w:sz w:val="28"/>
          <w:szCs w:val="24"/>
          <w:u w:val="single"/>
        </w:rPr>
        <w:t>爲善者</w:t>
      </w:r>
      <w:r w:rsidRPr="0055724E">
        <w:rPr>
          <w:rFonts w:cs="宋体"/>
          <w:kern w:val="0"/>
          <w:sz w:val="28"/>
          <w:szCs w:val="24"/>
        </w:rPr>
        <w:t>不改其度，故能有濟也。民不可逞，度不可改。《詩》曰：‘禮義不愆</w:t>
      </w:r>
      <w:r w:rsidRPr="0055724E">
        <w:rPr>
          <w:rFonts w:cs="宋体"/>
          <w:b/>
          <w:bCs/>
          <w:color w:val="A0A0A0"/>
          <w:kern w:val="0"/>
          <w:sz w:val="21"/>
          <w:szCs w:val="21"/>
        </w:rPr>
        <w:t>（引者按：楊伯峻注“愆，過失”</w:t>
      </w:r>
      <w:r>
        <w:rPr>
          <w:rStyle w:val="ae"/>
          <w:rFonts w:cs="宋体"/>
          <w:b/>
          <w:bCs/>
          <w:color w:val="A0A0A0"/>
          <w:kern w:val="0"/>
          <w:sz w:val="21"/>
          <w:szCs w:val="21"/>
        </w:rPr>
        <w:endnoteReference w:id="161"/>
      </w:r>
      <w:r w:rsidRPr="0055724E">
        <w:rPr>
          <w:rFonts w:cs="宋体"/>
          <w:b/>
          <w:bCs/>
          <w:color w:val="A0A0A0"/>
          <w:kern w:val="0"/>
          <w:sz w:val="21"/>
          <w:szCs w:val="21"/>
        </w:rPr>
        <w:t>）</w:t>
      </w:r>
      <w:r w:rsidRPr="0055724E">
        <w:rPr>
          <w:rFonts w:cs="宋体"/>
          <w:kern w:val="0"/>
          <w:sz w:val="28"/>
          <w:szCs w:val="24"/>
        </w:rPr>
        <w:t>，何恤</w:t>
      </w:r>
      <w:r w:rsidRPr="0055724E">
        <w:rPr>
          <w:rFonts w:cs="宋体"/>
          <w:b/>
          <w:bCs/>
          <w:color w:val="A0A0A0"/>
          <w:kern w:val="0"/>
          <w:sz w:val="21"/>
          <w:szCs w:val="21"/>
        </w:rPr>
        <w:t>（義爲“憂慮”）</w:t>
      </w:r>
      <w:r w:rsidRPr="0055724E">
        <w:rPr>
          <w:rFonts w:cs="宋体"/>
          <w:kern w:val="0"/>
          <w:sz w:val="28"/>
          <w:szCs w:val="24"/>
        </w:rPr>
        <w:t>於人。’吾不遷矣。”“爲善”的“善”就指“善的事”。“善”指人時，當“能幹的人、能把事做得很好的人”講；“善”指事時，應該理解爲“做得很好的事”。“爲善者”的意思就是“做很好的事的人”。我們現在所説的“好”，其詞義所涵蓋的範圍非常廣泛，對古人所説的“善”所包含的“好”的意思，應該有比較明確的理解。子產認爲自己創制丘賦這種新制是符合當時鄭國經濟、政治發展需要的，</w:t>
      </w:r>
      <w:r w:rsidRPr="0055724E">
        <w:rPr>
          <w:rFonts w:cs="宋体"/>
          <w:kern w:val="0"/>
          <w:sz w:val="28"/>
          <w:szCs w:val="24"/>
        </w:rPr>
        <w:lastRenderedPageBreak/>
        <w:t>是正確合理的、於民有利的，所以表示他在這件事上不恤人言、不改其度。此文的“善”可以認爲含有正確，對人有益、有用這些意義，“善”的事就是正確的，對人有益、有用的事，以下所引各條中用來指善事的“善”大體皆可從這種角度理解。</w:t>
      </w:r>
    </w:p>
    <w:p w14:paraId="2952950E"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《孟子·離婁上》説：“公孫丑曰：‘君子之不教子，何也？’孟子曰：‘勢不行也。教者必以正，以正不行，繼之以怒；繼之以怒，則反夷矣</w:t>
      </w:r>
      <w:r w:rsidRPr="00965627">
        <w:rPr>
          <w:rStyle w:val="ae"/>
          <w:rFonts w:cs="宋体"/>
          <w:kern w:val="0"/>
          <w:sz w:val="28"/>
          <w:szCs w:val="24"/>
        </w:rPr>
        <w:endnoteReference w:id="162"/>
      </w:r>
      <w:r w:rsidRPr="0055724E">
        <w:rPr>
          <w:rFonts w:cs="宋体"/>
          <w:kern w:val="0"/>
          <w:sz w:val="28"/>
          <w:szCs w:val="24"/>
        </w:rPr>
        <w:t>。夫子教我以正，夫子未出於正也，則是父子相夷也。父子相夷，則惡矣。古者易子而教之。父子之間不</w:t>
      </w:r>
      <w:r w:rsidRPr="0055724E">
        <w:rPr>
          <w:rFonts w:cs="宋体"/>
          <w:b/>
          <w:bCs/>
          <w:kern w:val="0"/>
          <w:sz w:val="28"/>
          <w:szCs w:val="24"/>
          <w:u w:val="single"/>
        </w:rPr>
        <w:t>責善</w:t>
      </w:r>
      <w:r w:rsidRPr="0055724E">
        <w:rPr>
          <w:rFonts w:cs="宋体"/>
          <w:kern w:val="0"/>
          <w:sz w:val="28"/>
          <w:szCs w:val="24"/>
        </w:rPr>
        <w:t>，責善則離，離則不祥莫大焉。”《離婁下》中孟子又説：“</w:t>
      </w:r>
      <w:r w:rsidRPr="0055724E">
        <w:rPr>
          <w:rFonts w:cs="宋体"/>
          <w:b/>
          <w:bCs/>
          <w:kern w:val="0"/>
          <w:sz w:val="28"/>
          <w:szCs w:val="24"/>
          <w:u w:val="single"/>
        </w:rPr>
        <w:t>責善</w:t>
      </w:r>
      <w:r w:rsidRPr="0055724E">
        <w:rPr>
          <w:rFonts w:cs="宋体"/>
          <w:kern w:val="0"/>
          <w:sz w:val="28"/>
          <w:szCs w:val="24"/>
        </w:rPr>
        <w:t>，朋友之道也；父子責善，賊恩之大者。”前面講過，把事做得很好應該是“善”的基本意義，把人做得很好也可以看作把事做得很好的一端，“責善”就是要求對方把人、把事做得很好。從上引《離婁上》所説的“教者必以正，以正不行，繼之以怒”“夫子教我以正，夫子未出於正也”等話來看，“善”義與“正確”義之間的密切關係就很清楚了。</w:t>
      </w:r>
    </w:p>
    <w:p w14:paraId="388E08DF"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（2）《管子·九守》：“心不爲九竅，九竅治；君不爲五官，五官治。</w:t>
      </w:r>
      <w:r w:rsidRPr="0055724E">
        <w:rPr>
          <w:rFonts w:cs="宋体"/>
          <w:b/>
          <w:bCs/>
          <w:kern w:val="0"/>
          <w:sz w:val="28"/>
          <w:szCs w:val="24"/>
          <w:u w:val="single"/>
        </w:rPr>
        <w:t>爲善者</w:t>
      </w:r>
      <w:r w:rsidRPr="0055724E">
        <w:rPr>
          <w:rFonts w:cs="宋体"/>
          <w:kern w:val="0"/>
          <w:sz w:val="28"/>
          <w:szCs w:val="24"/>
        </w:rPr>
        <w:t>，君予之賞；爲非者，君予之罰。”心統籌全局，似君；九竅各司其事，似五官。此文的“爲善者”應指將其所司之事處理得很好的官吏。“非”有“不正確、錯誤”之義，“爲非者”應指</w:t>
      </w:r>
      <w:r w:rsidRPr="0055724E">
        <w:rPr>
          <w:rFonts w:cs="宋体"/>
          <w:kern w:val="0"/>
          <w:sz w:val="28"/>
          <w:szCs w:val="24"/>
        </w:rPr>
        <w:lastRenderedPageBreak/>
        <w:t>將所司之事處理得不好甚至犯錯誤的官吏。從此文以“善”與“非”對舉看，“善”有“正確”的意思就顯得相當清楚了。當然，“善”所包涵的“好”的意思通常不僅僅是“正確”，“非”更是常常用來表示跟“惡”一樣的意思，如《吕氏春秋·應同》“堯爲善而眾善至，桀爲非而眾非來”，此文中的“善”與“非”就可以理解爲“善”與“惡”，《吕氏春秋》有的本子此句“非”字就作“惡”</w:t>
      </w:r>
      <w:r w:rsidRPr="00965627">
        <w:rPr>
          <w:rStyle w:val="ae"/>
          <w:rFonts w:cs="宋体"/>
          <w:kern w:val="0"/>
          <w:sz w:val="28"/>
          <w:szCs w:val="24"/>
        </w:rPr>
        <w:endnoteReference w:id="163"/>
      </w:r>
      <w:r w:rsidRPr="0055724E">
        <w:rPr>
          <w:rFonts w:cs="宋体"/>
          <w:kern w:val="0"/>
          <w:sz w:val="28"/>
          <w:szCs w:val="24"/>
        </w:rPr>
        <w:t>。</w:t>
      </w:r>
    </w:p>
    <w:p w14:paraId="124FF217"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戰國策·東周策》“周文君免士工師藉”章記某人諫周文君之語中，舉了根據《左傳·襄公十七年》宋平公築臺執政子罕爲其分謗之事改編的一則故事：“宋君奪民時以爲臺，而民非之，無忠臣以掩蓋之也；子罕釋相爲司空，</w:t>
      </w:r>
      <w:r w:rsidRPr="0055724E">
        <w:rPr>
          <w:rFonts w:cs="宋体"/>
          <w:b/>
          <w:bCs/>
          <w:kern w:val="0"/>
          <w:sz w:val="28"/>
          <w:szCs w:val="24"/>
          <w:u w:val="single"/>
        </w:rPr>
        <w:t>民非子罕而善其君</w:t>
      </w:r>
      <w:r w:rsidRPr="0055724E">
        <w:rPr>
          <w:rFonts w:cs="宋体"/>
          <w:kern w:val="0"/>
          <w:sz w:val="28"/>
          <w:szCs w:val="24"/>
        </w:rPr>
        <w:t>”，也以“善”與“非”對舉。“民非子罕而善其君”可以理解爲民以子罕爲非而以宋君爲“善”，“善”也應是正確的意思。這裏的“非”與“善”都是意動用法，可以補充我們前文在講“善”字的意動用法時所舉之例</w:t>
      </w:r>
      <w:r w:rsidRPr="0055724E">
        <w:rPr>
          <w:rFonts w:cs="宋体"/>
          <w:b/>
          <w:bCs/>
          <w:color w:val="A0A0A0"/>
          <w:kern w:val="0"/>
          <w:sz w:val="21"/>
          <w:szCs w:val="21"/>
        </w:rPr>
        <w:t>[見一（六）]</w:t>
      </w:r>
      <w:r w:rsidRPr="0055724E">
        <w:rPr>
          <w:rFonts w:cs="宋体"/>
          <w:kern w:val="0"/>
          <w:sz w:val="28"/>
          <w:szCs w:val="24"/>
        </w:rPr>
        <w:t>。</w:t>
      </w:r>
    </w:p>
    <w:p w14:paraId="49985451"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（3）《易·坤卦·文言》：“</w:t>
      </w:r>
      <w:r w:rsidRPr="0055724E">
        <w:rPr>
          <w:rFonts w:cs="宋体"/>
          <w:b/>
          <w:bCs/>
          <w:kern w:val="0"/>
          <w:sz w:val="28"/>
          <w:szCs w:val="24"/>
          <w:u w:val="single"/>
        </w:rPr>
        <w:t>積善</w:t>
      </w:r>
      <w:r w:rsidRPr="0055724E">
        <w:rPr>
          <w:rFonts w:cs="宋体"/>
          <w:kern w:val="0"/>
          <w:sz w:val="28"/>
          <w:szCs w:val="24"/>
        </w:rPr>
        <w:t>之家，必有餘慶。</w:t>
      </w:r>
      <w:r w:rsidRPr="0055724E">
        <w:rPr>
          <w:rFonts w:cs="宋体"/>
          <w:b/>
          <w:bCs/>
          <w:kern w:val="0"/>
          <w:sz w:val="28"/>
          <w:szCs w:val="24"/>
          <w:u w:val="single"/>
        </w:rPr>
        <w:t>積不善</w:t>
      </w:r>
      <w:r w:rsidRPr="0055724E">
        <w:rPr>
          <w:rFonts w:cs="宋体"/>
          <w:kern w:val="0"/>
          <w:sz w:val="28"/>
          <w:szCs w:val="24"/>
        </w:rPr>
        <w:t>之家，必有餘殃。”《正義》：“……明其所行善惡事，由久而積漸，故致後之吉凶。”</w:t>
      </w:r>
      <w:r w:rsidRPr="00965627">
        <w:rPr>
          <w:rStyle w:val="ae"/>
          <w:rFonts w:cs="宋体"/>
          <w:kern w:val="0"/>
          <w:sz w:val="28"/>
          <w:szCs w:val="24"/>
        </w:rPr>
        <w:endnoteReference w:id="164"/>
      </w:r>
      <w:r w:rsidRPr="0055724E">
        <w:rPr>
          <w:rFonts w:cs="宋体"/>
          <w:kern w:val="0"/>
          <w:sz w:val="28"/>
          <w:szCs w:val="24"/>
        </w:rPr>
        <w:t>此例的“善”應指做得好的事，“不善”指做得不好的事。如果某家所做的事大都是正確的、對人有益的，必然會有</w:t>
      </w:r>
      <w:r w:rsidRPr="0055724E">
        <w:rPr>
          <w:rFonts w:cs="宋体"/>
          <w:kern w:val="0"/>
          <w:sz w:val="28"/>
          <w:szCs w:val="24"/>
        </w:rPr>
        <w:lastRenderedPageBreak/>
        <w:t>“慶”；如果所做的事大都是不正確的、對人有害的，必然會有“殃”。《淮南子·齊俗》“湯、武之累行積善，可及也”，有“累行積善”之語，《史記·劉敬列傳》“周之先……積德累善十有餘世”，有“積德累善”之語，可以參看。</w:t>
      </w:r>
    </w:p>
    <w:p w14:paraId="16679C12"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4）《禮記·大學》：“小人閒居爲不善，無所不至，見君子而後厭然揜其不善而著其善。”意謂小人平時什麼壞事都能做出來，見到君子時就把自己的壞事掩蓋起來，只顯示自己做得好的事。“善”與“不善”之義與上例相近。</w:t>
      </w:r>
    </w:p>
    <w:p w14:paraId="36204928"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（5）《孟子·梁惠王下》記孟子評價太王避狄遷岐之事説：“苟</w:t>
      </w:r>
      <w:r w:rsidRPr="0055724E">
        <w:rPr>
          <w:rFonts w:cs="宋体"/>
          <w:b/>
          <w:bCs/>
          <w:kern w:val="0"/>
          <w:sz w:val="28"/>
          <w:szCs w:val="24"/>
          <w:u w:val="single"/>
        </w:rPr>
        <w:t>爲善</w:t>
      </w:r>
      <w:r w:rsidRPr="0055724E">
        <w:rPr>
          <w:rFonts w:cs="宋体"/>
          <w:kern w:val="0"/>
          <w:sz w:val="28"/>
          <w:szCs w:val="24"/>
        </w:rPr>
        <w:t>，後世子孫必有王者矣。”此文的“善”亦指善事。上引之文見《梁惠王下》第十四章，第十五章説太王知道狄人要奪取他所居的邠地，他若守邠必然引起戰爭，使邠地人民受傷害，因此主動退避到岐山之下，“邠人曰：‘仁人也，不可失也。’從之者如歸市”。可見太王是爲了邠地人民的安全而遷岐的。孟子認爲這是爲“善”事，這也可以説明我們在例（1）的分析中認爲“善”事之“善”含有正確、對人有益的意思是合理的。</w:t>
      </w:r>
    </w:p>
    <w:p w14:paraId="062E3A9F"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lastRenderedPageBreak/>
        <w:t>（6）《左傳·宣公二年》記晋靈公殘暴無道，士會欲諫，晋靈公曰：“吾知所過矣，將改之。”士會對曰：“人誰無過，過而能改，</w:t>
      </w:r>
      <w:r w:rsidRPr="0055724E">
        <w:rPr>
          <w:rFonts w:cs="宋体"/>
          <w:b/>
          <w:bCs/>
          <w:kern w:val="0"/>
          <w:sz w:val="28"/>
          <w:szCs w:val="24"/>
          <w:u w:val="single"/>
        </w:rPr>
        <w:t>善莫大焉</w:t>
      </w:r>
      <w:r w:rsidRPr="0055724E">
        <w:rPr>
          <w:rFonts w:cs="宋体"/>
          <w:kern w:val="0"/>
          <w:sz w:val="28"/>
          <w:szCs w:val="24"/>
        </w:rPr>
        <w:t>。……”此文的“善”也應該指做得很好的事。沈玉成將“善莫大焉”翻譯爲“没有比這再好的事情了”</w:t>
      </w:r>
      <w:r w:rsidRPr="00965627">
        <w:rPr>
          <w:rStyle w:val="ae"/>
          <w:rFonts w:cs="宋体"/>
          <w:kern w:val="0"/>
          <w:sz w:val="28"/>
          <w:szCs w:val="24"/>
        </w:rPr>
        <w:endnoteReference w:id="165"/>
      </w:r>
      <w:r w:rsidRPr="0055724E">
        <w:rPr>
          <w:rFonts w:cs="宋体"/>
          <w:kern w:val="0"/>
          <w:sz w:val="28"/>
          <w:szCs w:val="24"/>
        </w:rPr>
        <w:t>，相當正確。</w:t>
      </w:r>
    </w:p>
    <w:p w14:paraId="26EF6EE6"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（7）《國語·晋語七》記晋悼公重賞魏絳，魏絳推辭，悼公指出魏絳在懷柔戎、狄和渡河征服鄭國這兩件事情上功勞最大，受之無愧。最後載評論悼公之語説：“君子曰：能志</w:t>
      </w:r>
      <w:r w:rsidRPr="0055724E">
        <w:rPr>
          <w:rFonts w:cs="宋体"/>
          <w:b/>
          <w:bCs/>
          <w:color w:val="A0A0A0"/>
          <w:kern w:val="0"/>
          <w:sz w:val="21"/>
          <w:szCs w:val="21"/>
        </w:rPr>
        <w:t>（韋昭注：識也）</w:t>
      </w:r>
      <w:r w:rsidRPr="0055724E">
        <w:rPr>
          <w:rFonts w:cs="宋体"/>
          <w:b/>
          <w:bCs/>
          <w:kern w:val="0"/>
          <w:sz w:val="28"/>
          <w:szCs w:val="24"/>
          <w:u w:val="single"/>
        </w:rPr>
        <w:t>善</w:t>
      </w:r>
      <w:r w:rsidRPr="0055724E">
        <w:rPr>
          <w:rFonts w:cs="宋体"/>
          <w:kern w:val="0"/>
          <w:sz w:val="28"/>
          <w:szCs w:val="24"/>
        </w:rPr>
        <w:t>也。”“善”應指魏絳做得很好的那些事。</w:t>
      </w:r>
    </w:p>
    <w:p w14:paraId="68498D96"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（8）《論語·季氏》：“孔子曰：見</w:t>
      </w:r>
      <w:r w:rsidRPr="0055724E">
        <w:rPr>
          <w:rFonts w:cs="宋体"/>
          <w:b/>
          <w:bCs/>
          <w:kern w:val="0"/>
          <w:sz w:val="28"/>
          <w:szCs w:val="24"/>
          <w:u w:val="single"/>
        </w:rPr>
        <w:t>善</w:t>
      </w:r>
      <w:r w:rsidRPr="0055724E">
        <w:rPr>
          <w:rFonts w:cs="宋体"/>
          <w:kern w:val="0"/>
          <w:sz w:val="28"/>
          <w:szCs w:val="24"/>
        </w:rPr>
        <w:t>如不及，見</w:t>
      </w:r>
      <w:r w:rsidRPr="0055724E">
        <w:rPr>
          <w:rFonts w:cs="宋体"/>
          <w:b/>
          <w:bCs/>
          <w:kern w:val="0"/>
          <w:sz w:val="28"/>
          <w:szCs w:val="24"/>
          <w:u w:val="single"/>
        </w:rPr>
        <w:t>不善</w:t>
      </w:r>
      <w:r w:rsidRPr="0055724E">
        <w:rPr>
          <w:rFonts w:cs="宋体"/>
          <w:kern w:val="0"/>
          <w:sz w:val="28"/>
          <w:szCs w:val="24"/>
        </w:rPr>
        <w:t>如探湯，吾見其人矣，吾聞其語矣。”</w:t>
      </w:r>
    </w:p>
    <w:p w14:paraId="1BE01245"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（9）《大戴禮記·曾子立事》：“見</w:t>
      </w:r>
      <w:r w:rsidRPr="0055724E">
        <w:rPr>
          <w:rFonts w:cs="宋体"/>
          <w:b/>
          <w:bCs/>
          <w:kern w:val="0"/>
          <w:sz w:val="28"/>
          <w:szCs w:val="24"/>
          <w:u w:val="single"/>
        </w:rPr>
        <w:t>善</w:t>
      </w:r>
      <w:r w:rsidRPr="0055724E">
        <w:rPr>
          <w:rFonts w:cs="宋体"/>
          <w:kern w:val="0"/>
          <w:sz w:val="28"/>
          <w:szCs w:val="24"/>
        </w:rPr>
        <w:t>，恐不得與焉；見</w:t>
      </w:r>
      <w:r w:rsidRPr="0055724E">
        <w:rPr>
          <w:rFonts w:cs="宋体"/>
          <w:b/>
          <w:bCs/>
          <w:kern w:val="0"/>
          <w:sz w:val="28"/>
          <w:szCs w:val="24"/>
          <w:u w:val="single"/>
        </w:rPr>
        <w:t>不善</w:t>
      </w:r>
      <w:r w:rsidRPr="0055724E">
        <w:rPr>
          <w:rFonts w:cs="宋体"/>
          <w:kern w:val="0"/>
          <w:sz w:val="28"/>
          <w:szCs w:val="24"/>
        </w:rPr>
        <w:t>者，恐其及己也。”</w:t>
      </w:r>
    </w:p>
    <w:p w14:paraId="206779CD" w14:textId="77777777" w:rsidR="009F4F5A" w:rsidRDefault="009F4F5A" w:rsidP="00445DA3">
      <w:pPr>
        <w:widowControl/>
        <w:spacing w:beforeLines="50" w:before="180" w:line="480" w:lineRule="auto"/>
        <w:jc w:val="left"/>
        <w:rPr>
          <w:rFonts w:cs="宋体"/>
          <w:kern w:val="0"/>
          <w:sz w:val="28"/>
          <w:szCs w:val="24"/>
        </w:rPr>
      </w:pPr>
      <w:r w:rsidRPr="0055724E">
        <w:rPr>
          <w:rFonts w:cs="宋体"/>
          <w:kern w:val="0"/>
          <w:sz w:val="28"/>
          <w:szCs w:val="24"/>
        </w:rPr>
        <w:t>上二例意同。“善”與“不善”指做得好的事和做得不好的事。《大戴禮記》的“不善者”亦應指事而言。從“如不及”“如探湯”之語來看，這裏所説的“善”與“不善”其程度顯然都是比較高的，《後漢書·黨錮傳》：“范滂曰：臣聞仲尼之言：見善如不及，見惡如探</w:t>
      </w:r>
      <w:r w:rsidRPr="0055724E">
        <w:rPr>
          <w:rFonts w:cs="宋体"/>
          <w:kern w:val="0"/>
          <w:sz w:val="28"/>
          <w:szCs w:val="24"/>
        </w:rPr>
        <w:lastRenderedPageBreak/>
        <w:t>湯。”《大戴禮記》廬辯注引《季氏》文亦作“見惡”</w:t>
      </w:r>
      <w:r w:rsidRPr="00965627">
        <w:rPr>
          <w:rStyle w:val="ae"/>
          <w:rFonts w:cs="宋体"/>
          <w:kern w:val="0"/>
          <w:sz w:val="28"/>
          <w:szCs w:val="24"/>
        </w:rPr>
        <w:endnoteReference w:id="166"/>
      </w:r>
      <w:r w:rsidRPr="0055724E">
        <w:rPr>
          <w:rFonts w:cs="宋体"/>
          <w:kern w:val="0"/>
          <w:sz w:val="28"/>
          <w:szCs w:val="24"/>
        </w:rPr>
        <w:t>。把“不善”引作“惡”可以説明這一點。</w:t>
      </w:r>
    </w:p>
    <w:p w14:paraId="0D17E627"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（10）《禮記·中庸》：“子曰：舜其大知也與！舜好問而好察邇言，隱惡而揚</w:t>
      </w:r>
      <w:r w:rsidRPr="0055724E">
        <w:rPr>
          <w:rFonts w:cs="宋体"/>
          <w:b/>
          <w:bCs/>
          <w:kern w:val="0"/>
          <w:sz w:val="28"/>
          <w:szCs w:val="24"/>
          <w:u w:val="single"/>
        </w:rPr>
        <w:t>善</w:t>
      </w:r>
      <w:r w:rsidRPr="0055724E">
        <w:rPr>
          <w:rFonts w:cs="宋体"/>
          <w:kern w:val="0"/>
          <w:sz w:val="28"/>
          <w:szCs w:val="24"/>
        </w:rPr>
        <w:t>……”這裏的“善”“惡”應指別人正確、有益的言行和錯誤甚至有害的言行，言行可以包括在廣義的“事”中。</w:t>
      </w:r>
    </w:p>
    <w:p w14:paraId="39D04CB3"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（11）《論語·陽貨》：“佛肸召，子欲往。子路曰：‘昔者由也聞諸夫子曰：“親於其身爲</w:t>
      </w:r>
      <w:r w:rsidRPr="0055724E">
        <w:rPr>
          <w:rFonts w:cs="宋体"/>
          <w:b/>
          <w:bCs/>
          <w:kern w:val="0"/>
          <w:sz w:val="28"/>
          <w:szCs w:val="24"/>
          <w:u w:val="single"/>
        </w:rPr>
        <w:t>不善</w:t>
      </w:r>
      <w:r w:rsidRPr="0055724E">
        <w:rPr>
          <w:rFonts w:cs="宋体"/>
          <w:kern w:val="0"/>
          <w:sz w:val="28"/>
          <w:szCs w:val="24"/>
        </w:rPr>
        <w:t>者，君子不入也。”佛肸以中牟畔，子之往也，如之何！’”這裏的“不善”也指做得不好的事</w:t>
      </w:r>
      <w:r w:rsidRPr="0055724E">
        <w:rPr>
          <w:rFonts w:cs="宋体"/>
          <w:b/>
          <w:bCs/>
          <w:color w:val="A0A0A0"/>
          <w:kern w:val="0"/>
          <w:sz w:val="21"/>
          <w:szCs w:val="21"/>
        </w:rPr>
        <w:t>（皇侃《義疏》在串講此文時將“不善”説成“不善之事”</w:t>
      </w:r>
      <w:r>
        <w:rPr>
          <w:rStyle w:val="ae"/>
          <w:rFonts w:cs="宋体"/>
          <w:b/>
          <w:bCs/>
          <w:color w:val="A0A0A0"/>
          <w:kern w:val="0"/>
          <w:sz w:val="21"/>
          <w:szCs w:val="21"/>
        </w:rPr>
        <w:endnoteReference w:id="167"/>
      </w:r>
      <w:r w:rsidRPr="0055724E">
        <w:rPr>
          <w:rFonts w:cs="宋体"/>
          <w:b/>
          <w:bCs/>
          <w:color w:val="A0A0A0"/>
          <w:kern w:val="0"/>
          <w:sz w:val="21"/>
          <w:szCs w:val="21"/>
        </w:rPr>
        <w:t>）</w:t>
      </w:r>
      <w:r w:rsidRPr="0055724E">
        <w:rPr>
          <w:rFonts w:cs="宋体"/>
          <w:kern w:val="0"/>
          <w:sz w:val="28"/>
          <w:szCs w:val="24"/>
        </w:rPr>
        <w:t>，跟上引《左傳·昭公四年》</w:t>
      </w:r>
      <w:r w:rsidRPr="0055724E">
        <w:rPr>
          <w:rFonts w:cs="宋体"/>
          <w:b/>
          <w:bCs/>
          <w:color w:val="A0A0A0"/>
          <w:kern w:val="0"/>
          <w:sz w:val="21"/>
          <w:szCs w:val="21"/>
        </w:rPr>
        <w:t>[例（1）]</w:t>
      </w:r>
      <w:r w:rsidRPr="0055724E">
        <w:rPr>
          <w:rFonts w:cs="宋体"/>
          <w:kern w:val="0"/>
          <w:sz w:val="28"/>
          <w:szCs w:val="24"/>
        </w:rPr>
        <w:t>、《管子·九守》</w:t>
      </w:r>
      <w:r w:rsidRPr="0055724E">
        <w:rPr>
          <w:rFonts w:cs="宋体"/>
          <w:b/>
          <w:bCs/>
          <w:color w:val="A0A0A0"/>
          <w:kern w:val="0"/>
          <w:sz w:val="21"/>
          <w:szCs w:val="21"/>
        </w:rPr>
        <w:t>[例（2）]</w:t>
      </w:r>
      <w:r w:rsidRPr="0055724E">
        <w:rPr>
          <w:rFonts w:cs="宋体"/>
          <w:kern w:val="0"/>
          <w:sz w:val="28"/>
          <w:szCs w:val="24"/>
        </w:rPr>
        <w:t>二例的“爲善者”可以就理解爲“做很好的事的人”一樣，此例的“爲不善者”也可以就理解爲“做不好的事的人”。</w:t>
      </w:r>
    </w:p>
    <w:p w14:paraId="3996E30D"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“善事”一語已見先秦古書，我們只找到了以下數例。</w:t>
      </w:r>
    </w:p>
    <w:p w14:paraId="18F41E5A"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（1）《管子·樞言》：“命屬於食，治屬於事，無</w:t>
      </w:r>
      <w:r w:rsidRPr="0055724E">
        <w:rPr>
          <w:rFonts w:cs="宋体"/>
          <w:b/>
          <w:bCs/>
          <w:kern w:val="0"/>
          <w:sz w:val="28"/>
          <w:szCs w:val="24"/>
          <w:u w:val="single"/>
        </w:rPr>
        <w:t>善事</w:t>
      </w:r>
      <w:r w:rsidRPr="0055724E">
        <w:rPr>
          <w:rFonts w:cs="宋体"/>
          <w:kern w:val="0"/>
          <w:sz w:val="28"/>
          <w:szCs w:val="24"/>
        </w:rPr>
        <w:t>而有善治者，自古及今未嘗之有。”</w:t>
      </w:r>
    </w:p>
    <w:p w14:paraId="0E93391A" w14:textId="77777777" w:rsidR="009F4F5A" w:rsidRDefault="009F4F5A" w:rsidP="00445DA3">
      <w:pPr>
        <w:widowControl/>
        <w:spacing w:beforeLines="50" w:before="180" w:line="480" w:lineRule="auto"/>
        <w:jc w:val="left"/>
        <w:rPr>
          <w:rFonts w:cs="宋体"/>
          <w:kern w:val="0"/>
          <w:sz w:val="28"/>
          <w:szCs w:val="24"/>
        </w:rPr>
      </w:pPr>
      <w:r w:rsidRPr="0055724E">
        <w:rPr>
          <w:rFonts w:cs="宋体"/>
          <w:kern w:val="0"/>
          <w:sz w:val="28"/>
          <w:szCs w:val="24"/>
        </w:rPr>
        <w:t>耿振東把此文翻譯爲：“生命依靠食物，治理國家依靠實幹。没有給人民帶去實際的利益却享有善於治理國家聲譽的，從古到今，從來没</w:t>
      </w:r>
      <w:r w:rsidRPr="0055724E">
        <w:rPr>
          <w:rFonts w:cs="宋体"/>
          <w:kern w:val="0"/>
          <w:sz w:val="28"/>
          <w:szCs w:val="24"/>
        </w:rPr>
        <w:lastRenderedPageBreak/>
        <w:t>有過。”</w:t>
      </w:r>
      <w:r w:rsidRPr="00965627">
        <w:rPr>
          <w:rStyle w:val="ae"/>
          <w:rFonts w:cs="宋体"/>
          <w:kern w:val="0"/>
          <w:sz w:val="28"/>
          <w:szCs w:val="24"/>
        </w:rPr>
        <w:endnoteReference w:id="168"/>
      </w:r>
      <w:r w:rsidRPr="0055724E">
        <w:rPr>
          <w:rFonts w:cs="宋体"/>
          <w:kern w:val="0"/>
          <w:sz w:val="28"/>
          <w:szCs w:val="24"/>
        </w:rPr>
        <w:t>其意可取。我們認爲，如果比較忠實於原文，這段話似可理解爲：“生命繫於食物，所取得的好的治績繫於所做的好的行事。没有好的行事，是不可能取得好的治績的。”所謂“好的行事”，應指采取適當的措施、樹立好的準則等等。</w:t>
      </w:r>
    </w:p>
    <w:p w14:paraId="1245D375"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《樞言》是箴言、格言一類文字的彙編，性質與郭店簡《語叢四》、馬王堆帛書《老子》乙本卷前佚書中的《稱》篇，以及《淮南子·説林》《説苑·談叢》等相近，在《管子》中應該是時代較晚之篇。</w:t>
      </w:r>
    </w:p>
    <w:p w14:paraId="47E7E20F"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《戰國策》中有三例“善事”：</w:t>
      </w:r>
    </w:p>
    <w:p w14:paraId="70D5BF54"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（2）《魏策一》“張儀爲秦連橫説魏王”章記張儀勸魏王攻楚以取悦於秦，他説：“夫虧楚而益魏，攻楚而適秦，内嫁禍安國，</w:t>
      </w:r>
      <w:r w:rsidRPr="00965627">
        <w:rPr>
          <w:rStyle w:val="ae"/>
          <w:rFonts w:ascii="华文楷体" w:eastAsia="华文楷体" w:hAnsi="华文楷体" w:cs="宋体"/>
          <w:color w:val="000000"/>
          <w:kern w:val="0"/>
          <w:sz w:val="28"/>
          <w:szCs w:val="24"/>
        </w:rPr>
        <w:endnoteReference w:id="169"/>
      </w:r>
      <w:r w:rsidRPr="0055724E">
        <w:rPr>
          <w:rFonts w:cs="宋体"/>
          <w:kern w:val="0"/>
          <w:sz w:val="28"/>
          <w:szCs w:val="24"/>
        </w:rPr>
        <w:t>此</w:t>
      </w:r>
      <w:r w:rsidRPr="0055724E">
        <w:rPr>
          <w:rFonts w:cs="宋体"/>
          <w:b/>
          <w:bCs/>
          <w:kern w:val="0"/>
          <w:sz w:val="28"/>
          <w:szCs w:val="24"/>
          <w:u w:val="single"/>
        </w:rPr>
        <w:t>善事</w:t>
      </w:r>
      <w:r w:rsidRPr="0055724E">
        <w:rPr>
          <w:rFonts w:cs="宋体"/>
          <w:kern w:val="0"/>
          <w:sz w:val="28"/>
          <w:szCs w:val="24"/>
        </w:rPr>
        <w:t>也。”</w:t>
      </w:r>
    </w:p>
    <w:p w14:paraId="2717D362"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3）《韓策一》“韓公仲謂向壽”章記秦伐取韓之宜陽，令向壽守之，韓相公仲使蘇代説之，勸他守好宜陽，不要對韓國有進一步的敵對行動，這樣能打亂他在秦國的主要政敵甘茂、公孫郝的部署，鞏固自己的地位。蘇代在説向壽的過程中説了“此</w:t>
      </w:r>
      <w:r w:rsidRPr="0055724E">
        <w:rPr>
          <w:rFonts w:cs="宋体"/>
          <w:b/>
          <w:bCs/>
          <w:color w:val="A0A0A0"/>
          <w:kern w:val="0"/>
          <w:sz w:val="21"/>
          <w:szCs w:val="21"/>
        </w:rPr>
        <w:t>（按：指他爲向壽擬定的策略）</w:t>
      </w:r>
      <w:r w:rsidRPr="0055724E">
        <w:rPr>
          <w:rFonts w:cs="宋体"/>
          <w:b/>
          <w:bCs/>
          <w:kern w:val="0"/>
          <w:sz w:val="28"/>
          <w:szCs w:val="24"/>
          <w:u w:val="single"/>
        </w:rPr>
        <w:t>善事</w:t>
      </w:r>
      <w:r w:rsidRPr="0055724E">
        <w:rPr>
          <w:rFonts w:cs="宋体"/>
          <w:kern w:val="0"/>
          <w:sz w:val="28"/>
          <w:szCs w:val="24"/>
        </w:rPr>
        <w:t>也”的話。</w:t>
      </w:r>
    </w:p>
    <w:p w14:paraId="40044FD1"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lastRenderedPageBreak/>
        <w:t>（4）《秦策三》“蔡澤見逐於趙”章記蔡澤見秦相范雎，勸范雎把相位讓給他，自己全身而退，功名流傳後世，並用反問的語氣對范雎説，按照他給范雎安排的那樣去做，“豈非道之符，而聖人所謂吉祥</w:t>
      </w:r>
      <w:r w:rsidRPr="0055724E">
        <w:rPr>
          <w:rFonts w:cs="宋体"/>
          <w:b/>
          <w:bCs/>
          <w:kern w:val="0"/>
          <w:sz w:val="28"/>
          <w:szCs w:val="24"/>
          <w:u w:val="single"/>
        </w:rPr>
        <w:t>善事</w:t>
      </w:r>
      <w:r w:rsidRPr="0055724E">
        <w:rPr>
          <w:rFonts w:cs="宋体"/>
          <w:kern w:val="0"/>
          <w:sz w:val="28"/>
          <w:szCs w:val="24"/>
        </w:rPr>
        <w:t>與”。</w:t>
      </w:r>
    </w:p>
    <w:p w14:paraId="6CA8A739" w14:textId="4529191E"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這幾處的所謂“善事”都是説者認爲對被説者有利的好事，當然也是按照説者的觀點看是正確的事。</w:t>
      </w:r>
    </w:p>
    <w:p w14:paraId="54B56725" w14:textId="77777777" w:rsidR="00445DA3" w:rsidRDefault="00445DA3" w:rsidP="00445DA3">
      <w:pPr>
        <w:widowControl/>
        <w:spacing w:beforeLines="50" w:before="180" w:line="480" w:lineRule="auto"/>
        <w:ind w:firstLine="480"/>
        <w:jc w:val="left"/>
        <w:rPr>
          <w:rFonts w:cs="宋体"/>
          <w:kern w:val="0"/>
          <w:sz w:val="28"/>
          <w:szCs w:val="24"/>
        </w:rPr>
      </w:pPr>
    </w:p>
    <w:p w14:paraId="1126A981" w14:textId="77777777" w:rsidR="009F4F5A" w:rsidRDefault="009F4F5A" w:rsidP="00A45A65">
      <w:pPr>
        <w:widowControl/>
        <w:spacing w:beforeLines="50" w:before="180" w:line="480" w:lineRule="auto"/>
        <w:jc w:val="left"/>
        <w:rPr>
          <w:rFonts w:cs="宋体"/>
          <w:kern w:val="0"/>
          <w:sz w:val="28"/>
          <w:szCs w:val="24"/>
        </w:rPr>
      </w:pPr>
      <w:r w:rsidRPr="0055724E">
        <w:rPr>
          <w:rFonts w:cs="宋体"/>
          <w:b/>
          <w:bCs/>
          <w:kern w:val="0"/>
          <w:sz w:val="28"/>
          <w:szCs w:val="24"/>
        </w:rPr>
        <w:t>（二）以“善”指稱“善的道”</w:t>
      </w:r>
    </w:p>
    <w:p w14:paraId="52E9734C"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有些單用的“善”字指的是“善的道（包含道理、原則、方法以至思想等意義）”。</w:t>
      </w:r>
    </w:p>
    <w:p w14:paraId="4F993A01"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（1）《禮記·中庸》説：“子曰：回之爲人也，擇乎中庸。得一</w:t>
      </w:r>
      <w:r w:rsidRPr="0055724E">
        <w:rPr>
          <w:rFonts w:cs="宋体"/>
          <w:b/>
          <w:bCs/>
          <w:kern w:val="0"/>
          <w:sz w:val="28"/>
          <w:szCs w:val="24"/>
          <w:u w:val="single"/>
        </w:rPr>
        <w:t>善</w:t>
      </w:r>
      <w:r w:rsidRPr="0055724E">
        <w:rPr>
          <w:rFonts w:cs="宋体"/>
          <w:kern w:val="0"/>
          <w:sz w:val="28"/>
          <w:szCs w:val="24"/>
        </w:rPr>
        <w:t>，則拳拳服膺而弗失之矣。”《禮記正義》串講時將“得一善”説成“得一善事”</w:t>
      </w:r>
      <w:r w:rsidRPr="00965627">
        <w:rPr>
          <w:rStyle w:val="ae"/>
          <w:rFonts w:cs="宋体"/>
          <w:kern w:val="0"/>
          <w:sz w:val="28"/>
          <w:szCs w:val="24"/>
        </w:rPr>
        <w:endnoteReference w:id="170"/>
      </w:r>
      <w:r w:rsidRPr="0055724E">
        <w:rPr>
          <w:rFonts w:cs="宋体"/>
          <w:kern w:val="0"/>
          <w:sz w:val="28"/>
          <w:szCs w:val="24"/>
        </w:rPr>
        <w:t>，今人《禮記》譯文也有將此“善”字譯爲“善行”的，“行”可以包括在“事”的範圍内。王文錦把這裏的“善”譯爲“好的道理、好的思想”</w:t>
      </w:r>
      <w:r w:rsidRPr="00965627">
        <w:rPr>
          <w:rStyle w:val="ae"/>
          <w:rFonts w:cs="宋体"/>
          <w:kern w:val="0"/>
          <w:sz w:val="28"/>
          <w:szCs w:val="24"/>
        </w:rPr>
        <w:endnoteReference w:id="171"/>
      </w:r>
      <w:r w:rsidRPr="0055724E">
        <w:rPr>
          <w:rFonts w:cs="宋体"/>
          <w:kern w:val="0"/>
          <w:sz w:val="28"/>
          <w:szCs w:val="24"/>
        </w:rPr>
        <w:t>，我們認爲這種理解似乎更好一點。就此例來説，所謂“好的道理、好的思想”當然是指合乎中庸的道理、思想，在《中庸》篇的作者看來，合乎中庸的當然也就是正確的、對</w:t>
      </w:r>
      <w:r w:rsidRPr="0055724E">
        <w:rPr>
          <w:rFonts w:cs="宋体"/>
          <w:kern w:val="0"/>
          <w:sz w:val="28"/>
          <w:szCs w:val="24"/>
        </w:rPr>
        <w:lastRenderedPageBreak/>
        <w:t>人有益的。《中庸》又説：“……誠身有道，不明乎善，不誠乎身矣。誠者，天之道也。誠之者，人之道也。誠者，不勉而中，不思而得，從容中道，聖人也。誠之者，擇善而固執之者也。”上引文中的兩個“善”也都應指善道，可以理解爲合乎中庸的、正確有益的道理。</w:t>
      </w:r>
    </w:p>
    <w:p w14:paraId="4338B7B1"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前面説過，“善”也有“把事、把人做得很好”的意思，這種意思跟“正確、對人有益”的意思彼此是有相通之處的，但從我們繼續要討論的這種“善”字來看，有些似以理解爲“把事、把人做得很好”的意思更妥當一些。下面將會隨時説明。</w:t>
      </w:r>
    </w:p>
    <w:p w14:paraId="7E293DEE"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（2）《孟子·離婁上》：“……堯舜之道，不以仁政，不能平治天下。今有仁心仁聞而民不被其澤，不可法於後世者，不行先王之道也。故曰：徒</w:t>
      </w:r>
      <w:r w:rsidRPr="0055724E">
        <w:rPr>
          <w:rFonts w:cs="宋体"/>
          <w:b/>
          <w:bCs/>
          <w:kern w:val="0"/>
          <w:sz w:val="28"/>
          <w:szCs w:val="24"/>
          <w:u w:val="single"/>
        </w:rPr>
        <w:t>善</w:t>
      </w:r>
      <w:r w:rsidRPr="0055724E">
        <w:rPr>
          <w:rFonts w:cs="宋体"/>
          <w:kern w:val="0"/>
          <w:sz w:val="28"/>
          <w:szCs w:val="24"/>
        </w:rPr>
        <w:t>不足以爲政，徒法不能以自行。……”趙岐注“徒善”句説：“但有善心而不行之，不足以爲政；但有善法度而不施之，法度亦不能獨自行也。”</w:t>
      </w:r>
      <w:r w:rsidRPr="00965627">
        <w:rPr>
          <w:rStyle w:val="ae"/>
          <w:rFonts w:cs="宋体"/>
          <w:kern w:val="0"/>
          <w:sz w:val="28"/>
          <w:szCs w:val="24"/>
        </w:rPr>
        <w:endnoteReference w:id="172"/>
      </w:r>
      <w:r w:rsidRPr="0055724E">
        <w:rPr>
          <w:rFonts w:cs="宋体"/>
          <w:kern w:val="0"/>
          <w:sz w:val="28"/>
          <w:szCs w:val="24"/>
        </w:rPr>
        <w:t>“善心”也就是“善”的道理、“善”的思想。</w:t>
      </w:r>
    </w:p>
    <w:p w14:paraId="38ECED55"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（3）《孟子·離婁上》：“責難於君謂之恭，陳</w:t>
      </w:r>
      <w:r w:rsidRPr="0055724E">
        <w:rPr>
          <w:rFonts w:cs="宋体"/>
          <w:b/>
          <w:bCs/>
          <w:kern w:val="0"/>
          <w:sz w:val="28"/>
          <w:szCs w:val="24"/>
          <w:u w:val="single"/>
        </w:rPr>
        <w:t>善</w:t>
      </w:r>
      <w:r w:rsidRPr="0055724E">
        <w:rPr>
          <w:rFonts w:cs="宋体"/>
          <w:kern w:val="0"/>
          <w:sz w:val="28"/>
          <w:szCs w:val="24"/>
        </w:rPr>
        <w:t>閉邪謂之敬，吾君不能謂之賊。”此條與上條同見於一章。“陳善”之“善”，趙岐注説成“善法”，《孟子疏》説成“善事”</w:t>
      </w:r>
      <w:r w:rsidRPr="00965627">
        <w:rPr>
          <w:rStyle w:val="ae"/>
          <w:rFonts w:cs="宋体"/>
          <w:kern w:val="0"/>
          <w:sz w:val="28"/>
          <w:szCs w:val="24"/>
        </w:rPr>
        <w:endnoteReference w:id="173"/>
      </w:r>
      <w:r w:rsidRPr="0055724E">
        <w:rPr>
          <w:rFonts w:cs="宋体"/>
          <w:kern w:val="0"/>
          <w:sz w:val="28"/>
          <w:szCs w:val="24"/>
        </w:rPr>
        <w:t>，朱熹《集注》引范</w:t>
      </w:r>
      <w:r w:rsidRPr="0055724E">
        <w:rPr>
          <w:rFonts w:cs="宋体"/>
          <w:kern w:val="0"/>
          <w:sz w:val="28"/>
          <w:szCs w:val="24"/>
        </w:rPr>
        <w:lastRenderedPageBreak/>
        <w:t>氏説成“善道”</w:t>
      </w:r>
      <w:r w:rsidRPr="00965627">
        <w:rPr>
          <w:rStyle w:val="ae"/>
          <w:rFonts w:cs="宋体"/>
          <w:kern w:val="0"/>
          <w:sz w:val="28"/>
          <w:szCs w:val="24"/>
        </w:rPr>
        <w:endnoteReference w:id="174"/>
      </w:r>
      <w:r w:rsidRPr="0055724E">
        <w:rPr>
          <w:rFonts w:cs="宋体"/>
          <w:kern w:val="0"/>
          <w:sz w:val="28"/>
          <w:szCs w:val="24"/>
        </w:rPr>
        <w:t>。此例的“善”似也以理解爲“善”的道理、思想爲妥。</w:t>
      </w:r>
    </w:p>
    <w:p w14:paraId="2EFC1FEC"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（4）《孟子·滕文公上》：“分人以財謂之惠，教人以善謂之忠，爲天下得人者謂之仁。”楊伯峻把“教人以善”之“善”翻譯爲“好的道理”</w:t>
      </w:r>
      <w:r w:rsidRPr="00965627">
        <w:rPr>
          <w:rStyle w:val="ae"/>
          <w:rFonts w:cs="宋体"/>
          <w:kern w:val="0"/>
          <w:sz w:val="28"/>
          <w:szCs w:val="24"/>
        </w:rPr>
        <w:endnoteReference w:id="175"/>
      </w:r>
      <w:r w:rsidRPr="0055724E">
        <w:rPr>
          <w:rFonts w:cs="宋体"/>
          <w:kern w:val="0"/>
          <w:sz w:val="28"/>
          <w:szCs w:val="24"/>
        </w:rPr>
        <w:t>，似可從。</w:t>
      </w:r>
    </w:p>
    <w:p w14:paraId="4B7FECE2"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上文關於“善人”的部分講孟子以樂正子爲“善人”的那段文字裏引過《孟子·告子下》的如下文字：“‘其爲人也</w:t>
      </w:r>
      <w:r w:rsidRPr="0055724E">
        <w:rPr>
          <w:rFonts w:cs="宋体"/>
          <w:b/>
          <w:bCs/>
          <w:kern w:val="0"/>
          <w:sz w:val="28"/>
          <w:szCs w:val="24"/>
          <w:u w:val="single"/>
        </w:rPr>
        <w:t>好善</w:t>
      </w:r>
      <w:r w:rsidRPr="0055724E">
        <w:rPr>
          <w:rFonts w:cs="宋体"/>
          <w:kern w:val="0"/>
          <w:sz w:val="28"/>
          <w:szCs w:val="24"/>
        </w:rPr>
        <w:t>。’‘</w:t>
      </w:r>
      <w:r w:rsidRPr="0055724E">
        <w:rPr>
          <w:rFonts w:cs="宋体"/>
          <w:b/>
          <w:bCs/>
          <w:kern w:val="0"/>
          <w:sz w:val="28"/>
          <w:szCs w:val="24"/>
          <w:u w:val="single"/>
        </w:rPr>
        <w:t>好善</w:t>
      </w:r>
      <w:r w:rsidRPr="0055724E">
        <w:rPr>
          <w:rFonts w:cs="宋体"/>
          <w:kern w:val="0"/>
          <w:sz w:val="28"/>
          <w:szCs w:val="24"/>
        </w:rPr>
        <w:t>足乎？’曰：‘</w:t>
      </w:r>
      <w:r w:rsidRPr="0055724E">
        <w:rPr>
          <w:rFonts w:cs="宋体"/>
          <w:b/>
          <w:bCs/>
          <w:kern w:val="0"/>
          <w:sz w:val="28"/>
          <w:szCs w:val="24"/>
          <w:u w:val="single"/>
        </w:rPr>
        <w:t>好善</w:t>
      </w:r>
      <w:r w:rsidRPr="0055724E">
        <w:rPr>
          <w:rFonts w:cs="宋体"/>
          <w:kern w:val="0"/>
          <w:sz w:val="28"/>
          <w:szCs w:val="24"/>
        </w:rPr>
        <w:t>優於天下，而況魯國乎？夫苟</w:t>
      </w:r>
      <w:r w:rsidRPr="0055724E">
        <w:rPr>
          <w:rFonts w:cs="宋体"/>
          <w:b/>
          <w:bCs/>
          <w:kern w:val="0"/>
          <w:sz w:val="28"/>
          <w:szCs w:val="24"/>
          <w:u w:val="single"/>
        </w:rPr>
        <w:t>好善</w:t>
      </w:r>
      <w:r w:rsidRPr="0055724E">
        <w:rPr>
          <w:rFonts w:cs="宋体"/>
          <w:kern w:val="0"/>
          <w:sz w:val="28"/>
          <w:szCs w:val="24"/>
        </w:rPr>
        <w:t>，則四海之内皆將輕千里而來</w:t>
      </w:r>
      <w:r w:rsidRPr="0055724E">
        <w:rPr>
          <w:rFonts w:cs="宋体"/>
          <w:b/>
          <w:bCs/>
          <w:kern w:val="0"/>
          <w:sz w:val="28"/>
          <w:szCs w:val="24"/>
          <w:u w:val="single"/>
        </w:rPr>
        <w:t>告之以善</w:t>
      </w:r>
      <w:r w:rsidRPr="0055724E">
        <w:rPr>
          <w:rFonts w:cs="宋体"/>
          <w:kern w:val="0"/>
          <w:sz w:val="28"/>
          <w:szCs w:val="24"/>
        </w:rPr>
        <w:t>。’”</w:t>
      </w:r>
      <w:r w:rsidRPr="0055724E">
        <w:rPr>
          <w:rFonts w:cs="宋体"/>
          <w:b/>
          <w:bCs/>
          <w:color w:val="A0A0A0"/>
          <w:kern w:val="0"/>
          <w:sz w:val="21"/>
          <w:szCs w:val="21"/>
        </w:rPr>
        <w:t>[见三（二）1.例（20）]</w:t>
      </w:r>
      <w:r w:rsidRPr="0055724E">
        <w:rPr>
          <w:rFonts w:cs="宋体"/>
          <w:kern w:val="0"/>
          <w:sz w:val="28"/>
          <w:szCs w:val="24"/>
        </w:rPr>
        <w:t>其中的五個“善”字都應該理解爲“善道”。孟子心目中的“善道”主要就是仁義之道。</w:t>
      </w:r>
    </w:p>
    <w:p w14:paraId="39D415A2"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5）郭店《語叢三》簡53—54：“膳（善）日過我，我日過膳（善），賢者唯其止也以異。”此“善”似亦應理解爲“善道”。這句話的意思是説：善道和我是很接近的，賢者與常人之異就在於他在經過善道時能停止下來吸取接受善道。《論語·述而》：“仁遠乎哉，我欲仁，仁斯至矣。”上引《語叢三》文講人與善的關係，跟《述而》講人與仁的關係相似。《述而》“仁遠乎哉”的“仁”其實也可以看作是指“仁道”而言的。</w:t>
      </w:r>
    </w:p>
    <w:p w14:paraId="1FF0BA68"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lastRenderedPageBreak/>
        <w:t>（6）郭店《成之聞之》簡3—4：“故君子之蒞民也，身服善以先之，敬慎以守之，其所在者内矣，民孰弗從？”此“善”似亦可理解爲“善道”。“服善”似可理解爲循行善道。《管子·形勢解》“故欲民之懷樂己者，必服道德而勿厭也”，可參看。</w:t>
      </w:r>
    </w:p>
    <w:p w14:paraId="3D67238B"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7）上博《仲弓》簡23—24：“夫行，旬年學之，一日以善立，所學皆終，一日以不善立，所學皆崩，可不慎乎？”此例不是很好理解。我們覺得，此條的“善”似也可當“善道”講，理解爲“把事、把人做得很好”之道。“以善立”，就是持要把事、把人做得很好的態度；“以不善立”，就是持不想把事、把人做好的態度。</w:t>
      </w:r>
    </w:p>
    <w:p w14:paraId="6B100789" w14:textId="1C47CC14"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8）郭店《性自命出》簡23—27：“凡聲，其出於情也信，然後其入撥人之心也厚。聞笑聲，則展如也斯喜。聞歌謠，則慆如也斯奮。聽琴瑟之聲，則悸如也斯嘆。觀《賚》《武》，則齊如也斯作。觀《韶》《夏》，則勉如也斯斂。詠思而動心，喟如也。其居即</w:t>
      </w:r>
      <w:r w:rsidRPr="0055724E">
        <w:rPr>
          <w:rFonts w:cs="宋体"/>
          <w:b/>
          <w:bCs/>
          <w:color w:val="A0A0A0"/>
          <w:kern w:val="0"/>
          <w:sz w:val="21"/>
          <w:szCs w:val="21"/>
        </w:rPr>
        <w:t>（此字有“節”“次”兩種讀法，讀爲“次”似較好。陳偉認爲：居、次皆停止、駐留之意。“居次也久”指古樂的教化作用持久</w:t>
      </w:r>
      <w:r>
        <w:rPr>
          <w:rStyle w:val="ae"/>
          <w:rFonts w:cs="宋体"/>
          <w:b/>
          <w:bCs/>
          <w:color w:val="A0A0A0"/>
          <w:kern w:val="0"/>
          <w:sz w:val="21"/>
          <w:szCs w:val="21"/>
        </w:rPr>
        <w:endnoteReference w:id="176"/>
      </w:r>
      <w:r w:rsidRPr="0055724E">
        <w:rPr>
          <w:rFonts w:cs="宋体"/>
          <w:b/>
          <w:bCs/>
          <w:color w:val="A0A0A0"/>
          <w:kern w:val="0"/>
          <w:sz w:val="21"/>
          <w:szCs w:val="21"/>
        </w:rPr>
        <w:t>）</w:t>
      </w:r>
      <w:r w:rsidRPr="0055724E">
        <w:rPr>
          <w:rFonts w:cs="宋体"/>
          <w:kern w:val="0"/>
          <w:sz w:val="28"/>
          <w:szCs w:val="24"/>
        </w:rPr>
        <w:t>也久，其反善復始也慎，其出内</w:t>
      </w:r>
      <w:r w:rsidRPr="0055724E">
        <w:rPr>
          <w:rFonts w:cs="宋体"/>
          <w:b/>
          <w:bCs/>
          <w:color w:val="A0A0A0"/>
          <w:kern w:val="0"/>
          <w:sz w:val="21"/>
          <w:szCs w:val="21"/>
        </w:rPr>
        <w:t>（當讀爲“入”或“納”）</w:t>
      </w:r>
      <w:r w:rsidRPr="0055724E">
        <w:rPr>
          <w:rFonts w:cs="宋体"/>
          <w:kern w:val="0"/>
          <w:sz w:val="28"/>
          <w:szCs w:val="24"/>
        </w:rPr>
        <w:t>也順，</w:t>
      </w:r>
      <w:r>
        <w:rPr>
          <w:rFonts w:ascii="华文楷体" w:eastAsia="华文楷体" w:hAnsi="华文楷体"/>
          <w:noProof/>
          <w:position w:val="-4"/>
          <w:szCs w:val="24"/>
        </w:rPr>
        <w:drawing>
          <wp:inline distT="0" distB="0" distL="0" distR="0" wp14:anchorId="003780AF" wp14:editId="6C507A76">
            <wp:extent cx="177165" cy="177165"/>
            <wp:effectExtent l="0" t="0" r="0" b="0"/>
            <wp:docPr id="469" name="图片 469" descr="厶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 name="图片 469" descr="厶司"/>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77165" cy="177165"/>
                    </a:xfrm>
                    <a:prstGeom prst="rect">
                      <a:avLst/>
                    </a:prstGeom>
                    <a:noFill/>
                    <a:ln>
                      <a:noFill/>
                    </a:ln>
                  </pic:spPr>
                </pic:pic>
              </a:graphicData>
            </a:graphic>
          </wp:inline>
        </w:drawing>
      </w:r>
      <w:r w:rsidRPr="0055724E">
        <w:rPr>
          <w:rFonts w:cs="宋体"/>
          <w:kern w:val="0"/>
          <w:sz w:val="28"/>
          <w:szCs w:val="24"/>
        </w:rPr>
        <w:t>（當讀爲“嗣”</w:t>
      </w:r>
      <w:r w:rsidRPr="00965627">
        <w:rPr>
          <w:rStyle w:val="ae"/>
          <w:rFonts w:asciiTheme="minorEastAsia" w:hAnsiTheme="minorEastAsia" w:cs="宋体"/>
          <w:color w:val="000000"/>
          <w:kern w:val="0"/>
          <w:sz w:val="28"/>
          <w:szCs w:val="24"/>
        </w:rPr>
        <w:endnoteReference w:id="177"/>
      </w:r>
      <w:r w:rsidRPr="0055724E">
        <w:rPr>
          <w:rFonts w:cs="宋体"/>
          <w:kern w:val="0"/>
          <w:sz w:val="28"/>
          <w:szCs w:val="24"/>
        </w:rPr>
        <w:t>）其德也。”</w:t>
      </w:r>
      <w:r w:rsidRPr="00965627">
        <w:rPr>
          <w:rStyle w:val="ae"/>
          <w:rFonts w:cs="宋体"/>
          <w:kern w:val="0"/>
          <w:sz w:val="28"/>
          <w:szCs w:val="24"/>
        </w:rPr>
        <w:endnoteReference w:id="178"/>
      </w:r>
    </w:p>
    <w:p w14:paraId="0DB1F1A4"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lastRenderedPageBreak/>
        <w:t>“反善復始也慎”的“慎”，應訓爲“誠”</w:t>
      </w:r>
      <w:r w:rsidRPr="0055724E">
        <w:rPr>
          <w:rFonts w:cs="宋体"/>
          <w:b/>
          <w:bCs/>
          <w:color w:val="A0A0A0"/>
          <w:kern w:val="0"/>
          <w:sz w:val="21"/>
          <w:szCs w:val="21"/>
        </w:rPr>
        <w:t>（見《爾雅·釋詁》）</w:t>
      </w:r>
      <w:r w:rsidRPr="0055724E">
        <w:rPr>
          <w:rFonts w:cs="宋体"/>
          <w:kern w:val="0"/>
          <w:sz w:val="28"/>
          <w:szCs w:val="24"/>
        </w:rPr>
        <w:t>，學者似無異議。“反善復始”之語很容易讓人理解爲是説使人心返回到本來的“善”，如果這樣理解，《性自命出》篇的作者就是一位較早持性善論的哲人了，但是我們前面講《性自命出》篇的“善不善，性也；所善所不善，勢也”的時候已經説明《性自命出》篇的作者應該是持“性可以爲善可以爲不善”説的</w:t>
      </w:r>
      <w:r w:rsidRPr="0055724E">
        <w:rPr>
          <w:rFonts w:cs="宋体"/>
          <w:b/>
          <w:bCs/>
          <w:color w:val="A0A0A0"/>
          <w:kern w:val="0"/>
          <w:sz w:val="21"/>
          <w:szCs w:val="21"/>
        </w:rPr>
        <w:t>[參見三（四）]</w:t>
      </w:r>
      <w:r w:rsidRPr="0055724E">
        <w:rPr>
          <w:rFonts w:cs="宋体"/>
          <w:kern w:val="0"/>
          <w:sz w:val="28"/>
          <w:szCs w:val="24"/>
        </w:rPr>
        <w:t>，所以上述那種理解似不能成立。古人在説到人們由一種不理想、不好的狀況轉變爲理想的、好的狀況的時候，往往喜歡用“反（返）”字，但所説的理想的、好的狀況却往往不是人們原來曾有的實際狀況。《禮記·樂記》“是故先王之制禮樂也，非以極口腹耳目之欲也，將以教民平好惡而反人道之正也”，“人道之正”實際上並非百姓心中原來就有的。“歸”的本義是回歸，但很早就引申出了歸屬、歸附等義，上舉的這種“反（返）”字我們今天也不應就理解爲回返，而應該理解爲歸屬一類意義。本義爲“回復”的“復”字，也有與“反（返）”字類似的情況，《論語·顏淵》：“顏淵問仁。子曰：‘克己復禮爲仁。一日克己復禮，天下歸仁焉。爲仁由己，而由人乎哉？’顏淵曰：‘請問其目。’子曰：‘非禮勿視，非禮勿聽，非禮勿言，非禮勿動。’顏淵曰：‘回雖不敏，請事斯語矣。’”“非禮勿視”“非禮勿</w:t>
      </w:r>
      <w:r w:rsidRPr="0055724E">
        <w:rPr>
          <w:rFonts w:cs="宋体"/>
          <w:kern w:val="0"/>
          <w:sz w:val="28"/>
          <w:szCs w:val="24"/>
        </w:rPr>
        <w:lastRenderedPageBreak/>
        <w:t>聽”“非禮勿言”“非禮勿動”並非人們心中原有的或者説曾經有過的思想，“復禮”的“復”字我們今天也不應就理解爲回復，而應該理解爲“歸”或“歸於”。所以，簡文的“反善”應該理解爲歸於善道。《禮記·樂記》：“樂也者，聖人之所樂也，而可以善民心。其感人深，其移風易俗，故先王著其教焉。”前面已經講過，這裏的“善”可以作兩種理解，一種理解認爲“善民心”就是善治民心的意思；一種理解是把這個“善”字看作使動詞，“善民心”意思就是使民心變善。</w:t>
      </w:r>
      <w:r w:rsidRPr="0055724E">
        <w:rPr>
          <w:rFonts w:cs="宋体"/>
          <w:b/>
          <w:bCs/>
          <w:color w:val="A0A0A0"/>
          <w:kern w:val="0"/>
          <w:sz w:val="21"/>
          <w:szCs w:val="21"/>
        </w:rPr>
        <w:t>[見一（二）3]</w:t>
      </w:r>
      <w:r w:rsidRPr="0055724E">
        <w:rPr>
          <w:rFonts w:cs="宋体"/>
          <w:kern w:val="0"/>
          <w:sz w:val="28"/>
          <w:szCs w:val="24"/>
        </w:rPr>
        <w:t>不管如何理解，表示的都是要用樂使民心歸善的意思。簡文説樂的教化作用能導致人心“反善”，與《樂記》説樂能“善民心”應該是一個意思，我們不能因爲“反善”跟“復始”連言，就把“反善”理解爲回歸到本來的“善”。《樂記》又説先王要以樂“感動人之善心”，這句話與同篇的樂“可以善民心”意思應該相近。我們認爲從《樂記》的整體思想看，作者主要應該是持“性可以爲善可以爲不善”的看法的，有教化作用的樂和聖王所用的其他教化手段一樣，可以使人性向善的方向發展，所以説樂可以“感動人之善心”，這句話也不能按性善論的觀點解釋。</w:t>
      </w:r>
    </w:p>
    <w:p w14:paraId="6CF263D6"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古人認爲樂出於情，《禮記·樂記》的第一段就是説明這個道理的，其中比較重要的幾句話是“凡音者，生人心者也。情動於中，故</w:t>
      </w:r>
      <w:r w:rsidRPr="0055724E">
        <w:rPr>
          <w:rFonts w:cs="宋体"/>
          <w:kern w:val="0"/>
          <w:sz w:val="28"/>
          <w:szCs w:val="24"/>
        </w:rPr>
        <w:lastRenderedPageBreak/>
        <w:t>形於聲。聲成文謂之音”，《性自命出》也説“凡聲，其出於情也信，然後其入撥人之心也厚”。“復始”的意思應該是説起教化作用的音樂能使人回復到樂所從出的真情。關於這個問題可以參看《性自命出》篇中講觀察“學者”（當指從學、求學者）心中真情的方法的一段文字</w:t>
      </w:r>
      <w:r w:rsidRPr="00965627">
        <w:rPr>
          <w:rStyle w:val="ae"/>
          <w:rFonts w:asciiTheme="minorEastAsia" w:hAnsiTheme="minorEastAsia" w:cs="宋体"/>
          <w:color w:val="000000"/>
          <w:kern w:val="0"/>
          <w:sz w:val="28"/>
          <w:szCs w:val="24"/>
        </w:rPr>
        <w:endnoteReference w:id="179"/>
      </w:r>
      <w:r w:rsidRPr="0055724E">
        <w:rPr>
          <w:rFonts w:cs="宋体"/>
          <w:kern w:val="0"/>
          <w:sz w:val="28"/>
          <w:szCs w:val="24"/>
        </w:rPr>
        <w:t>。此段文字認爲如果被觀察者善於作僞，其心中真情就難以知道。如果他是不會作僞的，“從其所爲，近得之矣，不如以樂之速也”，意思就是觀察不會作僞的人的所作所爲，大概就可以得知他心中的真情，但這樣做“不如以樂之速也”。所謂“不如以樂之速也”，應指通過他對音樂的反應更容易知道他心中的真情。由此可以看出，此篇作者確是很重視音樂與人之真情的關係的。</w:t>
      </w:r>
    </w:p>
    <w:p w14:paraId="029D1EC6"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緊接在“其反善復始也慎”後的“其出内也順”句，在意義上也是緊承上句的。《性自命出》簡3—4説“道始於情，情生於性。始者近情，終者近義。知〔情者能〕</w:t>
      </w:r>
      <w:r w:rsidRPr="0055724E">
        <w:rPr>
          <w:rFonts w:cs="宋体"/>
          <w:b/>
          <w:bCs/>
          <w:color w:val="A0A0A0"/>
          <w:kern w:val="0"/>
          <w:sz w:val="21"/>
          <w:szCs w:val="21"/>
        </w:rPr>
        <w:t>（此三字殘去，《郭店楚墓竹簡》據“裘按”補出，上博《性情論》簡2正作‘情者能’）</w:t>
      </w:r>
      <w:r w:rsidRPr="0055724E">
        <w:rPr>
          <w:rFonts w:cs="宋体"/>
          <w:kern w:val="0"/>
          <w:sz w:val="28"/>
          <w:szCs w:val="24"/>
        </w:rPr>
        <w:t>出之，知義者能内</w:t>
      </w:r>
      <w:r w:rsidRPr="0055724E">
        <w:rPr>
          <w:rFonts w:cs="宋体"/>
          <w:b/>
          <w:bCs/>
          <w:color w:val="A0A0A0"/>
          <w:kern w:val="0"/>
          <w:sz w:val="21"/>
          <w:szCs w:val="21"/>
        </w:rPr>
        <w:t>（當讀爲‘入’或‘納’）</w:t>
      </w:r>
      <w:r w:rsidRPr="0055724E">
        <w:rPr>
          <w:rFonts w:cs="宋体"/>
          <w:kern w:val="0"/>
          <w:sz w:val="28"/>
          <w:szCs w:val="24"/>
        </w:rPr>
        <w:t>之”，陳偉在2000年發表的《郭店簡書〈人雖有性〉校釋》一文中曾認爲“其出内也順”與“知情者能出之，知義者能内之”所指相同，又認爲“始者”指性，“終者”指道</w:t>
      </w:r>
      <w:r w:rsidRPr="00965627">
        <w:rPr>
          <w:rStyle w:val="ae"/>
          <w:rFonts w:cs="宋体"/>
          <w:kern w:val="0"/>
          <w:sz w:val="28"/>
          <w:szCs w:val="24"/>
        </w:rPr>
        <w:endnoteReference w:id="180"/>
      </w:r>
      <w:r w:rsidRPr="0055724E">
        <w:rPr>
          <w:rFonts w:cs="宋体"/>
          <w:kern w:val="0"/>
          <w:sz w:val="28"/>
          <w:szCs w:val="24"/>
        </w:rPr>
        <w:t>，都是很有道理的。但其文中認爲“内”字當如字讀，不應讀爲“入”或“納”，並説“出之、内</w:t>
      </w:r>
      <w:r w:rsidRPr="0055724E">
        <w:rPr>
          <w:rFonts w:cs="宋体"/>
          <w:kern w:val="0"/>
          <w:sz w:val="28"/>
          <w:szCs w:val="24"/>
        </w:rPr>
        <w:lastRenderedPageBreak/>
        <w:t>之，均就性而言。出指導出、發散；内，收藏、節斂”</w:t>
      </w:r>
      <w:r w:rsidRPr="00965627">
        <w:rPr>
          <w:rStyle w:val="ae"/>
          <w:rFonts w:cs="宋体"/>
          <w:kern w:val="0"/>
          <w:sz w:val="28"/>
          <w:szCs w:val="24"/>
        </w:rPr>
        <w:endnoteReference w:id="181"/>
      </w:r>
      <w:r w:rsidRPr="0055724E">
        <w:rPr>
          <w:rFonts w:cs="宋体"/>
          <w:kern w:val="0"/>
          <w:sz w:val="28"/>
          <w:szCs w:val="24"/>
        </w:rPr>
        <w:t>，則是有問題的。其實“能出之”“能内之”兩個“之”字並不能認爲都指“性”，“知情者能出之”的“之”確應指“性”，“知義者能内之”的“之”則應指“道”。我們前面講過，《性自命出》篇有“動性者，物也”“出性者，勢也”的話，並認爲好惡出自性，性所以表示出好惡，是由於外界的物“動之”，“善不善”出於性，但所以有善不善之別，是由外界的勢造成的。“知情者能出之，知義者能内</w:t>
      </w:r>
      <w:r w:rsidRPr="0055724E">
        <w:rPr>
          <w:rFonts w:cs="宋体"/>
          <w:b/>
          <w:bCs/>
          <w:color w:val="A0A0A0"/>
          <w:kern w:val="0"/>
          <w:sz w:val="21"/>
          <w:szCs w:val="21"/>
        </w:rPr>
        <w:t>（入/納）</w:t>
      </w:r>
      <w:r w:rsidRPr="0055724E">
        <w:rPr>
          <w:rFonts w:cs="宋体"/>
          <w:kern w:val="0"/>
          <w:sz w:val="28"/>
          <w:szCs w:val="24"/>
        </w:rPr>
        <w:t>之”兩句話的意思應該是説：由於“情”與“始者”即“性”相近，“義”與“終者”即“道”相近，所以了解、掌握了情的人能够使性發出來、很好地應付外界的影響，了解、掌握了義的人能够使道進入其心、很好地加以吸收。陳偉那篇文章所以要堅持將“内”字如字讀，解釋爲“收藏、節斂”，就是由於他誤認爲作爲“内”的賓語的“之”就指性的緣故，其實把“内”訓爲“收藏、節斂”也是缺乏根據的。陳偉在他主編的《楚地出土戰國簡册十四種》中的《性自命出》篇“注釋”中並未引他這篇文章的意見，而且在後來自編的文集中也沒有收入此篇，不知是否已經放棄我們上引的那些意見了。我們認爲，“其出内</w:t>
      </w:r>
      <w:r w:rsidRPr="0055724E">
        <w:rPr>
          <w:rFonts w:cs="宋体"/>
          <w:b/>
          <w:bCs/>
          <w:color w:val="A0A0A0"/>
          <w:kern w:val="0"/>
          <w:sz w:val="21"/>
          <w:szCs w:val="21"/>
        </w:rPr>
        <w:t>（入/納）</w:t>
      </w:r>
      <w:r w:rsidRPr="0055724E">
        <w:rPr>
          <w:rFonts w:cs="宋体"/>
          <w:kern w:val="0"/>
          <w:sz w:val="28"/>
          <w:szCs w:val="24"/>
        </w:rPr>
        <w:t>也順”的“出”就指性的發出，“内</w:t>
      </w:r>
      <w:r w:rsidRPr="0055724E">
        <w:rPr>
          <w:rFonts w:cs="宋体"/>
          <w:b/>
          <w:bCs/>
          <w:color w:val="A0A0A0"/>
          <w:kern w:val="0"/>
          <w:sz w:val="21"/>
          <w:szCs w:val="21"/>
        </w:rPr>
        <w:t>（入/納）</w:t>
      </w:r>
      <w:r w:rsidRPr="0055724E">
        <w:rPr>
          <w:rFonts w:cs="宋体"/>
          <w:kern w:val="0"/>
          <w:sz w:val="28"/>
          <w:szCs w:val="24"/>
        </w:rPr>
        <w:t>也”就指使道進入心中。此句的“出”可以看作是承上句的“復始”而言的，</w:t>
      </w:r>
      <w:r w:rsidRPr="0055724E">
        <w:rPr>
          <w:rFonts w:cs="宋体"/>
          <w:kern w:val="0"/>
          <w:sz w:val="28"/>
          <w:szCs w:val="24"/>
        </w:rPr>
        <w:lastRenderedPageBreak/>
        <w:t>“内</w:t>
      </w:r>
      <w:r w:rsidRPr="0055724E">
        <w:rPr>
          <w:rFonts w:cs="宋体"/>
          <w:b/>
          <w:bCs/>
          <w:color w:val="A0A0A0"/>
          <w:kern w:val="0"/>
          <w:sz w:val="21"/>
          <w:szCs w:val="21"/>
        </w:rPr>
        <w:t>（入/納）</w:t>
      </w:r>
      <w:r w:rsidRPr="0055724E">
        <w:rPr>
          <w:rFonts w:cs="宋体"/>
          <w:kern w:val="0"/>
          <w:sz w:val="28"/>
          <w:szCs w:val="24"/>
        </w:rPr>
        <w:t>”是承上句的“反善”而言的。《性自命出》篇有“義也者，群善之蕝也”的話</w:t>
      </w:r>
      <w:r w:rsidRPr="0055724E">
        <w:rPr>
          <w:rFonts w:cs="宋体"/>
          <w:b/>
          <w:bCs/>
          <w:color w:val="A0A0A0"/>
          <w:kern w:val="0"/>
          <w:sz w:val="21"/>
          <w:szCs w:val="21"/>
        </w:rPr>
        <w:t>（簡13）</w:t>
      </w:r>
      <w:r w:rsidRPr="0055724E">
        <w:rPr>
          <w:rFonts w:cs="宋体"/>
          <w:kern w:val="0"/>
          <w:sz w:val="28"/>
          <w:szCs w:val="24"/>
        </w:rPr>
        <w:t>，郭店簡《語叢三》有“義，膳（善）之方也”</w:t>
      </w:r>
      <w:r w:rsidRPr="0055724E">
        <w:rPr>
          <w:rFonts w:cs="宋体"/>
          <w:b/>
          <w:bCs/>
          <w:color w:val="A0A0A0"/>
          <w:kern w:val="0"/>
          <w:sz w:val="21"/>
          <w:szCs w:val="21"/>
        </w:rPr>
        <w:t>（簡25）</w:t>
      </w:r>
      <w:r w:rsidRPr="0055724E">
        <w:rPr>
          <w:rFonts w:cs="宋体"/>
          <w:kern w:val="0"/>
          <w:sz w:val="28"/>
          <w:szCs w:val="24"/>
        </w:rPr>
        <w:t>的話，其大意都可以理解爲義是各種善事、善道的準則</w:t>
      </w:r>
      <w:r w:rsidRPr="0055724E">
        <w:rPr>
          <w:rFonts w:cs="宋体"/>
          <w:b/>
          <w:bCs/>
          <w:color w:val="A0A0A0"/>
          <w:kern w:val="0"/>
          <w:sz w:val="21"/>
          <w:szCs w:val="21"/>
        </w:rPr>
        <w:t>（詳見下文）</w:t>
      </w:r>
      <w:r w:rsidRPr="0055724E">
        <w:rPr>
          <w:rFonts w:cs="宋体"/>
          <w:kern w:val="0"/>
          <w:sz w:val="28"/>
          <w:szCs w:val="24"/>
        </w:rPr>
        <w:t>。從這兩句話可以看出“義”與“善”的密切關係。我們説“其出内</w:t>
      </w:r>
      <w:r w:rsidRPr="0055724E">
        <w:rPr>
          <w:rFonts w:cs="宋体"/>
          <w:b/>
          <w:bCs/>
          <w:color w:val="A0A0A0"/>
          <w:kern w:val="0"/>
          <w:sz w:val="21"/>
          <w:szCs w:val="21"/>
        </w:rPr>
        <w:t>（入/納）</w:t>
      </w:r>
      <w:r w:rsidRPr="0055724E">
        <w:rPr>
          <w:rFonts w:cs="宋体"/>
          <w:kern w:val="0"/>
          <w:sz w:val="28"/>
          <w:szCs w:val="24"/>
        </w:rPr>
        <w:t>也順”的“内（入/納）”是承上句“反善”而言的，所以被此文稱爲“終者”的“道”也可以説主要就指善道。</w:t>
      </w:r>
    </w:p>
    <w:p w14:paraId="3037AE50"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先秦文獻中有“善道”一語：</w:t>
      </w:r>
    </w:p>
    <w:p w14:paraId="6AAB5CA9"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（1）《孟子·盡心下》：“孟子曰：言近而指遠者，</w:t>
      </w:r>
      <w:r w:rsidRPr="0055724E">
        <w:rPr>
          <w:rFonts w:cs="宋体"/>
          <w:b/>
          <w:bCs/>
          <w:kern w:val="0"/>
          <w:sz w:val="28"/>
          <w:szCs w:val="24"/>
          <w:u w:val="single"/>
        </w:rPr>
        <w:t>善言</w:t>
      </w:r>
      <w:r w:rsidRPr="0055724E">
        <w:rPr>
          <w:rFonts w:cs="宋体"/>
          <w:kern w:val="0"/>
          <w:sz w:val="28"/>
          <w:szCs w:val="24"/>
        </w:rPr>
        <w:t>也；守約而施博者，</w:t>
      </w:r>
      <w:r w:rsidRPr="0055724E">
        <w:rPr>
          <w:rFonts w:cs="宋体"/>
          <w:b/>
          <w:bCs/>
          <w:kern w:val="0"/>
          <w:sz w:val="28"/>
          <w:szCs w:val="24"/>
          <w:u w:val="single"/>
        </w:rPr>
        <w:t>善道</w:t>
      </w:r>
      <w:r w:rsidRPr="0055724E">
        <w:rPr>
          <w:rFonts w:cs="宋体"/>
          <w:kern w:val="0"/>
          <w:sz w:val="28"/>
          <w:szCs w:val="24"/>
        </w:rPr>
        <w:t>也。”此文的“善言”“善道”之“善”似皆應當“正確、有用”講。“善言”在後面還會提到</w:t>
      </w:r>
      <w:r w:rsidRPr="0055724E">
        <w:rPr>
          <w:rFonts w:cs="宋体"/>
          <w:b/>
          <w:bCs/>
          <w:color w:val="A0A0A0"/>
          <w:kern w:val="0"/>
          <w:sz w:val="21"/>
          <w:szCs w:val="21"/>
        </w:rPr>
        <w:t>[見四（四）]</w:t>
      </w:r>
      <w:r w:rsidRPr="0055724E">
        <w:rPr>
          <w:rFonts w:cs="宋体"/>
          <w:kern w:val="0"/>
          <w:sz w:val="28"/>
          <w:szCs w:val="24"/>
        </w:rPr>
        <w:t>。</w:t>
      </w:r>
    </w:p>
    <w:p w14:paraId="0B10995A" w14:textId="0A2DD821"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（2）郭店《成之聞之》簡26—28：“聖人之性與中人之性，其生而未有非之。節於天也則猶是也。唯其於</w:t>
      </w:r>
      <w:r w:rsidRPr="0055724E">
        <w:rPr>
          <w:rFonts w:cs="宋体"/>
          <w:b/>
          <w:bCs/>
          <w:kern w:val="0"/>
          <w:sz w:val="28"/>
          <w:szCs w:val="24"/>
          <w:u w:val="single"/>
        </w:rPr>
        <w:t>善道</w:t>
      </w:r>
      <w:r w:rsidRPr="0055724E">
        <w:rPr>
          <w:rFonts w:cs="宋体"/>
          <w:kern w:val="0"/>
          <w:sz w:val="28"/>
          <w:szCs w:val="24"/>
        </w:rPr>
        <w:t>也，亦非有譯婁以多也。及其博長而厚大也，則聖人不可由與墠之。此以民皆有性而聖人不可慕也。”這段文字中可能有一些錯字脫文以及還不能破讀的借字，其意難以確解，但各家對此文大意的理解似並無很大分歧，其大意可勉强概括如下：聖人與中人（即介於聖人與下愚之間的那些常人）天生並無差別，即使就“善道”而言，聖人原來也並不優於中人，等到</w:t>
      </w:r>
      <w:r w:rsidRPr="0055724E">
        <w:rPr>
          <w:rFonts w:cs="宋体"/>
          <w:kern w:val="0"/>
          <w:sz w:val="28"/>
          <w:szCs w:val="24"/>
        </w:rPr>
        <w:lastRenderedPageBreak/>
        <w:t>聖人的修養已經達到博大精深的境界，常人就無法趕上他了。此文的“善道”似亦應理解爲“把人做得好”之道。</w:t>
      </w:r>
    </w:p>
    <w:p w14:paraId="1BC91BF8" w14:textId="77777777" w:rsidR="00445DA3" w:rsidRDefault="00445DA3" w:rsidP="00445DA3">
      <w:pPr>
        <w:widowControl/>
        <w:spacing w:beforeLines="50" w:before="180" w:line="480" w:lineRule="auto"/>
        <w:ind w:firstLine="480"/>
        <w:jc w:val="left"/>
        <w:rPr>
          <w:rFonts w:cs="宋体"/>
          <w:kern w:val="0"/>
          <w:sz w:val="28"/>
          <w:szCs w:val="24"/>
        </w:rPr>
      </w:pPr>
    </w:p>
    <w:p w14:paraId="6D440B35" w14:textId="77777777" w:rsidR="009F4F5A" w:rsidRDefault="009F4F5A" w:rsidP="00A45A65">
      <w:pPr>
        <w:widowControl/>
        <w:spacing w:beforeLines="50" w:before="180" w:line="480" w:lineRule="auto"/>
        <w:jc w:val="left"/>
        <w:rPr>
          <w:rFonts w:cs="宋体"/>
          <w:kern w:val="0"/>
          <w:sz w:val="28"/>
          <w:szCs w:val="24"/>
        </w:rPr>
      </w:pPr>
      <w:r w:rsidRPr="0055724E">
        <w:rPr>
          <w:rFonts w:cs="宋体"/>
          <w:b/>
          <w:bCs/>
          <w:kern w:val="0"/>
          <w:sz w:val="28"/>
          <w:szCs w:val="24"/>
        </w:rPr>
        <w:t>（三）以“善”兼指善事、善道</w:t>
      </w:r>
    </w:p>
    <w:p w14:paraId="478A5B95"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先秦文獻中的“善”還有兼指善事、善道的用法，而且所謂“事”“道”都可以是廣義的，如“事”中就可以包括“言”、“行”</w:t>
      </w:r>
      <w:r w:rsidRPr="0055724E">
        <w:rPr>
          <w:rFonts w:cs="宋体"/>
          <w:b/>
          <w:bCs/>
          <w:color w:val="A0A0A0"/>
          <w:kern w:val="0"/>
          <w:sz w:val="21"/>
          <w:szCs w:val="21"/>
        </w:rPr>
        <w:t>（指舊讀去聲的“行”）</w:t>
      </w:r>
      <w:r w:rsidRPr="0055724E">
        <w:rPr>
          <w:rFonts w:cs="宋体"/>
          <w:kern w:val="0"/>
          <w:sz w:val="28"/>
          <w:szCs w:val="24"/>
        </w:rPr>
        <w:t>。現舉例於下：</w:t>
      </w:r>
    </w:p>
    <w:p w14:paraId="62F6C49A"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郭店《忠信之道》簡7：“信之爲道也，羣物皆成而百善皆立。”“百善”與“群物”爲對文，應指各種善事、善道。</w:t>
      </w:r>
    </w:p>
    <w:p w14:paraId="70464F39" w14:textId="0D42B27E"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郭店《性自命出》簡13：“義也者，群善之蕝也。”《語叢三》簡25：“義，膳（善）之方也。”以上二條意義相似。前一條，整理者在“蕝”字下注：“參看《緇衣》注[五九]。”</w:t>
      </w:r>
      <w:r w:rsidRPr="00965627">
        <w:rPr>
          <w:rStyle w:val="ae"/>
          <w:rFonts w:cs="宋体"/>
          <w:kern w:val="0"/>
          <w:sz w:val="28"/>
          <w:szCs w:val="24"/>
        </w:rPr>
        <w:endnoteReference w:id="182"/>
      </w:r>
      <w:r w:rsidRPr="0055724E">
        <w:rPr>
          <w:rFonts w:cs="宋体"/>
          <w:kern w:val="0"/>
          <w:sz w:val="28"/>
          <w:szCs w:val="24"/>
        </w:rPr>
        <w:t>郭店《緇衣》簡21“此以大臣不可不敬，民之</w:t>
      </w:r>
      <w:r>
        <w:rPr>
          <w:rFonts w:hint="eastAsia"/>
          <w:noProof/>
          <w:kern w:val="0"/>
          <w:szCs w:val="24"/>
        </w:rPr>
        <w:drawing>
          <wp:inline distT="0" distB="0" distL="0" distR="0" wp14:anchorId="44E604CE" wp14:editId="47532E06">
            <wp:extent cx="204470" cy="186690"/>
            <wp:effectExtent l="0" t="0" r="5080" b="381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11863" cy="193087"/>
                    </a:xfrm>
                    <a:prstGeom prst="rect">
                      <a:avLst/>
                    </a:prstGeom>
                    <a:noFill/>
                    <a:ln>
                      <a:noFill/>
                    </a:ln>
                  </pic:spPr>
                </pic:pic>
              </a:graphicData>
            </a:graphic>
          </wp:inline>
        </w:drawing>
      </w:r>
      <w:r w:rsidRPr="0055724E">
        <w:rPr>
          <w:rFonts w:cs="宋体"/>
          <w:kern w:val="0"/>
          <w:sz w:val="28"/>
          <w:szCs w:val="24"/>
        </w:rPr>
        <w:t>（蕝）也”，整理者注：“《説文》：‘朝會束茅表位曰蕝。’於簡文中則有表徵之意。今本</w:t>
      </w:r>
      <w:r w:rsidRPr="0055724E">
        <w:rPr>
          <w:rFonts w:cs="宋体"/>
          <w:b/>
          <w:bCs/>
          <w:color w:val="A0A0A0"/>
          <w:kern w:val="0"/>
          <w:sz w:val="21"/>
          <w:szCs w:val="21"/>
        </w:rPr>
        <w:t>（引者按：指今傳《禮記·緇衣》）</w:t>
      </w:r>
      <w:r w:rsidRPr="0055724E">
        <w:rPr>
          <w:rFonts w:cs="宋体"/>
          <w:kern w:val="0"/>
          <w:sz w:val="28"/>
          <w:szCs w:val="24"/>
        </w:rPr>
        <w:t>作‘表’。”</w:t>
      </w:r>
      <w:r w:rsidRPr="00965627">
        <w:rPr>
          <w:rStyle w:val="ae"/>
          <w:rFonts w:cs="宋体"/>
          <w:kern w:val="0"/>
          <w:sz w:val="28"/>
          <w:szCs w:val="24"/>
        </w:rPr>
        <w:endnoteReference w:id="183"/>
      </w:r>
      <w:r w:rsidRPr="0055724E">
        <w:rPr>
          <w:rFonts w:cs="宋体"/>
          <w:kern w:val="0"/>
          <w:sz w:val="28"/>
          <w:szCs w:val="24"/>
        </w:rPr>
        <w:t>我們認爲從文意看，這兩個“蕝”似都應跟下一條的“方”相似。“方”有“準則”的意思，《詩·大雅·皇矣》“萬邦之方”毛傳：“方，則也。”“蕝”是作爲表位次</w:t>
      </w:r>
      <w:r w:rsidRPr="0055724E">
        <w:rPr>
          <w:rFonts w:cs="宋体"/>
          <w:kern w:val="0"/>
          <w:sz w:val="28"/>
          <w:szCs w:val="24"/>
        </w:rPr>
        <w:lastRenderedPageBreak/>
        <w:t>的標準的，《緇衣》今本“蕝”作“表”，“表”是作標記的木柱，古代用來測日影以定時的木柱也稱爲“表”，故引申而有“標準，準則”之義，《荀子·天論》“水行者表深，表不明則陷；治民者表道，表不明則亂”楊倞注：“表，標準也。”</w:t>
      </w:r>
      <w:r w:rsidRPr="00965627">
        <w:rPr>
          <w:rStyle w:val="ae"/>
          <w:rFonts w:cs="宋体"/>
          <w:kern w:val="0"/>
          <w:sz w:val="28"/>
          <w:szCs w:val="24"/>
        </w:rPr>
        <w:endnoteReference w:id="184"/>
      </w:r>
      <w:r w:rsidRPr="0055724E">
        <w:rPr>
          <w:rFonts w:cs="宋体"/>
          <w:kern w:val="0"/>
          <w:sz w:val="28"/>
          <w:szCs w:val="24"/>
        </w:rPr>
        <w:t>《大略》篇有類似的話，楊倞注：“表，標志也。”</w:t>
      </w:r>
      <w:r w:rsidRPr="00965627">
        <w:rPr>
          <w:rStyle w:val="ae"/>
          <w:rFonts w:cs="宋体"/>
          <w:kern w:val="0"/>
          <w:sz w:val="28"/>
          <w:szCs w:val="24"/>
        </w:rPr>
        <w:endnoteReference w:id="185"/>
      </w:r>
      <w:r w:rsidRPr="0055724E">
        <w:rPr>
          <w:rFonts w:cs="宋体"/>
          <w:kern w:val="0"/>
          <w:sz w:val="28"/>
          <w:szCs w:val="24"/>
        </w:rPr>
        <w:t>《後漢書·劉祐傳》“政爲三河表”李賢注：“表猶標準也。”</w:t>
      </w:r>
      <w:r w:rsidRPr="00965627">
        <w:rPr>
          <w:rStyle w:val="ae"/>
          <w:rFonts w:cs="宋体"/>
          <w:kern w:val="0"/>
          <w:sz w:val="28"/>
          <w:szCs w:val="24"/>
        </w:rPr>
        <w:endnoteReference w:id="186"/>
      </w:r>
      <w:r w:rsidRPr="0055724E">
        <w:rPr>
          <w:rFonts w:cs="宋体"/>
          <w:kern w:val="0"/>
          <w:sz w:val="28"/>
          <w:szCs w:val="24"/>
        </w:rPr>
        <w:t>“義也者，群善之蕝也”與“義，善之方也”的意思應該都是説義是善事、善道的準則，也就是説，各種善事、善道，都是合乎“義”的要求的。《緇衣》的“大臣不可不敬，民之蕝/表也”的“蕝/表”與其像郭店簡《緇衣》整理者那樣視爲“表徵”，其實還不如視爲“表率”，“表率”也含有“準則”的意思。</w:t>
      </w:r>
    </w:p>
    <w:p w14:paraId="52C6447E" w14:textId="77777777" w:rsidR="00445DA3" w:rsidRDefault="00445DA3" w:rsidP="00445DA3">
      <w:pPr>
        <w:widowControl/>
        <w:spacing w:beforeLines="50" w:before="180" w:line="480" w:lineRule="auto"/>
        <w:ind w:firstLine="480"/>
        <w:jc w:val="left"/>
        <w:rPr>
          <w:rFonts w:cs="宋体"/>
          <w:kern w:val="0"/>
          <w:sz w:val="28"/>
          <w:szCs w:val="24"/>
        </w:rPr>
      </w:pPr>
    </w:p>
    <w:p w14:paraId="259E3E77" w14:textId="77777777" w:rsidR="009F4F5A" w:rsidRDefault="009F4F5A" w:rsidP="00A45A65">
      <w:pPr>
        <w:widowControl/>
        <w:spacing w:beforeLines="50" w:before="180" w:line="480" w:lineRule="auto"/>
        <w:jc w:val="left"/>
        <w:rPr>
          <w:rFonts w:cs="宋体"/>
          <w:kern w:val="0"/>
          <w:sz w:val="28"/>
          <w:szCs w:val="24"/>
        </w:rPr>
      </w:pPr>
      <w:r w:rsidRPr="0055724E">
        <w:rPr>
          <w:rFonts w:cs="宋体"/>
          <w:b/>
          <w:bCs/>
          <w:kern w:val="0"/>
          <w:sz w:val="28"/>
          <w:szCs w:val="24"/>
        </w:rPr>
        <w:t>（四）以“善”指稱“善的境地、境界”</w:t>
      </w:r>
    </w:p>
    <w:p w14:paraId="1E2613E6"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還有些單用的“善”字指的是“善的境地、境界”：</w:t>
      </w:r>
    </w:p>
    <w:p w14:paraId="74E83BC0"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（1）清華《趙簡子》簡1—4：“趙簡子既受</w:t>
      </w:r>
      <w:r w:rsidRPr="00316AFC">
        <w:rPr>
          <w:rFonts w:ascii="华文楷体" w:eastAsia="华文楷体" w:hAnsi="华文楷体"/>
          <w:noProof/>
        </w:rPr>
        <w:drawing>
          <wp:inline distT="0" distB="0" distL="0" distR="0" wp14:anchorId="72594A33" wp14:editId="668086BA">
            <wp:extent cx="149860" cy="199390"/>
            <wp:effectExtent l="0" t="0" r="2540" b="0"/>
            <wp:docPr id="465" name="图片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 name="图片 465"/>
                    <pic:cNvPicPr>
                      <a:picLocks noChangeAspect="1"/>
                    </pic:cNvPicPr>
                  </pic:nvPicPr>
                  <pic:blipFill>
                    <a:blip r:embed="rId26">
                      <a:biLevel thresh="75000"/>
                    </a:blip>
                    <a:stretch>
                      <a:fillRect/>
                    </a:stretch>
                  </pic:blipFill>
                  <pic:spPr>
                    <a:xfrm>
                      <a:off x="0" y="0"/>
                      <a:ext cx="150166" cy="200221"/>
                    </a:xfrm>
                    <a:prstGeom prst="rect">
                      <a:avLst/>
                    </a:prstGeom>
                  </pic:spPr>
                </pic:pic>
              </a:graphicData>
            </a:graphic>
          </wp:inline>
        </w:drawing>
      </w:r>
      <w:r w:rsidRPr="0055724E">
        <w:rPr>
          <w:rFonts w:cs="宋体"/>
          <w:kern w:val="0"/>
          <w:sz w:val="28"/>
          <w:szCs w:val="24"/>
        </w:rPr>
        <w:t>將軍，在朝，范獻子進諌曰：‘……今吾子既爲</w:t>
      </w:r>
      <w:r w:rsidRPr="00316AFC">
        <w:rPr>
          <w:rFonts w:ascii="华文楷体" w:eastAsia="华文楷体" w:hAnsi="华文楷体"/>
          <w:noProof/>
        </w:rPr>
        <w:drawing>
          <wp:inline distT="0" distB="0" distL="0" distR="0" wp14:anchorId="1C9FEAC5" wp14:editId="3DFE36FF">
            <wp:extent cx="149860" cy="199390"/>
            <wp:effectExtent l="0" t="0" r="2540" b="0"/>
            <wp:docPr id="290945833" name="图片 290945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 name="图片 465"/>
                    <pic:cNvPicPr>
                      <a:picLocks noChangeAspect="1"/>
                    </pic:cNvPicPr>
                  </pic:nvPicPr>
                  <pic:blipFill>
                    <a:blip r:embed="rId26">
                      <a:biLevel thresh="75000"/>
                    </a:blip>
                    <a:stretch>
                      <a:fillRect/>
                    </a:stretch>
                  </pic:blipFill>
                  <pic:spPr>
                    <a:xfrm>
                      <a:off x="0" y="0"/>
                      <a:ext cx="150166" cy="200221"/>
                    </a:xfrm>
                    <a:prstGeom prst="rect">
                      <a:avLst/>
                    </a:prstGeom>
                  </pic:spPr>
                </pic:pic>
              </a:graphicData>
            </a:graphic>
          </wp:inline>
        </w:drawing>
      </w:r>
      <w:r w:rsidRPr="0055724E">
        <w:rPr>
          <w:rFonts w:cs="宋体"/>
          <w:kern w:val="0"/>
          <w:sz w:val="28"/>
          <w:szCs w:val="24"/>
        </w:rPr>
        <w:t>將軍已，如有過，則非人之罪，將子之咎。子始造於善，則善人至，不善人退。子始造於不善，則不善人至，善人退。用由今以往，吾子將不可以不戒已。’”前面講“善</w:t>
      </w:r>
      <w:r w:rsidRPr="0055724E">
        <w:rPr>
          <w:rFonts w:cs="宋体"/>
          <w:kern w:val="0"/>
          <w:sz w:val="28"/>
          <w:szCs w:val="24"/>
        </w:rPr>
        <w:lastRenderedPageBreak/>
        <w:t>人”時已經用過這條材料</w:t>
      </w:r>
      <w:r w:rsidRPr="0055724E">
        <w:rPr>
          <w:rFonts w:cs="宋体"/>
          <w:b/>
          <w:bCs/>
          <w:color w:val="A0A0A0"/>
          <w:kern w:val="0"/>
          <w:sz w:val="21"/>
          <w:szCs w:val="21"/>
        </w:rPr>
        <w:t>[見三（二）1.例（26）]</w:t>
      </w:r>
      <w:r w:rsidRPr="0055724E">
        <w:rPr>
          <w:rFonts w:cs="宋体"/>
          <w:kern w:val="0"/>
          <w:sz w:val="28"/>
          <w:szCs w:val="24"/>
        </w:rPr>
        <w:t>，我們在那裏説“‘子始造於善’意即‘您若一開始就達到善的境地’</w:t>
      </w:r>
      <w:r w:rsidRPr="0055724E">
        <w:rPr>
          <w:rFonts w:cs="宋体"/>
          <w:b/>
          <w:bCs/>
          <w:color w:val="A0A0A0"/>
          <w:kern w:val="0"/>
          <w:sz w:val="21"/>
          <w:szCs w:val="21"/>
        </w:rPr>
        <w:t>（關於這個“善”的意義，後面還要討論）</w:t>
      </w:r>
      <w:r w:rsidRPr="0055724E">
        <w:rPr>
          <w:rFonts w:cs="宋体"/>
          <w:kern w:val="0"/>
          <w:sz w:val="28"/>
          <w:szCs w:val="24"/>
        </w:rPr>
        <w:t>”，今按，這個“善”本應是“把晋國的執政當得很好”的意思</w:t>
      </w:r>
      <w:r w:rsidRPr="0055724E">
        <w:rPr>
          <w:rFonts w:cs="宋体"/>
          <w:b/>
          <w:bCs/>
          <w:color w:val="A0A0A0"/>
          <w:kern w:val="0"/>
          <w:sz w:val="21"/>
          <w:szCs w:val="21"/>
        </w:rPr>
        <w:t>[參見三（四）]</w:t>
      </w:r>
      <w:r w:rsidRPr="0055724E">
        <w:rPr>
          <w:rFonts w:cs="宋体"/>
          <w:kern w:val="0"/>
          <w:sz w:val="28"/>
          <w:szCs w:val="24"/>
        </w:rPr>
        <w:t>。“子始造於不善”的意思是説“您若一開始就落到不善的境地”，這個“不善”本應指“把晋晋國的執政當得不好”。</w:t>
      </w:r>
    </w:p>
    <w:p w14:paraId="6E30F597"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2）《禮記·大學》：“大學之道，在明明德，在親民，在止於至善。”朱熹《集注》：“至善，則事理當然之極也。言明明德、新民（程朱將‘親民’之‘親’讀爲‘新’，不可從），皆當至於至善之地而不遷。”他把這裏的“至善”理解爲“至善之地”，可從，他所説的“地”也就是我們所説的“境地，境界”，但他對“至善”本身的理學家的解釋，則不可取。我們認爲，這裏的“至善”就指爲人最好的境界。前面已經説過，“做人做得很好”應該是兼就有才能、能把事做得很好和品德很好這兩方面而言的，而且不同等級的人的“善”有不同的内容</w:t>
      </w:r>
      <w:r w:rsidRPr="0055724E">
        <w:rPr>
          <w:rFonts w:cs="宋体"/>
          <w:b/>
          <w:bCs/>
          <w:color w:val="A0A0A0"/>
          <w:kern w:val="0"/>
          <w:sz w:val="21"/>
          <w:szCs w:val="21"/>
        </w:rPr>
        <w:t>[見三（三）]</w:t>
      </w:r>
      <w:r w:rsidRPr="0055724E">
        <w:rPr>
          <w:rFonts w:cs="宋体"/>
          <w:kern w:val="0"/>
          <w:sz w:val="28"/>
          <w:szCs w:val="24"/>
        </w:rPr>
        <w:t>。《大學》下文説“古之欲明明德於天下者，先治其國”，“明明德於天下者”，應該是天子或輔佐他的執政，“親民”指親撫人民，或使人民親附自己，其主體應該是天子、國君或輔佐他們的執政，所以這一句的“至善”也就是指把天子、國</w:t>
      </w:r>
      <w:r w:rsidRPr="0055724E">
        <w:rPr>
          <w:rFonts w:cs="宋体"/>
          <w:kern w:val="0"/>
          <w:sz w:val="28"/>
          <w:szCs w:val="24"/>
        </w:rPr>
        <w:lastRenderedPageBreak/>
        <w:t>君或輔佐他們的執政當得最好的境地。《大學》下文在解釋《詩·衛風·淇澳》“有斐君子，終不可諠兮”句時説“道盛德、至善，民之不能忘也”，“至善”之義也可作類似理解。《詩》中的“君子”無疑是統治階級中的治民者。《大學》下文又解釋《書·康誥》“惟命不于常”句説“道善則得之，不善則失之矣”，意思就是説受命有國者如果把國君當得好就能保有國家，當得不好就會失掉國家，“善”字的具體用法雖然與“至善”之“善”有所不同，其意義還是一貫的。《大學》主張“自天子以至於庶人，壹是皆以脩身爲本”，文中又很强調“德”，此“至善”之“善”的道德意義顯得比較濃厚，但跟後世專就道德而言的“善”是不能混爲一談的。</w:t>
      </w:r>
    </w:p>
    <w:p w14:paraId="34C21093"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3）《孟子·梁惠王上》：“是故明君制民之產，必使仰足以事父母，俯足以畜妻子，樂歲終身飽，凶年免於死亡。然後驅而之善，故民之從之也輕。”《孟子·盡心上》：“王者之民，皞皞如也，殺之而不怨，利之而不庸，民日遷善而不知爲之者。”楊伯峻將“驅而之善”譯爲“誘導他們走上善良的道路”</w:t>
      </w:r>
      <w:r w:rsidRPr="00965627">
        <w:rPr>
          <w:rStyle w:val="ae"/>
          <w:rFonts w:cs="宋体"/>
          <w:kern w:val="0"/>
          <w:sz w:val="28"/>
          <w:szCs w:val="24"/>
        </w:rPr>
        <w:endnoteReference w:id="187"/>
      </w:r>
      <w:r w:rsidRPr="0055724E">
        <w:rPr>
          <w:rFonts w:cs="宋体"/>
          <w:kern w:val="0"/>
          <w:sz w:val="28"/>
          <w:szCs w:val="24"/>
        </w:rPr>
        <w:t>，將“日遷善”譯爲“每日地向好的方面發展”</w:t>
      </w:r>
      <w:r w:rsidRPr="00965627">
        <w:rPr>
          <w:rStyle w:val="ae"/>
          <w:rFonts w:cs="宋体"/>
          <w:kern w:val="0"/>
          <w:sz w:val="28"/>
          <w:szCs w:val="24"/>
        </w:rPr>
        <w:endnoteReference w:id="188"/>
      </w:r>
      <w:r w:rsidRPr="0055724E">
        <w:rPr>
          <w:rFonts w:cs="宋体"/>
          <w:kern w:val="0"/>
          <w:sz w:val="28"/>
          <w:szCs w:val="24"/>
        </w:rPr>
        <w:t>。我們覺得這兩處的“善”似都可以理解爲“善的境地”。“日遷善”可以理解爲每日向善的境地遷徙，也就是一天比一天接近善的境界的意思。這兩個“善”的本來意義應該理解</w:t>
      </w:r>
      <w:r w:rsidRPr="0055724E">
        <w:rPr>
          <w:rFonts w:cs="宋体"/>
          <w:kern w:val="0"/>
          <w:sz w:val="28"/>
          <w:szCs w:val="24"/>
        </w:rPr>
        <w:lastRenderedPageBreak/>
        <w:t>爲“爲人好”“做好人”或“把百姓當得很好”，不能僅僅理解爲後世專指心地好的“善良”。《淮南子·泰族》有“民化而遷善”“（民）日化上遷善”之語，應該受了上引《孟子·盡心上》之文的影響</w:t>
      </w:r>
      <w:r w:rsidRPr="0055724E">
        <w:rPr>
          <w:rFonts w:cs="宋体"/>
          <w:b/>
          <w:bCs/>
          <w:color w:val="A0A0A0"/>
          <w:kern w:val="0"/>
          <w:sz w:val="21"/>
          <w:szCs w:val="21"/>
        </w:rPr>
        <w:t>（上引《泰族》文亦分見於今本《文子》的《精誠》《下德》兩篇，與《淮南子》相較，此二句文字只有“而”字有無的不同）</w:t>
      </w:r>
      <w:r w:rsidRPr="0055724E">
        <w:rPr>
          <w:rFonts w:cs="宋体"/>
          <w:kern w:val="0"/>
          <w:sz w:val="28"/>
          <w:szCs w:val="24"/>
        </w:rPr>
        <w:t>。</w:t>
      </w:r>
    </w:p>
    <w:p w14:paraId="44EF195C" w14:textId="096CD39E"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（4）《管子·宙合》：“章道以教，明法以期，民之興〈</w:t>
      </w:r>
      <w:r w:rsidRPr="00070930">
        <w:rPr>
          <w:rFonts w:ascii="SimSun-ExtB" w:eastAsia="SimSun-ExtB" w:hAnsi="SimSun-ExtB" w:cs="SimSun-ExtB" w:hint="eastAsia"/>
          <w:color w:val="000000"/>
          <w:kern w:val="0"/>
          <w:szCs w:val="24"/>
          <w:lang w:eastAsia="zh-TW"/>
        </w:rPr>
        <w:t>𦦉</w:t>
      </w:r>
      <w:r w:rsidRPr="0055724E">
        <w:rPr>
          <w:rFonts w:cs="宋体"/>
          <w:kern w:val="0"/>
          <w:sz w:val="28"/>
          <w:szCs w:val="24"/>
        </w:rPr>
        <w:fldChar w:fldCharType="begin"/>
      </w:r>
      <w:r w:rsidRPr="0055724E">
        <w:rPr>
          <w:rFonts w:cs="宋体"/>
          <w:kern w:val="0"/>
          <w:sz w:val="28"/>
          <w:szCs w:val="24"/>
        </w:rPr>
        <w:instrText xml:space="preserve"> INCLUDEPICTURE "/Users/yadomimac/Library/Group Containers/UBF8T346G9.ms/WebArchiveCopyPasteTempFiles/com.microsoft.Word/svg%3E" \* MERGEFORMATINET </w:instrText>
      </w:r>
      <w:r w:rsidRPr="0055724E">
        <w:rPr>
          <w:rFonts w:cs="宋体"/>
          <w:kern w:val="0"/>
          <w:sz w:val="28"/>
          <w:szCs w:val="24"/>
        </w:rPr>
        <w:fldChar w:fldCharType="end"/>
      </w:r>
      <w:r w:rsidRPr="0055724E">
        <w:rPr>
          <w:rFonts w:cs="宋体"/>
          <w:kern w:val="0"/>
          <w:sz w:val="28"/>
          <w:szCs w:val="24"/>
        </w:rPr>
        <w:t>（遷）〉善也如化，湯武之功是也。”</w:t>
      </w:r>
    </w:p>
    <w:p w14:paraId="3689F877" w14:textId="068808F3"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w:t>
      </w:r>
      <w:r w:rsidRPr="0055724E">
        <w:rPr>
          <w:rFonts w:cs="宋体"/>
          <w:kern w:val="0"/>
          <w:sz w:val="28"/>
          <w:szCs w:val="28"/>
        </w:rPr>
        <w:t>遷”字所从聲旁，《説文》正篆作“</w:t>
      </w:r>
      <w:r w:rsidRPr="004B12E2">
        <w:rPr>
          <w:rFonts w:asciiTheme="minorEastAsia" w:hAnsiTheme="minorEastAsia"/>
          <w:noProof/>
          <w:sz w:val="28"/>
          <w:szCs w:val="28"/>
        </w:rPr>
        <w:drawing>
          <wp:inline distT="0" distB="0" distL="0" distR="0" wp14:anchorId="75C80D24" wp14:editId="16AD0EFF">
            <wp:extent cx="159385" cy="204470"/>
            <wp:effectExtent l="0" t="0" r="0" b="508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pic:cNvPicPr>
                  </pic:nvPicPr>
                  <pic:blipFill>
                    <a:blip r:embed="rId27"/>
                    <a:srcRect t="4334"/>
                    <a:stretch>
                      <a:fillRect/>
                    </a:stretch>
                  </pic:blipFill>
                  <pic:spPr>
                    <a:xfrm>
                      <a:off x="0" y="0"/>
                      <a:ext cx="171827" cy="220208"/>
                    </a:xfrm>
                    <a:prstGeom prst="rect">
                      <a:avLst/>
                    </a:prstGeom>
                    <a:ln>
                      <a:noFill/>
                    </a:ln>
                  </pic:spPr>
                </pic:pic>
              </a:graphicData>
            </a:graphic>
          </wp:inline>
        </w:drawing>
      </w:r>
      <w:r w:rsidRPr="0055724E">
        <w:rPr>
          <w:rFonts w:cs="宋体"/>
          <w:kern w:val="0"/>
          <w:sz w:val="28"/>
          <w:szCs w:val="28"/>
        </w:rPr>
        <w:fldChar w:fldCharType="begin"/>
      </w:r>
      <w:r w:rsidRPr="0055724E">
        <w:rPr>
          <w:rFonts w:cs="宋体"/>
          <w:kern w:val="0"/>
          <w:sz w:val="28"/>
          <w:szCs w:val="28"/>
        </w:rPr>
        <w:instrText xml:space="preserve"> INCLUDEPICTURE "/Users/yadomimac/Library/Group Containers/UBF8T346G9.ms/WebArchiveCopyPasteTempFiles/com.microsoft.Word/svg%3E" \* MERGEFORMATINET </w:instrText>
      </w:r>
      <w:r w:rsidRPr="0055724E">
        <w:rPr>
          <w:rFonts w:cs="宋体"/>
          <w:kern w:val="0"/>
          <w:sz w:val="28"/>
          <w:szCs w:val="28"/>
        </w:rPr>
        <w:fldChar w:fldCharType="end"/>
      </w:r>
      <w:r w:rsidRPr="0055724E">
        <w:rPr>
          <w:rFonts w:cs="宋体"/>
          <w:kern w:val="0"/>
          <w:sz w:val="28"/>
          <w:szCs w:val="28"/>
        </w:rPr>
        <w:t>”（《説文》“</w:t>
      </w:r>
      <w:r w:rsidRPr="004B12E2">
        <w:rPr>
          <w:rFonts w:asciiTheme="minorEastAsia" w:hAnsiTheme="minorEastAsia"/>
          <w:noProof/>
          <w:sz w:val="28"/>
          <w:szCs w:val="28"/>
        </w:rPr>
        <w:drawing>
          <wp:inline distT="0" distB="0" distL="0" distR="0" wp14:anchorId="0D769A4C" wp14:editId="1A0A2077">
            <wp:extent cx="159385" cy="204470"/>
            <wp:effectExtent l="0" t="0" r="0" b="5080"/>
            <wp:docPr id="866866322" name="图片 866866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pic:cNvPicPr>
                      <a:picLocks noChangeAspect="1"/>
                    </pic:cNvPicPr>
                  </pic:nvPicPr>
                  <pic:blipFill>
                    <a:blip r:embed="rId27"/>
                    <a:srcRect t="4334"/>
                    <a:stretch>
                      <a:fillRect/>
                    </a:stretch>
                  </pic:blipFill>
                  <pic:spPr>
                    <a:xfrm>
                      <a:off x="0" y="0"/>
                      <a:ext cx="171827" cy="220208"/>
                    </a:xfrm>
                    <a:prstGeom prst="rect">
                      <a:avLst/>
                    </a:prstGeom>
                    <a:ln>
                      <a:noFill/>
                    </a:ln>
                  </pic:spPr>
                </pic:pic>
              </a:graphicData>
            </a:graphic>
          </wp:inline>
        </w:drawing>
      </w:r>
      <w:r w:rsidRPr="0055724E">
        <w:rPr>
          <w:rFonts w:cs="宋体"/>
          <w:kern w:val="0"/>
          <w:sz w:val="28"/>
          <w:szCs w:val="28"/>
        </w:rPr>
        <w:fldChar w:fldCharType="begin"/>
      </w:r>
      <w:r w:rsidRPr="0055724E">
        <w:rPr>
          <w:rFonts w:cs="宋体"/>
          <w:kern w:val="0"/>
          <w:sz w:val="28"/>
          <w:szCs w:val="28"/>
        </w:rPr>
        <w:instrText xml:space="preserve"> INCLUDEPICTURE "/Users/yadomimac/Library/Group Containers/UBF8T346G9.ms/WebArchiveCopyPasteTempFiles/com.microsoft.Word/svg%3E" \* MERGEFORMATINET </w:instrText>
      </w:r>
      <w:r w:rsidRPr="0055724E">
        <w:rPr>
          <w:rFonts w:cs="宋体"/>
          <w:kern w:val="0"/>
          <w:sz w:val="28"/>
          <w:szCs w:val="28"/>
        </w:rPr>
        <w:fldChar w:fldCharType="end"/>
      </w:r>
      <w:r w:rsidRPr="0055724E">
        <w:rPr>
          <w:rFonts w:cs="宋体"/>
          <w:kern w:val="0"/>
          <w:sz w:val="28"/>
          <w:szCs w:val="28"/>
        </w:rPr>
        <w:t>”字條以“</w:t>
      </w:r>
      <w:r w:rsidRPr="004B12E2">
        <w:rPr>
          <w:rFonts w:ascii="SimSun-ExtB" w:eastAsia="SimSun-ExtB" w:hAnsi="SimSun-ExtB" w:cs="SimSun-ExtB" w:hint="eastAsia"/>
          <w:color w:val="000000"/>
          <w:kern w:val="0"/>
          <w:sz w:val="28"/>
          <w:szCs w:val="28"/>
          <w:lang w:eastAsia="zh-TW"/>
        </w:rPr>
        <w:t>𠨧</w:t>
      </w:r>
      <w:r w:rsidRPr="0055724E">
        <w:rPr>
          <w:rFonts w:cs="宋体"/>
          <w:kern w:val="0"/>
          <w:sz w:val="28"/>
          <w:szCs w:val="28"/>
        </w:rPr>
        <w:t>”爲或體），“</w:t>
      </w:r>
      <w:r w:rsidRPr="004B12E2">
        <w:rPr>
          <w:rFonts w:ascii="SimSun-ExtB" w:eastAsia="SimSun-ExtB" w:hAnsi="SimSun-ExtB" w:cs="SimSun-ExtB" w:hint="eastAsia"/>
          <w:color w:val="000000"/>
          <w:kern w:val="0"/>
          <w:sz w:val="28"/>
          <w:szCs w:val="28"/>
          <w:lang w:eastAsia="zh-TW"/>
        </w:rPr>
        <w:t>𦦉</w:t>
      </w:r>
      <w:r w:rsidRPr="0055724E">
        <w:rPr>
          <w:rFonts w:cs="宋体"/>
          <w:kern w:val="0"/>
          <w:sz w:val="28"/>
          <w:szCs w:val="28"/>
        </w:rPr>
        <w:t>（</w:t>
      </w:r>
      <w:r w:rsidRPr="004B12E2">
        <w:rPr>
          <w:rFonts w:asciiTheme="minorEastAsia" w:hAnsiTheme="minorEastAsia"/>
          <w:noProof/>
          <w:sz w:val="28"/>
          <w:szCs w:val="28"/>
        </w:rPr>
        <w:drawing>
          <wp:inline distT="0" distB="0" distL="0" distR="0" wp14:anchorId="50718114" wp14:editId="2D71B4AF">
            <wp:extent cx="159385" cy="204470"/>
            <wp:effectExtent l="0" t="0" r="0" b="508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27"/>
                    <a:srcRect t="4334"/>
                    <a:stretch>
                      <a:fillRect/>
                    </a:stretch>
                  </pic:blipFill>
                  <pic:spPr>
                    <a:xfrm>
                      <a:off x="0" y="0"/>
                      <a:ext cx="171827" cy="220208"/>
                    </a:xfrm>
                    <a:prstGeom prst="rect">
                      <a:avLst/>
                    </a:prstGeom>
                    <a:ln>
                      <a:noFill/>
                    </a:ln>
                  </pic:spPr>
                </pic:pic>
              </a:graphicData>
            </a:graphic>
          </wp:inline>
        </w:drawing>
      </w:r>
      <w:r w:rsidRPr="0055724E">
        <w:rPr>
          <w:rFonts w:cs="宋体"/>
          <w:kern w:val="0"/>
          <w:sz w:val="28"/>
          <w:szCs w:val="28"/>
        </w:rPr>
        <w:fldChar w:fldCharType="begin"/>
      </w:r>
      <w:r w:rsidRPr="0055724E">
        <w:rPr>
          <w:rFonts w:cs="宋体"/>
          <w:kern w:val="0"/>
          <w:sz w:val="28"/>
          <w:szCs w:val="28"/>
        </w:rPr>
        <w:instrText xml:space="preserve"> INCLUDEPICTURE "/Users/yadomimac/Library/Group Containers/UBF8T346G9.ms/WebArchiveCopyPasteTempFiles/com.microsoft.Word/svg%3E" \* MERGEFORMATINET </w:instrText>
      </w:r>
      <w:r w:rsidRPr="0055724E">
        <w:rPr>
          <w:rFonts w:cs="宋体"/>
          <w:kern w:val="0"/>
          <w:sz w:val="28"/>
          <w:szCs w:val="28"/>
        </w:rPr>
        <w:fldChar w:fldCharType="end"/>
      </w:r>
      <w:r w:rsidRPr="0055724E">
        <w:rPr>
          <w:rFonts w:cs="宋体"/>
          <w:kern w:val="0"/>
          <w:sz w:val="28"/>
          <w:szCs w:val="28"/>
        </w:rPr>
        <w:t>）”“興（</w:t>
      </w:r>
      <w:r w:rsidRPr="0055724E">
        <w:rPr>
          <w:rFonts w:cs="宋体"/>
          <w:kern w:val="0"/>
          <w:sz w:val="28"/>
          <w:szCs w:val="28"/>
        </w:rPr>
        <w:fldChar w:fldCharType="begin"/>
      </w:r>
      <w:r w:rsidRPr="0055724E">
        <w:rPr>
          <w:rFonts w:cs="宋体"/>
          <w:kern w:val="0"/>
          <w:sz w:val="28"/>
          <w:szCs w:val="28"/>
        </w:rPr>
        <w:instrText xml:space="preserve"> INCLUDEPICTURE "/Users/yadomimac/Library/Group Containers/UBF8T346G9.ms/WebArchiveCopyPasteTempFiles/com.microsoft.Word/svg%3E" \* MERGEFORMATINET </w:instrText>
      </w:r>
      <w:r w:rsidRPr="0055724E">
        <w:rPr>
          <w:rFonts w:cs="宋体"/>
          <w:kern w:val="0"/>
          <w:sz w:val="28"/>
          <w:szCs w:val="28"/>
        </w:rPr>
        <w:fldChar w:fldCharType="separate"/>
      </w:r>
      <w:r w:rsidRPr="004B12E2">
        <w:rPr>
          <w:noProof/>
          <w:sz w:val="28"/>
          <w:szCs w:val="28"/>
        </w:rPr>
        <w:drawing>
          <wp:inline distT="0" distB="0" distL="0" distR="0" wp14:anchorId="6C4BF61A" wp14:editId="392D4705">
            <wp:extent cx="162560" cy="200660"/>
            <wp:effectExtent l="0" t="0" r="8890" b="889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28"/>
                    <a:stretch>
                      <a:fillRect/>
                    </a:stretch>
                  </pic:blipFill>
                  <pic:spPr>
                    <a:xfrm>
                      <a:off x="0" y="0"/>
                      <a:ext cx="176363" cy="217570"/>
                    </a:xfrm>
                    <a:prstGeom prst="rect">
                      <a:avLst/>
                    </a:prstGeom>
                  </pic:spPr>
                </pic:pic>
              </a:graphicData>
            </a:graphic>
          </wp:inline>
        </w:drawing>
      </w:r>
      <w:r w:rsidRPr="0055724E">
        <w:rPr>
          <w:rFonts w:cs="宋体"/>
          <w:kern w:val="0"/>
          <w:sz w:val="28"/>
          <w:szCs w:val="28"/>
        </w:rPr>
        <w:fldChar w:fldCharType="end"/>
      </w:r>
      <w:r w:rsidRPr="0055724E">
        <w:rPr>
          <w:rFonts w:cs="宋体"/>
          <w:kern w:val="0"/>
          <w:sz w:val="28"/>
          <w:szCs w:val="28"/>
        </w:rPr>
        <w:t>）”形近，楚簡中有一個上部作“</w:t>
      </w:r>
      <w:r w:rsidRPr="004B12E2">
        <w:rPr>
          <w:rFonts w:hint="eastAsia"/>
          <w:noProof/>
          <w:sz w:val="28"/>
          <w:szCs w:val="28"/>
        </w:rPr>
        <w:drawing>
          <wp:inline distT="0" distB="0" distL="0" distR="0" wp14:anchorId="7C49B706" wp14:editId="32FF6ECC">
            <wp:extent cx="186690" cy="177165"/>
            <wp:effectExtent l="0" t="0" r="381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05571" cy="194427"/>
                    </a:xfrm>
                    <a:prstGeom prst="rect">
                      <a:avLst/>
                    </a:prstGeom>
                    <a:noFill/>
                    <a:ln>
                      <a:noFill/>
                    </a:ln>
                  </pic:spPr>
                </pic:pic>
              </a:graphicData>
            </a:graphic>
          </wp:inline>
        </w:drawing>
      </w:r>
      <w:r w:rsidRPr="0055724E">
        <w:rPr>
          <w:rFonts w:cs="宋体"/>
          <w:kern w:val="0"/>
          <w:sz w:val="28"/>
          <w:szCs w:val="28"/>
        </w:rPr>
        <w:fldChar w:fldCharType="begin"/>
      </w:r>
      <w:r w:rsidRPr="0055724E">
        <w:rPr>
          <w:rFonts w:cs="宋体"/>
          <w:kern w:val="0"/>
          <w:sz w:val="28"/>
          <w:szCs w:val="28"/>
        </w:rPr>
        <w:instrText xml:space="preserve"> INCLUDEPICTURE "/Users/yadomimac/Library/Group Containers/UBF8T346G9.ms/WebArchiveCopyPasteTempFiles/com.microsoft.Word/svg%3E" \* MERGEFORMATINET </w:instrText>
      </w:r>
      <w:r w:rsidRPr="0055724E">
        <w:rPr>
          <w:rFonts w:cs="宋体"/>
          <w:kern w:val="0"/>
          <w:sz w:val="28"/>
          <w:szCs w:val="28"/>
        </w:rPr>
        <w:fldChar w:fldCharType="end"/>
      </w:r>
      <w:r w:rsidRPr="0055724E">
        <w:rPr>
          <w:rFonts w:cs="宋体"/>
          <w:kern w:val="0"/>
          <w:sz w:val="28"/>
          <w:szCs w:val="28"/>
        </w:rPr>
        <w:t>”“</w:t>
      </w:r>
      <w:r w:rsidRPr="004B12E2">
        <w:rPr>
          <w:rFonts w:asciiTheme="minorEastAsia" w:hAnsiTheme="minorEastAsia" w:hint="eastAsia"/>
          <w:noProof/>
          <w:position w:val="-4"/>
          <w:sz w:val="28"/>
          <w:szCs w:val="28"/>
        </w:rPr>
        <w:drawing>
          <wp:inline distT="0" distB="0" distL="0" distR="0" wp14:anchorId="3A84F4C2" wp14:editId="19AE76EB">
            <wp:extent cx="163830" cy="163830"/>
            <wp:effectExtent l="0" t="0" r="7620" b="7620"/>
            <wp:docPr id="467" name="图片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 name="图片 467"/>
                    <pic:cNvPicPr>
                      <a:picLocks noChangeAspect="1" noChangeArrowheads="1"/>
                    </pic:cNvPicPr>
                  </pic:nvPicPr>
                  <pic:blipFill>
                    <a:blip r:embed="rId30" cstate="print">
                      <a:lum contrast="6000"/>
                      <a:extLst>
                        <a:ext uri="{28A0092B-C50C-407E-A947-70E740481C1C}">
                          <a14:useLocalDpi xmlns:a14="http://schemas.microsoft.com/office/drawing/2010/main" val="0"/>
                        </a:ext>
                      </a:extLst>
                    </a:blip>
                    <a:srcRect/>
                    <a:stretch>
                      <a:fillRect/>
                    </a:stretch>
                  </pic:blipFill>
                  <pic:spPr>
                    <a:xfrm>
                      <a:off x="0" y="0"/>
                      <a:ext cx="163830" cy="163830"/>
                    </a:xfrm>
                    <a:prstGeom prst="rect">
                      <a:avLst/>
                    </a:prstGeom>
                    <a:noFill/>
                    <a:ln>
                      <a:noFill/>
                    </a:ln>
                  </pic:spPr>
                </pic:pic>
              </a:graphicData>
            </a:graphic>
          </wp:inline>
        </w:drawing>
      </w:r>
      <w:r w:rsidRPr="0055724E">
        <w:rPr>
          <w:rFonts w:cs="宋体"/>
          <w:kern w:val="0"/>
          <w:sz w:val="28"/>
          <w:szCs w:val="28"/>
        </w:rPr>
        <w:fldChar w:fldCharType="begin"/>
      </w:r>
      <w:r w:rsidRPr="0055724E">
        <w:rPr>
          <w:rFonts w:cs="宋体"/>
          <w:kern w:val="0"/>
          <w:sz w:val="28"/>
          <w:szCs w:val="28"/>
        </w:rPr>
        <w:instrText xml:space="preserve"> INCLUDEPICTURE "/Users/yadomimac/Library/Group Containers/UBF8T346G9.ms/WebArchiveCopyPasteTempFiles/com.microsoft.Word/svg%3E" \* MERGEFORMATINET </w:instrText>
      </w:r>
      <w:r w:rsidRPr="0055724E">
        <w:rPr>
          <w:rFonts w:cs="宋体"/>
          <w:kern w:val="0"/>
          <w:sz w:val="28"/>
          <w:szCs w:val="28"/>
        </w:rPr>
        <w:fldChar w:fldCharType="end"/>
      </w:r>
      <w:r w:rsidRPr="0055724E">
        <w:rPr>
          <w:rFonts w:cs="宋体"/>
          <w:kern w:val="0"/>
          <w:sz w:val="28"/>
          <w:szCs w:val="28"/>
        </w:rPr>
        <w:t>”等形，下部作“止”的字，多用爲“興”字繁體，但有時則用作“遷”，有些這種形狀的字學者中有釋“興”釋“遷”兩種意見</w:t>
      </w:r>
      <w:r w:rsidRPr="004B12E2">
        <w:rPr>
          <w:rStyle w:val="ae"/>
          <w:rFonts w:cs="宋体"/>
          <w:kern w:val="0"/>
          <w:sz w:val="28"/>
          <w:szCs w:val="28"/>
        </w:rPr>
        <w:endnoteReference w:id="189"/>
      </w:r>
      <w:r w:rsidRPr="0055724E">
        <w:rPr>
          <w:rFonts w:cs="宋体"/>
          <w:kern w:val="0"/>
          <w:sz w:val="28"/>
          <w:szCs w:val="28"/>
        </w:rPr>
        <w:t>，戰國時代其他國家文字中的“興”“</w:t>
      </w:r>
      <w:r w:rsidRPr="004B12E2">
        <w:rPr>
          <w:rFonts w:ascii="SimSun-ExtB" w:eastAsia="SimSun-ExtB" w:hAnsi="SimSun-ExtB" w:cs="SimSun-ExtB" w:hint="eastAsia"/>
          <w:color w:val="000000"/>
          <w:kern w:val="0"/>
          <w:sz w:val="28"/>
          <w:szCs w:val="28"/>
          <w:lang w:eastAsia="zh-TW"/>
        </w:rPr>
        <w:t>𦦉</w:t>
      </w:r>
      <w:r w:rsidRPr="0055724E">
        <w:rPr>
          <w:rFonts w:cs="宋体"/>
          <w:kern w:val="0"/>
          <w:sz w:val="28"/>
          <w:szCs w:val="28"/>
        </w:rPr>
        <w:fldChar w:fldCharType="begin"/>
      </w:r>
      <w:r w:rsidRPr="0055724E">
        <w:rPr>
          <w:rFonts w:cs="宋体"/>
          <w:kern w:val="0"/>
          <w:sz w:val="28"/>
          <w:szCs w:val="28"/>
        </w:rPr>
        <w:instrText xml:space="preserve"> INCLUDEPICTURE "/Users/yadomimac/Library/Group Containers/UBF8T346G9.ms/WebArchiveCopyPasteTempFiles/com.microsoft.Word/svg%3E" \* MERGEFORMATINET </w:instrText>
      </w:r>
      <w:r w:rsidRPr="0055724E">
        <w:rPr>
          <w:rFonts w:cs="宋体"/>
          <w:kern w:val="0"/>
          <w:sz w:val="28"/>
          <w:szCs w:val="28"/>
        </w:rPr>
        <w:fldChar w:fldCharType="end"/>
      </w:r>
      <w:r w:rsidRPr="0055724E">
        <w:rPr>
          <w:rFonts w:cs="宋体"/>
          <w:kern w:val="0"/>
          <w:sz w:val="28"/>
          <w:szCs w:val="28"/>
        </w:rPr>
        <w:t>”</w:t>
      </w:r>
      <w:r w:rsidRPr="0055724E">
        <w:rPr>
          <w:rFonts w:cs="宋体"/>
          <w:kern w:val="0"/>
          <w:sz w:val="28"/>
          <w:szCs w:val="24"/>
        </w:rPr>
        <w:t>二形相近相訛的情況應該也是存在的。上引《管子·宙合》文中“善”上一字從文意看應爲“</w:t>
      </w:r>
      <w:r w:rsidRPr="004B12E2">
        <w:rPr>
          <w:rFonts w:ascii="SimSun-ExtB" w:eastAsia="SimSun-ExtB" w:hAnsi="SimSun-ExtB" w:cs="SimSun-ExtB" w:hint="eastAsia"/>
          <w:kern w:val="0"/>
          <w:sz w:val="28"/>
          <w:szCs w:val="24"/>
        </w:rPr>
        <w:t>𦦉</w:t>
      </w:r>
      <w:r w:rsidRPr="0055724E">
        <w:rPr>
          <w:rFonts w:cs="宋体"/>
          <w:kern w:val="0"/>
          <w:sz w:val="28"/>
          <w:szCs w:val="24"/>
        </w:rPr>
        <w:fldChar w:fldCharType="begin"/>
      </w:r>
      <w:r w:rsidRPr="0055724E">
        <w:rPr>
          <w:rFonts w:cs="宋体"/>
          <w:kern w:val="0"/>
          <w:sz w:val="28"/>
          <w:szCs w:val="24"/>
        </w:rPr>
        <w:instrText xml:space="preserve"> INCLUDEPICTURE "/Users/yadomimac/Library/Group Containers/UBF8T346G9.ms/WebArchiveCopyPasteTempFiles/com.microsoft.Word/svg%3E" \* MERGEFORMATINET </w:instrText>
      </w:r>
      <w:r w:rsidRPr="0055724E">
        <w:rPr>
          <w:rFonts w:cs="宋体"/>
          <w:kern w:val="0"/>
          <w:sz w:val="28"/>
          <w:szCs w:val="24"/>
        </w:rPr>
        <w:fldChar w:fldCharType="end"/>
      </w:r>
      <w:r w:rsidRPr="0055724E">
        <w:rPr>
          <w:rFonts w:cs="宋体"/>
          <w:kern w:val="0"/>
          <w:sz w:val="28"/>
          <w:szCs w:val="24"/>
        </w:rPr>
        <w:t>（遷）”字之誤。“民之遷善也如化”與《孟子·盡心上》“民日遷善而不知爲之者”意思很接近，孟子所説的“而不知爲之者”就是爲上所化的意思。《淮南子·泰族》“民化而遷善”“（民）日化上遷善”兩句都以“遷善”與“化”並言。《荀子》兩見“化善”之語：“故先王明禮義以壹之，致忠信以愛之，尚</w:t>
      </w:r>
      <w:r w:rsidRPr="0055724E">
        <w:rPr>
          <w:rFonts w:cs="宋体"/>
          <w:kern w:val="0"/>
          <w:sz w:val="28"/>
          <w:szCs w:val="24"/>
        </w:rPr>
        <w:lastRenderedPageBreak/>
        <w:t>賢使能以次之，爵服慶賞以申重之，時其事、輕其任以調齊之，潢然兼覆之，養長之，如保赤子。若是，故奸邪不作，盜賊不起，而化善者勸勉矣。”</w:t>
      </w:r>
      <w:r w:rsidRPr="0055724E">
        <w:rPr>
          <w:rFonts w:cs="宋体"/>
          <w:b/>
          <w:bCs/>
          <w:color w:val="A0A0A0"/>
          <w:kern w:val="0"/>
          <w:sz w:val="21"/>
          <w:szCs w:val="21"/>
        </w:rPr>
        <w:t>（《富國》）</w:t>
      </w:r>
      <w:r w:rsidRPr="0055724E">
        <w:rPr>
          <w:rFonts w:cs="宋体"/>
          <w:kern w:val="0"/>
          <w:sz w:val="28"/>
          <w:szCs w:val="24"/>
        </w:rPr>
        <w:t>“故厚德音以先之</w:t>
      </w:r>
      <w:r w:rsidRPr="0055724E">
        <w:rPr>
          <w:rFonts w:cs="宋体"/>
          <w:b/>
          <w:bCs/>
          <w:color w:val="A0A0A0"/>
          <w:kern w:val="0"/>
          <w:sz w:val="21"/>
          <w:szCs w:val="21"/>
        </w:rPr>
        <w:t>（引者按：此句‘故’後省略的主語據上文應爲‘古之人’，指‘帝堯’一類的古代聖王）</w:t>
      </w:r>
      <w:r w:rsidRPr="0055724E">
        <w:rPr>
          <w:rFonts w:cs="宋体"/>
          <w:kern w:val="0"/>
          <w:sz w:val="28"/>
          <w:szCs w:val="24"/>
        </w:rPr>
        <w:t>，明禮義以道之，致忠信以愛之，尚賢使能以次之，爵服慶賞以申之，時其事、輕其任以調齊之，長養之，如保赤子。政令以定，風俗以一，有離俗不順其上，則百姓莫不敦惡，莫不毒孼，若祓不祥，然後刑於是起矣。是大刑之所加也，辱孰大焉？……於是有能化善，脩身、正行、積禮義、尊道德，百姓莫不貴敬，莫不親譽，然後賞於是起矣。是高爵豐禄之所加也，榮孰大焉……”</w:t>
      </w:r>
      <w:r w:rsidRPr="0055724E">
        <w:rPr>
          <w:rFonts w:cs="宋体"/>
          <w:b/>
          <w:bCs/>
          <w:color w:val="A0A0A0"/>
          <w:kern w:val="0"/>
          <w:sz w:val="21"/>
          <w:szCs w:val="21"/>
        </w:rPr>
        <w:t>（《議兵》）</w:t>
      </w:r>
      <w:r w:rsidRPr="0055724E">
        <w:rPr>
          <w:rFonts w:cs="宋体"/>
          <w:kern w:val="0"/>
          <w:sz w:val="28"/>
          <w:szCs w:val="24"/>
        </w:rPr>
        <w:t>上引《富國》《議兵》兩篇中的文字分別出現在主旨相同的兩大段議論之末，其主旨認爲像一般統治者那樣使用刑罰、慶賞是不能把國家治理好的，在上者必須施行德政和禮義教化，這樣才能真正做到禁奸賞善，把國家治理好。《富國》篇楊倞注釋“化善”爲“化而爲善”，我們認爲“化善”猶言“化上遷善”，在上引文字中應即“爲在上者的政教所化，不斷向善的境界趨近”之意，據《議兵》篇“善”就指“脩身、正行、積禮義、尊道德”的境界。荀子認爲只有“化善”之民才真正值得重賞重用。《新書·道術》説“舉賢則民化善”，可以參考。從上面所説的“化”與“遷善”的</w:t>
      </w:r>
      <w:r w:rsidRPr="0055724E">
        <w:rPr>
          <w:rFonts w:cs="宋体"/>
          <w:kern w:val="0"/>
          <w:sz w:val="28"/>
          <w:szCs w:val="24"/>
        </w:rPr>
        <w:lastRenderedPageBreak/>
        <w:t>密切關係來看，《管子·宙合》篇的“興善也如化”應爲“遷善也如化”之訛。</w:t>
      </w:r>
    </w:p>
    <w:p w14:paraId="3A38E819"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（5）郭店簡《尊德義》中有一段文字，説統治者如教民以禮、樂、辯説、埶</w:t>
      </w:r>
      <w:r w:rsidRPr="0055724E">
        <w:rPr>
          <w:rFonts w:cs="宋体"/>
          <w:b/>
          <w:bCs/>
          <w:color w:val="A0A0A0"/>
          <w:kern w:val="0"/>
          <w:sz w:val="21"/>
          <w:szCs w:val="21"/>
        </w:rPr>
        <w:t>（有“勢”“藝”兩種讀法）</w:t>
      </w:r>
      <w:r w:rsidRPr="0055724E">
        <w:rPr>
          <w:rFonts w:cs="宋体"/>
          <w:kern w:val="0"/>
          <w:sz w:val="28"/>
          <w:szCs w:val="24"/>
        </w:rPr>
        <w:t>、技、言、事或權謀等，會得到各種不同的後果，最後一句由於研究者對簡的繫聯采取不同方式，存在兩種方案，一種是“先之以德，則民進善安（焉）”</w:t>
      </w:r>
      <w:r w:rsidRPr="0055724E">
        <w:rPr>
          <w:rFonts w:cs="宋体"/>
          <w:b/>
          <w:bCs/>
          <w:color w:val="A0A0A0"/>
          <w:kern w:val="0"/>
          <w:sz w:val="21"/>
          <w:szCs w:val="21"/>
        </w:rPr>
        <w:t>（簡16）</w:t>
      </w:r>
      <w:r w:rsidRPr="0055724E">
        <w:rPr>
          <w:rFonts w:cs="宋体"/>
          <w:kern w:val="0"/>
          <w:sz w:val="28"/>
          <w:szCs w:val="24"/>
        </w:rPr>
        <w:t>，另一種是“先之以德，則民進善安爲（讀爲‘化’）”</w:t>
      </w:r>
      <w:r w:rsidRPr="0055724E">
        <w:rPr>
          <w:rFonts w:cs="宋体"/>
          <w:b/>
          <w:bCs/>
          <w:color w:val="A0A0A0"/>
          <w:kern w:val="0"/>
          <w:sz w:val="21"/>
          <w:szCs w:val="21"/>
        </w:rPr>
        <w:t>（簡16+28，按照後一種方案，接在“進善安爲”之後的“故率民向方者，唯德可”亦屬於此段）</w:t>
      </w:r>
      <w:r w:rsidRPr="0055724E">
        <w:rPr>
          <w:rFonts w:cs="宋体"/>
          <w:kern w:val="0"/>
          <w:sz w:val="28"/>
          <w:szCs w:val="24"/>
        </w:rPr>
        <w:t>。不管采取哪種方案，“進善”都應該理解爲“進於善的境界”或“向善的境界趨進”，意義與“遷善”相近。提出第二種方案的研究者就是由於受了“民化而遷善”“日化上遷善”等語的啟發而做出這種主張的</w:t>
      </w:r>
      <w:r w:rsidRPr="00965627">
        <w:rPr>
          <w:rStyle w:val="ae"/>
          <w:rFonts w:cs="宋体"/>
          <w:kern w:val="0"/>
          <w:sz w:val="28"/>
          <w:szCs w:val="24"/>
        </w:rPr>
        <w:endnoteReference w:id="190"/>
      </w:r>
      <w:r w:rsidRPr="0055724E">
        <w:rPr>
          <w:rFonts w:cs="宋体"/>
          <w:kern w:val="0"/>
          <w:sz w:val="28"/>
          <w:szCs w:val="24"/>
        </w:rPr>
        <w:t>。此文之“善”的具體含義似可理解爲“把人做得很好的境界”。</w:t>
      </w:r>
    </w:p>
    <w:p w14:paraId="39336A1B"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6）郭店《五行》簡4—5：“德之行五，和謂之德；四行和謂之善。善，人道也。德，天道也。”據《五行》上下文，“五行”指仁義禮智聖，“四行”指仁義禮智。這裏的“善”和上一句的“德”應該理解爲“善的境界”“德的境界”。上引幾句的意思是説四行和同就達到了善的境界</w:t>
      </w:r>
      <w:r w:rsidRPr="00965627">
        <w:rPr>
          <w:rStyle w:val="ae"/>
          <w:rFonts w:cs="宋体"/>
          <w:kern w:val="0"/>
          <w:sz w:val="28"/>
          <w:szCs w:val="24"/>
        </w:rPr>
        <w:endnoteReference w:id="191"/>
      </w:r>
      <w:r w:rsidRPr="0055724E">
        <w:rPr>
          <w:rFonts w:cs="宋体"/>
          <w:kern w:val="0"/>
          <w:sz w:val="28"/>
          <w:szCs w:val="24"/>
        </w:rPr>
        <w:t>，五行和同就達到了德的境界</w:t>
      </w:r>
      <w:r w:rsidRPr="00965627">
        <w:rPr>
          <w:rStyle w:val="ae"/>
          <w:rFonts w:cs="宋体"/>
          <w:kern w:val="0"/>
          <w:sz w:val="28"/>
          <w:szCs w:val="24"/>
        </w:rPr>
        <w:endnoteReference w:id="192"/>
      </w:r>
      <w:r w:rsidRPr="0055724E">
        <w:rPr>
          <w:rFonts w:cs="宋体"/>
          <w:kern w:val="0"/>
          <w:sz w:val="28"/>
          <w:szCs w:val="24"/>
        </w:rPr>
        <w:t>，善是人道，德是天道。上文引過《禮記·中庸》如下一段文字：“……誠身有道，</w:t>
      </w:r>
      <w:r w:rsidRPr="0055724E">
        <w:rPr>
          <w:rFonts w:cs="宋体"/>
          <w:kern w:val="0"/>
          <w:sz w:val="28"/>
          <w:szCs w:val="24"/>
        </w:rPr>
        <w:lastRenderedPageBreak/>
        <w:t>不明乎善，不誠乎身矣。誠者，天之道也。誠之者，人之道也。誠者，不勉而中，不思而得，從容中道，聖人也。誠之者，擇善而固執之者也。”我們認爲，《中庸》篇的時代當在《五行》篇之前，《五行》説“善，人道也；德，天道也”，顯然是受了《中庸》這段話的影響。《中庸》篇作者重點强調了善與中庸的關係，以仁義禮智四行和爲“善”是《五行》篇作者提出來的思想。上述《中庸》和《五行》的説法也都反映了周代“聖”高於“善”、“聖人”高於“善人”的思想。</w:t>
      </w:r>
    </w:p>
    <w:p w14:paraId="6482D885"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（7）《五行》又説：“〔君〕子之爲善也，有與始，有與終也。君子之爲德也，〔有與始，無與〕終也。”</w:t>
      </w:r>
      <w:r w:rsidRPr="0055724E">
        <w:rPr>
          <w:rFonts w:cs="宋体"/>
          <w:b/>
          <w:bCs/>
          <w:color w:val="A0A0A0"/>
          <w:kern w:val="0"/>
          <w:sz w:val="21"/>
          <w:szCs w:val="21"/>
        </w:rPr>
        <w:t>（簡18—19）</w:t>
      </w:r>
      <w:r w:rsidRPr="0055724E">
        <w:rPr>
          <w:rFonts w:cs="宋体"/>
          <w:kern w:val="0"/>
          <w:sz w:val="28"/>
          <w:szCs w:val="24"/>
        </w:rPr>
        <w:t>根據《五行》篇上文對“善”和“德”的解釋，“爲善”“爲德”應指通過不斷的努力以求達到“善的境界”“德的境界”。前文討論“反善”時引過的孔子答復顏淵問仁的那段話有“爲仁由己”之語</w:t>
      </w:r>
      <w:r w:rsidRPr="0055724E">
        <w:rPr>
          <w:rFonts w:cs="宋体"/>
          <w:b/>
          <w:bCs/>
          <w:color w:val="A0A0A0"/>
          <w:kern w:val="0"/>
          <w:sz w:val="21"/>
          <w:szCs w:val="21"/>
        </w:rPr>
        <w:t>（《論語·顏淵》）</w:t>
      </w:r>
      <w:r w:rsidRPr="0055724E">
        <w:rPr>
          <w:rFonts w:cs="宋体"/>
          <w:kern w:val="0"/>
          <w:sz w:val="28"/>
          <w:szCs w:val="24"/>
        </w:rPr>
        <w:t>，“爲仁”也應該是不斷努力以求達到仁的境界的意思。</w:t>
      </w:r>
    </w:p>
    <w:p w14:paraId="04DE36A8"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前面已經説明，古書所見“爲善”之“善”多指“善事”</w:t>
      </w:r>
      <w:r w:rsidRPr="0055724E">
        <w:rPr>
          <w:rFonts w:cs="宋体"/>
          <w:b/>
          <w:bCs/>
          <w:color w:val="A0A0A0"/>
          <w:kern w:val="0"/>
          <w:sz w:val="21"/>
          <w:szCs w:val="21"/>
        </w:rPr>
        <w:t>[見四（一）]</w:t>
      </w:r>
      <w:r w:rsidRPr="0055724E">
        <w:rPr>
          <w:rFonts w:cs="宋体"/>
          <w:kern w:val="0"/>
          <w:sz w:val="28"/>
          <w:szCs w:val="24"/>
        </w:rPr>
        <w:t>，但是有些“爲善”的意思似乎也應該像《五行》篇的“爲善”那樣來理解，只不過“善”的具體内容可以不同。</w:t>
      </w:r>
    </w:p>
    <w:p w14:paraId="428A269D"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lastRenderedPageBreak/>
        <w:t>（8）《墨子·非命下》：“故昔者三代聖王禹湯文武方爲政乎天下之時，曰：必務舉孝子而勸之</w:t>
      </w:r>
      <w:r w:rsidRPr="0055724E">
        <w:rPr>
          <w:rFonts w:cs="宋体"/>
          <w:b/>
          <w:bCs/>
          <w:color w:val="A0A0A0"/>
          <w:kern w:val="0"/>
          <w:sz w:val="21"/>
          <w:szCs w:val="21"/>
        </w:rPr>
        <w:t>（按：此‘之’指一般百姓。下句‘之’字同）</w:t>
      </w:r>
      <w:r w:rsidRPr="0055724E">
        <w:rPr>
          <w:rFonts w:cs="宋体"/>
          <w:kern w:val="0"/>
          <w:sz w:val="28"/>
          <w:szCs w:val="24"/>
        </w:rPr>
        <w:t>事親，尊賢良之人而教之爲善。”此例“爲善”與其理解爲“做善事”，似不如理解爲“不斷努力以達到‘善’的境地”爲妥。“善”指“把人做好”或“把百姓當好”。前面已經講過，先秦時代説人的“善”和“善良”可以兼就才能行爲和品德兩方面而言，但似尚未有專就人的品德性格而言的用法</w:t>
      </w:r>
      <w:r w:rsidRPr="0055724E">
        <w:rPr>
          <w:rFonts w:cs="宋体"/>
          <w:b/>
          <w:bCs/>
          <w:color w:val="A0A0A0"/>
          <w:kern w:val="0"/>
          <w:sz w:val="21"/>
          <w:szCs w:val="21"/>
        </w:rPr>
        <w:t>[見三（六）]</w:t>
      </w:r>
      <w:r w:rsidRPr="0055724E">
        <w:rPr>
          <w:rFonts w:cs="宋体"/>
          <w:kern w:val="0"/>
          <w:sz w:val="28"/>
          <w:szCs w:val="24"/>
        </w:rPr>
        <w:t>，墨子這裏所説的“尊賢良之人”的“賢良”和“爲善”的“善”當然也是這樣的。</w:t>
      </w:r>
    </w:p>
    <w:p w14:paraId="72EC0766"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9）《孟子·滕文公下》：“孟子謂戴不勝曰：‘子欲子之王之善與？我明告子。有楚大夫於此，欲其子之齊語也，則使齊人傅諸，使楚人傅諸？’曰：‘使齊人傅之。’曰：‘一齊人傅之，眾楚人咻之，雖日撻而求其齊也，不可得矣；引而置之莊嶽之間數年，雖日撻而求其楚，亦不可得矣。子謂薛居州善士也，使之居於王所。在於王所者，長幼卑尊皆薛居州也，王誰與爲不善？在王所者，長幼卑尊皆非薛居州也，王誰與爲善？’”據前人所考，戴不勝應爲宋國執政大臣，宋君稱王者只有末代的宋君偃，據《史記·宋世家》他於在位十一年</w:t>
      </w:r>
      <w:r w:rsidRPr="0055724E">
        <w:rPr>
          <w:rFonts w:cs="宋体"/>
          <w:b/>
          <w:bCs/>
          <w:color w:val="A0A0A0"/>
          <w:kern w:val="0"/>
          <w:sz w:val="21"/>
          <w:szCs w:val="21"/>
        </w:rPr>
        <w:t>（約前318年）</w:t>
      </w:r>
      <w:r w:rsidRPr="0055724E">
        <w:rPr>
          <w:rFonts w:cs="宋体"/>
          <w:kern w:val="0"/>
          <w:sz w:val="28"/>
          <w:szCs w:val="24"/>
        </w:rPr>
        <w:t>時稱王，孟子稱宋君爲“王”應在宋君偃稱王不久之時</w:t>
      </w:r>
      <w:r w:rsidRPr="00965627">
        <w:rPr>
          <w:rStyle w:val="ae"/>
          <w:rFonts w:cs="宋体"/>
          <w:kern w:val="0"/>
          <w:sz w:val="28"/>
          <w:szCs w:val="24"/>
        </w:rPr>
        <w:endnoteReference w:id="193"/>
      </w:r>
      <w:r w:rsidRPr="0055724E">
        <w:rPr>
          <w:rFonts w:cs="宋体"/>
          <w:kern w:val="0"/>
          <w:sz w:val="28"/>
          <w:szCs w:val="24"/>
        </w:rPr>
        <w:t>。我們在前面將《論語·顏淵》篇所記孔子對季康子問政之語</w:t>
      </w:r>
      <w:r w:rsidRPr="0055724E">
        <w:rPr>
          <w:rFonts w:cs="宋体"/>
          <w:kern w:val="0"/>
          <w:sz w:val="28"/>
          <w:szCs w:val="24"/>
        </w:rPr>
        <w:lastRenderedPageBreak/>
        <w:t>“子欲善，而民善矣”解釋爲“如果您想要把魯國的執政當得很好，百姓也就會做好人”</w:t>
      </w:r>
      <w:r w:rsidRPr="0055724E">
        <w:rPr>
          <w:rFonts w:cs="宋体"/>
          <w:b/>
          <w:bCs/>
          <w:color w:val="A0A0A0"/>
          <w:kern w:val="0"/>
          <w:sz w:val="21"/>
          <w:szCs w:val="21"/>
        </w:rPr>
        <w:t>[見三（四）]</w:t>
      </w:r>
      <w:r w:rsidRPr="0055724E">
        <w:rPr>
          <w:rFonts w:cs="宋体"/>
          <w:kern w:val="0"/>
          <w:sz w:val="28"/>
          <w:szCs w:val="24"/>
        </w:rPr>
        <w:t>，孟子對戴不勝所説的“子欲子之王之善與”應該解釋爲“您想要您的王把國君當得很好嗎”。“爲不善”是“爲善”的反面，其解釋方式不能與“爲善”完全一樣，如果要把正反兩種情況的解釋統一起來，只能説通過一個過程而達到</w:t>
      </w:r>
      <w:r w:rsidRPr="0055724E">
        <w:rPr>
          <w:rFonts w:cs="宋体"/>
          <w:b/>
          <w:bCs/>
          <w:color w:val="A0A0A0"/>
          <w:kern w:val="0"/>
          <w:sz w:val="21"/>
          <w:szCs w:val="21"/>
        </w:rPr>
        <w:t>（對正面的來説是前進到，對反面的來説是墮落到）</w:t>
      </w:r>
      <w:r w:rsidRPr="0055724E">
        <w:rPr>
          <w:rFonts w:cs="宋体"/>
          <w:kern w:val="0"/>
          <w:sz w:val="28"/>
          <w:szCs w:val="24"/>
        </w:rPr>
        <w:t>某種境地或境界。“王誰與爲不善”的具體含義應該是“有誰會讓王落到把國君當得不好的境地/地步”，“王誰與爲善”的具體含義應該是“有誰會幫助王去達到把國君當得很好的境界”。</w:t>
      </w:r>
    </w:p>
    <w:p w14:paraId="62B995BA" w14:textId="48F8268F" w:rsidR="009F4F5A" w:rsidRPr="0055724E"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（10）《孟子·公孫丑上》：“孟子曰：子路，人告之以有過，則喜。禹聞善言，則拜。大舜有大焉，</w:t>
      </w:r>
      <w:r w:rsidRPr="0055724E">
        <w:rPr>
          <w:rFonts w:cs="宋体"/>
          <w:b/>
          <w:bCs/>
          <w:kern w:val="0"/>
          <w:sz w:val="28"/>
          <w:szCs w:val="24"/>
          <w:u w:val="single"/>
        </w:rPr>
        <w:t>善</w:t>
      </w:r>
      <w:r w:rsidRPr="0055724E">
        <w:rPr>
          <w:rFonts w:cs="宋体"/>
          <w:kern w:val="0"/>
          <w:sz w:val="28"/>
          <w:szCs w:val="24"/>
        </w:rPr>
        <w:t>與人同，舍己從人，樂取於人以</w:t>
      </w:r>
      <w:r w:rsidRPr="0055724E">
        <w:rPr>
          <w:rFonts w:cs="宋体"/>
          <w:b/>
          <w:bCs/>
          <w:kern w:val="0"/>
          <w:sz w:val="28"/>
          <w:szCs w:val="24"/>
          <w:u w:val="single"/>
        </w:rPr>
        <w:t>爲善</w:t>
      </w:r>
      <w:r w:rsidRPr="0055724E">
        <w:rPr>
          <w:rFonts w:cs="宋体"/>
          <w:kern w:val="0"/>
          <w:sz w:val="28"/>
          <w:szCs w:val="24"/>
        </w:rPr>
        <w:t>。耕稼、陶、漁以至爲帝，無非取於人者。取諸人以</w:t>
      </w:r>
      <w:r w:rsidRPr="0055724E">
        <w:rPr>
          <w:rFonts w:cs="宋体"/>
          <w:b/>
          <w:bCs/>
          <w:kern w:val="0"/>
          <w:sz w:val="28"/>
          <w:szCs w:val="24"/>
          <w:u w:val="single"/>
        </w:rPr>
        <w:t>爲善</w:t>
      </w:r>
      <w:r w:rsidRPr="0055724E">
        <w:rPr>
          <w:rFonts w:cs="宋体"/>
          <w:kern w:val="0"/>
          <w:sz w:val="28"/>
          <w:szCs w:val="24"/>
        </w:rPr>
        <w:t>，是與人</w:t>
      </w:r>
      <w:r w:rsidRPr="0055724E">
        <w:rPr>
          <w:rFonts w:cs="宋体"/>
          <w:b/>
          <w:bCs/>
          <w:kern w:val="0"/>
          <w:sz w:val="28"/>
          <w:szCs w:val="24"/>
          <w:u w:val="single"/>
        </w:rPr>
        <w:t>爲善</w:t>
      </w:r>
      <w:r w:rsidRPr="0055724E">
        <w:rPr>
          <w:rFonts w:cs="宋体"/>
          <w:kern w:val="0"/>
          <w:sz w:val="28"/>
          <w:szCs w:val="24"/>
        </w:rPr>
        <w:t>者也。故君子莫大乎與人</w:t>
      </w:r>
      <w:r w:rsidRPr="0055724E">
        <w:rPr>
          <w:rFonts w:cs="宋体"/>
          <w:b/>
          <w:bCs/>
          <w:kern w:val="0"/>
          <w:sz w:val="28"/>
          <w:szCs w:val="24"/>
          <w:u w:val="single"/>
        </w:rPr>
        <w:t>爲善</w:t>
      </w:r>
      <w:r w:rsidRPr="0055724E">
        <w:rPr>
          <w:rFonts w:cs="宋体"/>
          <w:kern w:val="0"/>
          <w:sz w:val="28"/>
          <w:szCs w:val="24"/>
        </w:rPr>
        <w:t>。”</w:t>
      </w:r>
    </w:p>
    <w:p w14:paraId="5C2E5F9E" w14:textId="77777777" w:rsidR="009F4F5A" w:rsidRDefault="009F4F5A" w:rsidP="00445DA3">
      <w:pPr>
        <w:widowControl/>
        <w:spacing w:beforeLines="50" w:before="180" w:line="480" w:lineRule="auto"/>
        <w:jc w:val="left"/>
        <w:rPr>
          <w:rFonts w:cs="宋体"/>
          <w:kern w:val="0"/>
          <w:sz w:val="28"/>
          <w:szCs w:val="24"/>
        </w:rPr>
      </w:pPr>
      <w:r w:rsidRPr="0055724E">
        <w:rPr>
          <w:rFonts w:cs="宋体"/>
          <w:kern w:val="0"/>
          <w:sz w:val="28"/>
          <w:szCs w:val="24"/>
        </w:rPr>
        <w:t>此文關於舜的一段出現了一個單用的“善”，出現了四次“爲善”。我們認爲，單用的“善”當取“把人做得很好”之義，“善與人同”猶言“與人同善”，就是跟他人一起把人做好的意思，下文的“爲善”應該是通過努力達到把人做得很好的境界的意思。關於舜爲堯所舉用</w:t>
      </w:r>
      <w:r w:rsidRPr="0055724E">
        <w:rPr>
          <w:rFonts w:cs="宋体"/>
          <w:kern w:val="0"/>
          <w:sz w:val="28"/>
          <w:szCs w:val="24"/>
        </w:rPr>
        <w:lastRenderedPageBreak/>
        <w:t>之前曾從事農稼陶漁等工作之事，古書多有記載，這裏引《韓非子·難一》和《史記·五帝本紀》所記爲例：</w:t>
      </w:r>
    </w:p>
    <w:p w14:paraId="6201AB8B"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b/>
          <w:bCs/>
          <w:color w:val="A0A0A0"/>
          <w:kern w:val="0"/>
          <w:sz w:val="21"/>
          <w:szCs w:val="21"/>
        </w:rPr>
        <w:t>《韓非子·難一》：歷山之農者侵畔，舜往耕焉，期年甽畝正。河濱之漁者爭坻，舜往漁焉，期年而讓長。東夷之陶者器苦窳，舜往陶焉，期年而器牢。</w:t>
      </w:r>
    </w:p>
    <w:p w14:paraId="3E3BB9ED"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b/>
          <w:bCs/>
          <w:color w:val="A0A0A0"/>
          <w:kern w:val="0"/>
          <w:sz w:val="21"/>
          <w:szCs w:val="21"/>
        </w:rPr>
        <w:t>《史記·五帝本紀》：舜耕歷山，歷山之人皆讓畔；漁雷澤，雷澤上人皆讓居；陶河濱，河濱器皆不苦窳。一年所居成聚，二年成邑，三年成都。</w:t>
      </w:r>
    </w:p>
    <w:p w14:paraId="23EA5FCB" w14:textId="77777777" w:rsidR="009F4F5A" w:rsidRDefault="009F4F5A" w:rsidP="00445DA3">
      <w:pPr>
        <w:widowControl/>
        <w:spacing w:beforeLines="50" w:before="180" w:line="480" w:lineRule="auto"/>
        <w:jc w:val="left"/>
        <w:rPr>
          <w:rFonts w:cs="宋体"/>
          <w:kern w:val="0"/>
          <w:sz w:val="28"/>
          <w:szCs w:val="24"/>
        </w:rPr>
      </w:pPr>
      <w:r w:rsidRPr="0055724E">
        <w:rPr>
          <w:rFonts w:cs="宋体"/>
          <w:kern w:val="0"/>
          <w:sz w:val="28"/>
          <w:szCs w:val="24"/>
        </w:rPr>
        <w:t>孟子在“善與人同”後緊接著説“舍己從人，樂取於人以爲善，耕稼、陶、漁以至爲帝，無非取於人者。取諸人以爲善，是與人爲善者也”，强調舜由從事勞動的百姓，通過不斷地努力逐漸提高自己的修養，最後達到能很好地承擔起聖王任務的境界，在每個階段都充分吸取了同事者的長處。此段上文説“子路，人告之以有過，則喜。禹聞善言，則拜”，這其實也是“取諸人以爲善”。不過，舜既然“善與人同”，他與同事者之間的關係當然不可能只是单方面從同事者那裏吸收長處，朱熹《孟子集注》解釋此段文字時説：“與，猶許也，助也。取彼之善而爲之於我，則彼益勸於爲善矣，是我助其爲善也。”</w:t>
      </w:r>
      <w:r w:rsidRPr="00965627">
        <w:rPr>
          <w:rStyle w:val="ae"/>
          <w:rFonts w:cs="宋体"/>
          <w:kern w:val="0"/>
          <w:sz w:val="28"/>
          <w:szCs w:val="24"/>
        </w:rPr>
        <w:endnoteReference w:id="194"/>
      </w:r>
      <w:r w:rsidRPr="0055724E">
        <w:rPr>
          <w:rFonts w:cs="宋体"/>
          <w:kern w:val="0"/>
          <w:sz w:val="28"/>
          <w:szCs w:val="24"/>
        </w:rPr>
        <w:t>他對“與人爲善”句的具體解釋似不可取，但所言大意是頗有道理的。上引《韓非子》《五帝本紀》則强調了舜對同事者的“爲善”所起的作</w:t>
      </w:r>
      <w:r w:rsidRPr="0055724E">
        <w:rPr>
          <w:rFonts w:cs="宋体"/>
          <w:kern w:val="0"/>
          <w:sz w:val="28"/>
          <w:szCs w:val="24"/>
        </w:rPr>
        <w:lastRenderedPageBreak/>
        <w:t>用。我們認爲，“與人爲善”就是跟他人一起“爲善”的意思。當然，對不同的人來説，“爲善”所達到的境界是有高有低的，“與人爲善”是君子“爲善”的最高境界，所以孟子最後説“故君子莫大乎與人爲善”。今人對“與人爲善”一語的理解，並不符合孟子原意</w:t>
      </w:r>
      <w:r w:rsidRPr="00965627">
        <w:rPr>
          <w:rStyle w:val="ae"/>
          <w:rFonts w:cs="宋体"/>
          <w:kern w:val="0"/>
          <w:sz w:val="28"/>
          <w:szCs w:val="24"/>
        </w:rPr>
        <w:endnoteReference w:id="195"/>
      </w:r>
      <w:r w:rsidRPr="0055724E">
        <w:rPr>
          <w:rFonts w:cs="宋体"/>
          <w:kern w:val="0"/>
          <w:sz w:val="28"/>
          <w:szCs w:val="24"/>
        </w:rPr>
        <w:t>。</w:t>
      </w:r>
    </w:p>
    <w:p w14:paraId="00B44604"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附帶説一下，“禹聞善言，則拜”的“善言”可以解釋爲講得好的話，就其具體内容而言，也就是正確的，對人有益、有用的話</w:t>
      </w:r>
      <w:r w:rsidRPr="0055724E">
        <w:rPr>
          <w:rFonts w:cs="宋体"/>
          <w:b/>
          <w:bCs/>
          <w:color w:val="A0A0A0"/>
          <w:kern w:val="0"/>
          <w:sz w:val="21"/>
          <w:szCs w:val="21"/>
        </w:rPr>
        <w:t>[參看前文四（一）關於“善事”的解釋]</w:t>
      </w:r>
      <w:r w:rsidRPr="0055724E">
        <w:rPr>
          <w:rFonts w:cs="宋体"/>
          <w:kern w:val="0"/>
          <w:sz w:val="28"/>
          <w:szCs w:val="24"/>
        </w:rPr>
        <w:t>。《淮南子·泰族》篇有“善言歸乎可行”之語</w:t>
      </w:r>
      <w:r w:rsidRPr="0055724E">
        <w:rPr>
          <w:rFonts w:cs="宋体"/>
          <w:b/>
          <w:bCs/>
          <w:color w:val="A0A0A0"/>
          <w:kern w:val="0"/>
          <w:sz w:val="21"/>
          <w:szCs w:val="21"/>
        </w:rPr>
        <w:t>（《文子·上義》篇此語作“善言貴乎可行”）</w:t>
      </w:r>
      <w:r w:rsidRPr="0055724E">
        <w:rPr>
          <w:rFonts w:cs="宋体"/>
          <w:kern w:val="0"/>
          <w:sz w:val="28"/>
          <w:szCs w:val="24"/>
        </w:rPr>
        <w:t>，可參考。先秦漢語中，以“善”爲定語的定中結構的詞語很多，除了一部分比較特殊的如“善人”“善士”“善臣”“善心”等外，其“善”字大都可以理解爲“正確，對人有益、有用”一類意思。</w:t>
      </w:r>
    </w:p>
    <w:p w14:paraId="46721A8D" w14:textId="04532035"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古書中的“爲善”還有一種比較特殊的用法，郭店《語叢一》簡84：“有</w:t>
      </w:r>
      <w:r w:rsidRPr="00E825AE">
        <w:rPr>
          <w:rFonts w:ascii="华文楷体" w:eastAsia="华文楷体" w:hAnsi="华文楷体" w:cs="华文仿宋" w:hint="eastAsia"/>
          <w:noProof/>
          <w:position w:val="-4"/>
        </w:rPr>
        <w:drawing>
          <wp:inline distT="0" distB="0" distL="0" distR="0" wp14:anchorId="077E73AA" wp14:editId="1927F549">
            <wp:extent cx="175895" cy="181610"/>
            <wp:effectExtent l="0" t="0" r="14605" b="889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75895" cy="181610"/>
                    </a:xfrm>
                    <a:prstGeom prst="rect">
                      <a:avLst/>
                    </a:prstGeom>
                    <a:noFill/>
                    <a:ln>
                      <a:noFill/>
                    </a:ln>
                  </pic:spPr>
                </pic:pic>
              </a:graphicData>
            </a:graphic>
          </wp:inline>
        </w:drawing>
      </w:r>
      <w:r w:rsidRPr="0055724E">
        <w:rPr>
          <w:rFonts w:cs="宋体"/>
          <w:kern w:val="0"/>
          <w:sz w:val="28"/>
          <w:szCs w:val="24"/>
        </w:rPr>
        <w:fldChar w:fldCharType="begin"/>
      </w:r>
      <w:r w:rsidRPr="0055724E">
        <w:rPr>
          <w:rFonts w:cs="宋体"/>
          <w:kern w:val="0"/>
          <w:sz w:val="28"/>
          <w:szCs w:val="24"/>
        </w:rPr>
        <w:instrText xml:space="preserve"> INCLUDEPICTURE "/Users/yadomimac/Library/Group Containers/UBF8T346G9.ms/WebArchiveCopyPasteTempFiles/com.microsoft.Word/svg%3E" \* MERGEFORMATINET </w:instrText>
      </w:r>
      <w:r w:rsidRPr="0055724E">
        <w:rPr>
          <w:rFonts w:cs="宋体"/>
          <w:kern w:val="0"/>
          <w:sz w:val="28"/>
          <w:szCs w:val="24"/>
        </w:rPr>
        <w:fldChar w:fldCharType="end"/>
      </w:r>
      <w:r w:rsidRPr="0055724E">
        <w:rPr>
          <w:rFonts w:cs="宋体"/>
          <w:kern w:val="0"/>
          <w:sz w:val="28"/>
          <w:szCs w:val="24"/>
        </w:rPr>
        <w:t>（察）膳（善），無爲膳（善）。”劉釗《郭店楚簡〈語叢一〉箋釋》：“‘無爲善’是説不要故意去行善。《淮南子·説山》：‘人有嫁其子而教之曰：‘爾行矣，慎無爲善！’曰：‘不爲善，將爲不善邪？’應之曰：‘善且由弗爲，况不善乎！’此全其天器者。’‘全其天器’是説‘善’即人之本性，不需故意爲之，故‘不爲善’就是保持天性，‘無爲善’是因爲如果故意行善就不再是真</w:t>
      </w:r>
      <w:r w:rsidRPr="0055724E">
        <w:rPr>
          <w:rFonts w:cs="宋体"/>
          <w:kern w:val="0"/>
          <w:sz w:val="28"/>
          <w:szCs w:val="24"/>
        </w:rPr>
        <w:lastRenderedPageBreak/>
        <w:t>善。”</w:t>
      </w:r>
      <w:r w:rsidRPr="00965627">
        <w:rPr>
          <w:rStyle w:val="ae"/>
          <w:rFonts w:cs="宋体"/>
          <w:kern w:val="0"/>
          <w:sz w:val="28"/>
          <w:szCs w:val="24"/>
        </w:rPr>
        <w:endnoteReference w:id="196"/>
      </w:r>
      <w:r w:rsidRPr="0055724E">
        <w:rPr>
          <w:rFonts w:cs="宋体"/>
          <w:kern w:val="0"/>
          <w:sz w:val="28"/>
          <w:szCs w:val="24"/>
        </w:rPr>
        <w:t>劉氏引《淮南子·説山》解釋“無爲善”，是很有啟發性的，但應該指出，《説山》那一條反映的是莊子一派的道家思想，他説的“無爲善”就是不要有“爲善”的存心的意思</w:t>
      </w:r>
      <w:r w:rsidRPr="0055724E">
        <w:rPr>
          <w:rFonts w:cs="宋体"/>
          <w:b/>
          <w:bCs/>
          <w:color w:val="A0A0A0"/>
          <w:kern w:val="0"/>
          <w:sz w:val="21"/>
          <w:szCs w:val="21"/>
        </w:rPr>
        <w:t>（如果看到了別人有危險，很自然地發出警告、伸出援手，這種自然的“爲善”即使是莊子一派的道家也是不會反對的）</w:t>
      </w:r>
      <w:r w:rsidRPr="0055724E">
        <w:rPr>
          <w:rFonts w:cs="宋体"/>
          <w:kern w:val="0"/>
          <w:sz w:val="28"/>
          <w:szCs w:val="24"/>
        </w:rPr>
        <w:t>。《語叢》一二三反映的是儒家思想，儒家是主張人應該存心爲善的</w:t>
      </w:r>
      <w:r w:rsidRPr="0055724E">
        <w:rPr>
          <w:rFonts w:cs="宋体"/>
          <w:b/>
          <w:bCs/>
          <w:color w:val="A0A0A0"/>
          <w:kern w:val="0"/>
          <w:sz w:val="21"/>
          <w:szCs w:val="21"/>
        </w:rPr>
        <w:t>[參看前文一（二）3.和三（六）關於“善心”的解釋]</w:t>
      </w:r>
      <w:r w:rsidRPr="0055724E">
        <w:rPr>
          <w:rFonts w:cs="宋体"/>
          <w:kern w:val="0"/>
          <w:sz w:val="28"/>
          <w:szCs w:val="24"/>
        </w:rPr>
        <w:t>，儒家又極重視真誠，爲善當然應該出自真心誠意，所以《語叢一》“無爲善”的“爲善”與《淮南子·説山》“無爲善”的“爲善”不可能完全同義，應該是指缺乏真心誠意的刻意爲善，“爲”字的實際含義已經近於“僞”了。這種“爲善”可以説是先秦文獻中的第三種“爲善”。“有察善，無爲善”的兩個“善”其所指應該是把人、把事做得很好的表現。從以“有察善”“無爲善”對舉來看，這兩句的意思似可理解爲：對別人把人、把事做得很好的表現應該考察其是否出於真心，但自己決不能刻意去做出這種表現。</w:t>
      </w:r>
    </w:p>
    <w:p w14:paraId="04075285" w14:textId="77777777" w:rsidR="00445DA3" w:rsidRDefault="00445DA3" w:rsidP="00445DA3">
      <w:pPr>
        <w:widowControl/>
        <w:spacing w:beforeLines="50" w:before="180" w:line="480" w:lineRule="auto"/>
        <w:ind w:firstLine="480"/>
        <w:jc w:val="left"/>
        <w:rPr>
          <w:rFonts w:cs="宋体"/>
          <w:kern w:val="0"/>
          <w:sz w:val="28"/>
          <w:szCs w:val="24"/>
        </w:rPr>
      </w:pPr>
    </w:p>
    <w:p w14:paraId="7225FAF7" w14:textId="77777777" w:rsidR="009F4F5A" w:rsidRDefault="009F4F5A" w:rsidP="00A45A65">
      <w:pPr>
        <w:widowControl/>
        <w:spacing w:beforeLines="50" w:before="180" w:line="480" w:lineRule="auto"/>
        <w:jc w:val="left"/>
        <w:rPr>
          <w:rFonts w:cs="宋体"/>
          <w:kern w:val="0"/>
          <w:sz w:val="28"/>
          <w:szCs w:val="24"/>
        </w:rPr>
      </w:pPr>
      <w:r w:rsidRPr="0055724E">
        <w:rPr>
          <w:rFonts w:cs="宋体"/>
          <w:b/>
          <w:bCs/>
          <w:kern w:val="0"/>
          <w:sz w:val="28"/>
          <w:szCs w:val="24"/>
        </w:rPr>
        <w:t>（五）“善”的“吉利，吉祥”義</w:t>
      </w:r>
    </w:p>
    <w:p w14:paraId="18760078" w14:textId="5FBDE375"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lastRenderedPageBreak/>
        <w:t>“善”字含有的“對人有益、有用”的意思在先秦時代就引申出了近於“吉利，吉祥”的意思。《禮記•中庸》：“國家將興，必有禎祥；國家將亡，必有妖孽。見乎蓍龜，動乎四體。禍福將至，善，必先知之，不善，必先知之。”這裏的“善”與“不善”就可以理解爲“吉祥”“不吉祥”</w:t>
      </w:r>
      <w:r w:rsidRPr="00965627">
        <w:rPr>
          <w:rStyle w:val="ae"/>
          <w:rFonts w:cs="宋体"/>
          <w:kern w:val="0"/>
          <w:sz w:val="28"/>
          <w:szCs w:val="24"/>
        </w:rPr>
        <w:endnoteReference w:id="197"/>
      </w:r>
      <w:r w:rsidRPr="0055724E">
        <w:rPr>
          <w:rFonts w:cs="宋体"/>
          <w:kern w:val="0"/>
          <w:sz w:val="28"/>
          <w:szCs w:val="24"/>
        </w:rPr>
        <w:t>。東漢早期王充《論衡·卜筮》篇中有“吉人鑽龜，輙從善兆”，“善兆”即吉祥之兆，可以參看。上引《戰國策·秦策三》“蔡澤見逐于趙”章記蔡澤勸范雎把相位讓給他，自己全身而退，説他爲范雎策劃的事是“吉祥</w:t>
      </w:r>
      <w:r w:rsidRPr="0055724E">
        <w:rPr>
          <w:rFonts w:cs="宋体"/>
          <w:b/>
          <w:bCs/>
          <w:kern w:val="0"/>
          <w:sz w:val="28"/>
          <w:szCs w:val="24"/>
          <w:u w:val="single"/>
        </w:rPr>
        <w:t>善事</w:t>
      </w:r>
      <w:r w:rsidRPr="0055724E">
        <w:rPr>
          <w:rFonts w:cs="宋体"/>
          <w:kern w:val="0"/>
          <w:sz w:val="28"/>
          <w:szCs w:val="24"/>
        </w:rPr>
        <w:t>”</w:t>
      </w:r>
      <w:r w:rsidRPr="0055724E">
        <w:rPr>
          <w:rFonts w:cs="宋体"/>
          <w:b/>
          <w:bCs/>
          <w:color w:val="A0A0A0"/>
          <w:kern w:val="0"/>
          <w:sz w:val="21"/>
          <w:szCs w:val="21"/>
        </w:rPr>
        <w:t>[見四（一）]</w:t>
      </w:r>
      <w:r w:rsidRPr="0055724E">
        <w:rPr>
          <w:rFonts w:cs="宋体"/>
          <w:kern w:val="0"/>
          <w:sz w:val="28"/>
          <w:szCs w:val="24"/>
        </w:rPr>
        <w:t>，也反映了“善”與“吉祥”在語義上的聯繫。許慎大概就是根據這類語言現象，牽附“善”字从“羊”的字形而誤定“善”的本義爲“吉”的。</w:t>
      </w:r>
    </w:p>
    <w:p w14:paraId="12CBF5AB" w14:textId="77777777" w:rsidR="00445DA3" w:rsidRDefault="00445DA3" w:rsidP="00445DA3">
      <w:pPr>
        <w:widowControl/>
        <w:spacing w:beforeLines="50" w:before="180" w:line="480" w:lineRule="auto"/>
        <w:ind w:firstLine="480"/>
        <w:jc w:val="left"/>
        <w:rPr>
          <w:rFonts w:cs="宋体"/>
          <w:kern w:val="0"/>
          <w:sz w:val="28"/>
          <w:szCs w:val="24"/>
        </w:rPr>
      </w:pPr>
    </w:p>
    <w:p w14:paraId="593C1006" w14:textId="77777777" w:rsidR="009F4F5A" w:rsidRDefault="009F4F5A" w:rsidP="00A45A65">
      <w:pPr>
        <w:widowControl/>
        <w:spacing w:beforeLines="50" w:before="180" w:line="480" w:lineRule="auto"/>
        <w:jc w:val="left"/>
        <w:rPr>
          <w:rFonts w:cs="宋体"/>
          <w:kern w:val="0"/>
          <w:sz w:val="28"/>
          <w:szCs w:val="24"/>
        </w:rPr>
      </w:pPr>
      <w:r w:rsidRPr="0055724E">
        <w:rPr>
          <w:rFonts w:cs="宋体"/>
          <w:b/>
          <w:bCs/>
          <w:kern w:val="0"/>
          <w:sz w:val="28"/>
          <w:szCs w:val="24"/>
        </w:rPr>
        <w:t>（六）有些較晚的似乎很接近於一般“好”字意義的“善”其義往往仍可與“善”字較古的用法聯繫</w:t>
      </w:r>
    </w:p>
    <w:p w14:paraId="540BBB64" w14:textId="118792FF"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在較晚的時候，作爲定語的“善”的含義似乎越來越向一般的“好”趨近，需要注意的是，有很多被人們看成屬於這一類的“善”，其具體含義很可能仍應與“善”字較古的用法聯繫起來。《史記·李將軍列傳》：“廣行無部伍行陣，就善水草屯舍止</w:t>
      </w:r>
      <w:r w:rsidRPr="0055724E">
        <w:rPr>
          <w:rFonts w:cs="宋体"/>
          <w:b/>
          <w:bCs/>
          <w:color w:val="A0A0A0"/>
          <w:kern w:val="0"/>
          <w:sz w:val="21"/>
          <w:szCs w:val="21"/>
        </w:rPr>
        <w:t>（《漢書·李廣傳》‘屯’</w:t>
      </w:r>
      <w:r w:rsidRPr="0055724E">
        <w:rPr>
          <w:rFonts w:cs="宋体"/>
          <w:b/>
          <w:bCs/>
          <w:color w:val="A0A0A0"/>
          <w:kern w:val="0"/>
          <w:sz w:val="21"/>
          <w:szCs w:val="21"/>
        </w:rPr>
        <w:lastRenderedPageBreak/>
        <w:t>作‘頓’，‘舍’下無‘止’字，他句異文從略）</w:t>
      </w:r>
      <w:r w:rsidRPr="0055724E">
        <w:rPr>
          <w:rFonts w:cs="宋体"/>
          <w:kern w:val="0"/>
          <w:sz w:val="28"/>
          <w:szCs w:val="24"/>
        </w:rPr>
        <w:t>，人人自便。”“善水草”可能原指對人有益、有用的水草</w:t>
      </w:r>
      <w:r w:rsidRPr="0055724E">
        <w:rPr>
          <w:rFonts w:cs="宋体"/>
          <w:b/>
          <w:bCs/>
          <w:color w:val="A0A0A0"/>
          <w:kern w:val="0"/>
          <w:sz w:val="21"/>
          <w:szCs w:val="21"/>
        </w:rPr>
        <w:t>[前面曾説見於《左傳·隱公六年》的“善者”可以兼指嘉穀和“善人”，指嘉穀時其“善”字的具體含義可以理解爲對人有益、有用，見三（一）2.例（6）]</w:t>
      </w:r>
      <w:r w:rsidRPr="0055724E">
        <w:rPr>
          <w:rFonts w:cs="宋体"/>
          <w:kern w:val="0"/>
          <w:sz w:val="28"/>
          <w:szCs w:val="24"/>
        </w:rPr>
        <w:t>，即適合於人、馬飲用的水，適合於作爲馬的飼料的草。《史記》的《殷本紀》《李將軍列傳》《大宛列傳》等多篇中皆有“善馬”一詞，可能原指才力超群，善於奔馳，能很好地爲人所用的良馬，稱其爲“善馬”與春秋時人稱子車氏之“三良”爲“善人”相類。馬王堆帛書《五十二病方》《養生方》</w:t>
      </w:r>
      <w:r w:rsidRPr="0055724E">
        <w:rPr>
          <w:rFonts w:cs="宋体"/>
          <w:b/>
          <w:bCs/>
          <w:color w:val="A0A0A0"/>
          <w:kern w:val="0"/>
          <w:sz w:val="21"/>
          <w:szCs w:val="21"/>
        </w:rPr>
        <w:t>（這兩種帛書都有可能是戰國時代作品的抄本）</w:t>
      </w:r>
      <w:r w:rsidRPr="0055724E">
        <w:rPr>
          <w:rFonts w:cs="宋体"/>
          <w:kern w:val="0"/>
          <w:sz w:val="28"/>
          <w:szCs w:val="24"/>
        </w:rPr>
        <w:t>有“善酒”，《史記·刺客列傳·荊軻傳》有“善衣”，可能原指製作得好的酒，製作得好的衣服，跟把“講得好的話”稱爲“善言”、把“做得好的事”稱爲“善事”相類。這類例子多見，不贅舉。</w:t>
      </w:r>
    </w:p>
    <w:p w14:paraId="191EFBC2" w14:textId="77777777" w:rsidR="00445DA3" w:rsidRDefault="00445DA3" w:rsidP="00445DA3">
      <w:pPr>
        <w:widowControl/>
        <w:spacing w:beforeLines="50" w:before="180" w:line="480" w:lineRule="auto"/>
        <w:ind w:firstLine="480"/>
        <w:jc w:val="left"/>
        <w:rPr>
          <w:rFonts w:cs="宋体"/>
          <w:kern w:val="0"/>
          <w:sz w:val="28"/>
          <w:szCs w:val="24"/>
        </w:rPr>
      </w:pPr>
    </w:p>
    <w:p w14:paraId="44972D7F" w14:textId="77777777" w:rsidR="009F4F5A" w:rsidRDefault="009F4F5A" w:rsidP="00445DA3">
      <w:pPr>
        <w:widowControl/>
        <w:spacing w:beforeLines="50" w:before="180" w:line="480" w:lineRule="auto"/>
        <w:jc w:val="center"/>
        <w:rPr>
          <w:rFonts w:cs="宋体"/>
          <w:kern w:val="0"/>
          <w:sz w:val="28"/>
          <w:szCs w:val="24"/>
        </w:rPr>
      </w:pPr>
      <w:r w:rsidRPr="0055724E">
        <w:rPr>
          <w:rFonts w:cs="宋体"/>
          <w:b/>
          <w:bCs/>
          <w:kern w:val="0"/>
          <w:sz w:val="28"/>
          <w:szCs w:val="24"/>
        </w:rPr>
        <w:t>五、關於“善”字字形表示的意義及其本義的討論</w:t>
      </w:r>
    </w:p>
    <w:p w14:paraId="0C0CD17F" w14:textId="77777777" w:rsidR="00445DA3" w:rsidRDefault="00445DA3" w:rsidP="00445DA3">
      <w:pPr>
        <w:widowControl/>
        <w:spacing w:beforeLines="50" w:before="180" w:line="480" w:lineRule="auto"/>
        <w:ind w:firstLine="480"/>
        <w:jc w:val="left"/>
        <w:rPr>
          <w:rFonts w:cs="宋体"/>
          <w:kern w:val="0"/>
          <w:sz w:val="28"/>
          <w:szCs w:val="24"/>
        </w:rPr>
      </w:pPr>
    </w:p>
    <w:p w14:paraId="39B9AA45" w14:textId="54AD0104"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“善”字字形表示的意義及其本義究竟是什麼，是極難解決的問題</w:t>
      </w:r>
      <w:r w:rsidRPr="0055724E">
        <w:rPr>
          <w:rFonts w:cs="宋体"/>
          <w:b/>
          <w:bCs/>
          <w:color w:val="A0A0A0"/>
          <w:kern w:val="0"/>
          <w:sz w:val="21"/>
          <w:szCs w:val="21"/>
        </w:rPr>
        <w:t>（參看本文引言部分所引《字源》之説）</w:t>
      </w:r>
      <w:r w:rsidRPr="0055724E">
        <w:rPr>
          <w:rFonts w:cs="宋体"/>
          <w:kern w:val="0"/>
          <w:sz w:val="28"/>
          <w:szCs w:val="24"/>
        </w:rPr>
        <w:t>，但是，我們仍想在這裏就此問題提出一些很没有把握的猜測，以供參考。楊樹達《積微居金文餘説卷</w:t>
      </w:r>
      <w:r w:rsidRPr="0055724E">
        <w:rPr>
          <w:rFonts w:cs="宋体"/>
          <w:kern w:val="0"/>
          <w:sz w:val="28"/>
          <w:szCs w:val="24"/>
        </w:rPr>
        <w:lastRenderedPageBreak/>
        <w:t>一·取它人鼎跋》認爲此鼎銘文中“取他人之善鼎”之“善”“蓋假爲膳”，他説：“《説文四篇上·肉部》云：‘膳，具食也。从肉，善聲。’《詩·十月之交》云：‘仲允膳夫。’《周禮·天官》有膳夫職，而金文善夫克鼎作善，不作膳，以善爲膳，與此銘文正同也。或曰：善字从羊，乃膳之初文，从肉作膳者，乃後起加形旁字。凡會意字加形旁，必犯重複，此加肉旁，與從羊義複。説亦通。”</w:t>
      </w:r>
      <w:r w:rsidRPr="00965627">
        <w:rPr>
          <w:rStyle w:val="ae"/>
          <w:rFonts w:cs="宋体"/>
          <w:kern w:val="0"/>
          <w:sz w:val="28"/>
          <w:szCs w:val="24"/>
        </w:rPr>
        <w:endnoteReference w:id="198"/>
      </w:r>
      <w:r w:rsidRPr="0055724E">
        <w:rPr>
          <w:rFonts w:cs="宋体"/>
          <w:kern w:val="0"/>
          <w:sz w:val="28"/>
          <w:szCs w:val="24"/>
        </w:rPr>
        <w:t>今按：楊跋前説認爲以“善”表“膳”係假借爲“膳”，是傳統的意見，其或説應即楊氏自己的説法。本文“引言”部分所引《字源》“善”字條説近人“或以爲‘善’字从‘羊’，爲‘膳’的本字”，其所指應即此説，但其文改楊跋中的“初文”爲“本字”，則不妥</w:t>
      </w:r>
      <w:r w:rsidRPr="0055724E">
        <w:rPr>
          <w:rFonts w:cs="宋体"/>
          <w:b/>
          <w:bCs/>
          <w:color w:val="A0A0A0"/>
          <w:kern w:val="0"/>
          <w:sz w:val="21"/>
          <w:szCs w:val="21"/>
        </w:rPr>
        <w:t>（不少人稱“初文”爲“本字”，易與相對於假借字的“本字”混淆）</w:t>
      </w:r>
      <w:r w:rsidRPr="0055724E">
        <w:rPr>
          <w:rFonts w:cs="宋体"/>
          <w:kern w:val="0"/>
          <w:sz w:val="28"/>
          <w:szCs w:val="24"/>
        </w:rPr>
        <w:t>。我們認爲楊説以“善”爲“膳”之初文，“膳”爲“善”的“後起加形旁字”，是有道理的。古書中“善”字常見，字義頗繁，所以後來在“善”字上加肉旁專表“膳”義。</w:t>
      </w:r>
    </w:p>
    <w:p w14:paraId="1F8E79BF"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“善”字，甲骨文與商代金文中似尚未見到。西周春秋金文中“善”字屢見，與我們已經討論過的“善”字的用法有關者前文多已引用</w:t>
      </w:r>
      <w:r w:rsidRPr="00965627">
        <w:rPr>
          <w:rStyle w:val="ae"/>
          <w:rFonts w:cs="宋体"/>
          <w:color w:val="000000"/>
          <w:kern w:val="0"/>
          <w:sz w:val="28"/>
          <w:szCs w:val="24"/>
        </w:rPr>
        <w:endnoteReference w:id="199"/>
      </w:r>
      <w:r w:rsidRPr="0055724E">
        <w:rPr>
          <w:rFonts w:cs="宋体"/>
          <w:kern w:val="0"/>
          <w:sz w:val="28"/>
          <w:szCs w:val="24"/>
        </w:rPr>
        <w:t>。但西周春秋金文中多數“善”字是應該讀爲“膳”的，現在對它們的情況作些介紹</w:t>
      </w:r>
      <w:r w:rsidRPr="0055724E">
        <w:rPr>
          <w:rFonts w:cs="宋体"/>
          <w:b/>
          <w:bCs/>
          <w:color w:val="A0A0A0"/>
          <w:kern w:val="0"/>
          <w:sz w:val="21"/>
          <w:szCs w:val="21"/>
        </w:rPr>
        <w:t>（所據資料限於吴鎮烽《商周青銅器銘文暨圖像集成》及《續</w:t>
      </w:r>
      <w:r w:rsidRPr="0055724E">
        <w:rPr>
          <w:rFonts w:cs="宋体"/>
          <w:b/>
          <w:bCs/>
          <w:color w:val="A0A0A0"/>
          <w:kern w:val="0"/>
          <w:sz w:val="21"/>
          <w:szCs w:val="21"/>
        </w:rPr>
        <w:lastRenderedPageBreak/>
        <w:t>編》《三編》）</w:t>
      </w:r>
      <w:r w:rsidRPr="0055724E">
        <w:rPr>
          <w:rFonts w:cs="宋体"/>
          <w:kern w:val="0"/>
          <w:sz w:val="28"/>
          <w:szCs w:val="24"/>
        </w:rPr>
        <w:t>。西周春秋金文中表“膳”的“善”用例的情況比較簡單，可以歸納爲兩類，所以在這裏只作綜合性的説明。</w:t>
      </w:r>
    </w:p>
    <w:p w14:paraId="5D5743DD" w14:textId="3EF6235D"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周代的職官名“膳夫”</w:t>
      </w:r>
      <w:r w:rsidRPr="0055724E">
        <w:rPr>
          <w:rFonts w:cs="宋体"/>
          <w:b/>
          <w:bCs/>
          <w:color w:val="A0A0A0"/>
          <w:kern w:val="0"/>
          <w:sz w:val="21"/>
          <w:szCs w:val="21"/>
        </w:rPr>
        <w:t>（見於《詩經》《周禮》等）</w:t>
      </w:r>
      <w:r w:rsidRPr="0055724E">
        <w:rPr>
          <w:rFonts w:cs="宋体"/>
          <w:kern w:val="0"/>
          <w:sz w:val="28"/>
          <w:szCs w:val="24"/>
        </w:rPr>
        <w:t>青銅器銘文中屢見，已著録的有“膳夫”之名的青銅器已超過二十件，除西周中期</w:t>
      </w:r>
      <w:r w:rsidRPr="0055724E">
        <w:rPr>
          <w:rFonts w:cs="宋体"/>
          <w:b/>
          <w:bCs/>
          <w:color w:val="A0A0A0"/>
          <w:kern w:val="0"/>
          <w:sz w:val="21"/>
          <w:szCs w:val="21"/>
        </w:rPr>
        <w:t>（師</w:t>
      </w:r>
      <w:r w:rsidR="00AB1FCD">
        <w:rPr>
          <w:rFonts w:ascii="Helvetica Neue" w:hAnsi="Helvetica Neue"/>
          <w:b/>
          <w:bCs/>
          <w:noProof/>
          <w:color w:val="3E3E3E"/>
          <w:spacing w:val="8"/>
          <w:sz w:val="21"/>
          <w:szCs w:val="21"/>
          <w:shd w:val="clear" w:color="auto" w:fill="FFFFFF"/>
        </w:rPr>
        <w:drawing>
          <wp:inline distT="0" distB="0" distL="0" distR="0" wp14:anchorId="2CE05495" wp14:editId="3798B68D">
            <wp:extent cx="152400" cy="161925"/>
            <wp:effectExtent l="0" t="0" r="0" b="9525"/>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55724E">
        <w:rPr>
          <w:rFonts w:cs="宋体"/>
          <w:b/>
          <w:bCs/>
          <w:color w:val="A0A0A0"/>
          <w:kern w:val="0"/>
          <w:sz w:val="21"/>
          <w:szCs w:val="21"/>
        </w:rPr>
        <w:t>鼎）</w:t>
      </w:r>
      <w:r w:rsidRPr="0055724E">
        <w:rPr>
          <w:rFonts w:cs="宋体"/>
          <w:kern w:val="0"/>
          <w:sz w:val="28"/>
          <w:szCs w:val="24"/>
        </w:rPr>
        <w:t>和春秋早期</w:t>
      </w:r>
      <w:r w:rsidRPr="0055724E">
        <w:rPr>
          <w:rFonts w:cs="宋体"/>
          <w:b/>
          <w:bCs/>
          <w:color w:val="A0A0A0"/>
          <w:kern w:val="0"/>
          <w:sz w:val="21"/>
          <w:szCs w:val="21"/>
        </w:rPr>
        <w:t>（蔡大善夫</w:t>
      </w:r>
      <w:r w:rsidR="00AB1FCD">
        <w:rPr>
          <w:rFonts w:ascii="Helvetica Neue" w:hAnsi="Helvetica Neue"/>
          <w:b/>
          <w:bCs/>
          <w:noProof/>
          <w:color w:val="3E3E3E"/>
          <w:spacing w:val="8"/>
          <w:sz w:val="23"/>
          <w:szCs w:val="23"/>
          <w:shd w:val="clear" w:color="auto" w:fill="FFFFFF"/>
        </w:rPr>
        <w:drawing>
          <wp:inline distT="0" distB="0" distL="0" distR="0" wp14:anchorId="1229C2CA" wp14:editId="0F5B7E67">
            <wp:extent cx="161925" cy="171450"/>
            <wp:effectExtent l="0" t="0" r="9525" b="0"/>
            <wp:docPr id="3" name="图片 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片"/>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1925" cy="171450"/>
                    </a:xfrm>
                    <a:prstGeom prst="rect">
                      <a:avLst/>
                    </a:prstGeom>
                    <a:noFill/>
                    <a:ln>
                      <a:noFill/>
                    </a:ln>
                  </pic:spPr>
                </pic:pic>
              </a:graphicData>
            </a:graphic>
          </wp:inline>
        </w:drawing>
      </w:r>
      <w:r w:rsidRPr="0055724E">
        <w:rPr>
          <w:rFonts w:cs="宋体"/>
          <w:b/>
          <w:bCs/>
          <w:kern w:val="0"/>
          <w:szCs w:val="24"/>
        </w:rPr>
        <w:fldChar w:fldCharType="begin"/>
      </w:r>
      <w:r w:rsidRPr="0055724E">
        <w:rPr>
          <w:rFonts w:cs="宋体"/>
          <w:b/>
          <w:bCs/>
          <w:kern w:val="0"/>
          <w:szCs w:val="24"/>
        </w:rPr>
        <w:instrText xml:space="preserve"> INCLUDEPICTURE "/Users/yadomimac/Library/Group Containers/UBF8T346G9.ms/WebArchiveCopyPasteTempFiles/com.microsoft.Word/svg%3E" \* MERGEFORMATINET </w:instrText>
      </w:r>
      <w:r w:rsidRPr="0055724E">
        <w:rPr>
          <w:rFonts w:cs="宋体"/>
          <w:b/>
          <w:bCs/>
          <w:kern w:val="0"/>
          <w:szCs w:val="24"/>
        </w:rPr>
        <w:fldChar w:fldCharType="end"/>
      </w:r>
      <w:r w:rsidRPr="0055724E">
        <w:rPr>
          <w:rFonts w:cs="宋体"/>
          <w:b/>
          <w:bCs/>
          <w:color w:val="A0A0A0"/>
          <w:kern w:val="0"/>
          <w:sz w:val="21"/>
          <w:szCs w:val="21"/>
        </w:rPr>
        <w:t>簠）</w:t>
      </w:r>
      <w:r w:rsidRPr="0055724E">
        <w:rPr>
          <w:rFonts w:cs="宋体"/>
          <w:kern w:val="0"/>
          <w:sz w:val="28"/>
          <w:szCs w:val="24"/>
        </w:rPr>
        <w:t>各有一件外，皆爲西周晚期銅器，銘文中的“膳夫”皆作“善夫”。</w:t>
      </w:r>
    </w:p>
    <w:p w14:paraId="6A044462" w14:textId="55441426" w:rsidR="00AB1FCD" w:rsidRDefault="00AB1FCD" w:rsidP="00AB1FCD">
      <w:pPr>
        <w:widowControl/>
        <w:spacing w:beforeLines="50" w:before="180" w:line="480" w:lineRule="auto"/>
        <w:ind w:firstLine="480"/>
        <w:jc w:val="left"/>
        <w:rPr>
          <w:rFonts w:cs="宋体"/>
          <w:kern w:val="0"/>
          <w:sz w:val="28"/>
          <w:szCs w:val="24"/>
        </w:rPr>
      </w:pPr>
      <w:r>
        <w:rPr>
          <w:rFonts w:cs="宋体" w:hint="eastAsia"/>
          <w:kern w:val="0"/>
          <w:sz w:val="28"/>
          <w:szCs w:val="24"/>
        </w:rPr>
        <w:t>周代青銅器銘文中，有時在所做器名之上加有“善”字，這種青銅器約有十餘件，除兩件爲西周晚期器外（</w:t>
      </w:r>
      <w:r>
        <w:rPr>
          <w:rFonts w:ascii="SimSun-ExtB" w:eastAsia="SimSun-ExtB" w:hAnsi="SimSun-ExtB" w:cs="SimSun-ExtB" w:hint="eastAsia"/>
          <w:kern w:val="0"/>
          <w:sz w:val="28"/>
          <w:szCs w:val="24"/>
        </w:rPr>
        <w:t>𨾴</w:t>
      </w:r>
      <w:r>
        <w:rPr>
          <w:rFonts w:cs="宋体" w:hint="eastAsia"/>
          <w:kern w:val="0"/>
          <w:sz w:val="28"/>
          <w:szCs w:val="24"/>
        </w:rPr>
        <w:t>姒簋、</w:t>
      </w:r>
      <w:r>
        <w:rPr>
          <w:noProof/>
        </w:rPr>
        <w:drawing>
          <wp:inline distT="0" distB="0" distL="0" distR="0" wp14:anchorId="7A0D0157" wp14:editId="273A6EB4">
            <wp:extent cx="133350" cy="152400"/>
            <wp:effectExtent l="0" t="0" r="0" b="0"/>
            <wp:docPr id="18" name="图片 18"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图片"/>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a:noFill/>
                    </a:ln>
                  </pic:spPr>
                </pic:pic>
              </a:graphicData>
            </a:graphic>
          </wp:inline>
        </w:drawing>
      </w:r>
      <w:r>
        <w:rPr>
          <w:rFonts w:ascii="Helvetica Neue" w:hAnsi="Helvetica Neue" w:hint="eastAsia"/>
          <w:color w:val="3E3E3E"/>
          <w:spacing w:val="8"/>
          <w:sz w:val="28"/>
          <w:szCs w:val="28"/>
          <w:shd w:val="clear" w:color="auto" w:fill="FFFFFF"/>
        </w:rPr>
        <w:t>氏</w:t>
      </w:r>
      <w:r>
        <w:rPr>
          <w:noProof/>
        </w:rPr>
        <w:drawing>
          <wp:inline distT="0" distB="0" distL="0" distR="0" wp14:anchorId="5FF96FA6" wp14:editId="6CB4A55A">
            <wp:extent cx="133350" cy="152400"/>
            <wp:effectExtent l="0" t="0" r="0" b="0"/>
            <wp:docPr id="17" name="图片 17"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图片"/>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a:noFill/>
                    </a:ln>
                  </pic:spPr>
                </pic:pic>
              </a:graphicData>
            </a:graphic>
          </wp:inline>
        </w:drawing>
      </w:r>
      <w:r>
        <w:rPr>
          <w:noProof/>
        </w:rPr>
        <w:drawing>
          <wp:inline distT="0" distB="0" distL="0" distR="0" wp14:anchorId="7F3D15AF" wp14:editId="372C2921">
            <wp:extent cx="152400" cy="161925"/>
            <wp:effectExtent l="0" t="0" r="0" b="9525"/>
            <wp:docPr id="16" name="图片 16"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图片"/>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Pr>
          <w:rFonts w:cs="宋体" w:hint="eastAsia"/>
          <w:kern w:val="0"/>
          <w:sz w:val="28"/>
          <w:szCs w:val="24"/>
        </w:rPr>
        <w:t>），皆屬春秋時器。加“善”字的器名有鼎、敦、簋、</w:t>
      </w:r>
      <w:r>
        <w:rPr>
          <w:noProof/>
        </w:rPr>
        <w:drawing>
          <wp:inline distT="0" distB="0" distL="0" distR="0" wp14:anchorId="6575C75E" wp14:editId="37C66BDF">
            <wp:extent cx="133350" cy="133350"/>
            <wp:effectExtent l="0" t="0" r="0" b="0"/>
            <wp:docPr id="15" name="图片 15"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descr="图片"/>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Pr>
          <w:rFonts w:cs="宋体" w:hint="eastAsia"/>
          <w:b/>
          <w:bCs/>
          <w:color w:val="A0A0A0"/>
          <w:kern w:val="0"/>
          <w:sz w:val="21"/>
          <w:szCs w:val="21"/>
        </w:rPr>
        <w:t>（一般釋讀爲“簠”，實即“胡簋”之“胡”的本字，詳下文）</w:t>
      </w:r>
      <w:r>
        <w:rPr>
          <w:rFonts w:cs="宋体" w:hint="eastAsia"/>
          <w:kern w:val="0"/>
          <w:sz w:val="28"/>
          <w:szCs w:val="24"/>
        </w:rPr>
        <w:t>、簠</w:t>
      </w:r>
      <w:r>
        <w:rPr>
          <w:rFonts w:cs="宋体" w:hint="eastAsia"/>
          <w:b/>
          <w:bCs/>
          <w:color w:val="A0A0A0"/>
          <w:kern w:val="0"/>
          <w:sz w:val="21"/>
          <w:szCs w:val="21"/>
        </w:rPr>
        <w:t>（器形近於豆，現在一般稱“鋪”，實應稱“簠”，詳下文）</w:t>
      </w:r>
      <w:r>
        <w:rPr>
          <w:rFonts w:cs="宋体" w:hint="eastAsia"/>
          <w:kern w:val="0"/>
          <w:sz w:val="28"/>
          <w:szCs w:val="24"/>
        </w:rPr>
        <w:t>、</w:t>
      </w:r>
      <w:r>
        <w:rPr>
          <w:noProof/>
        </w:rPr>
        <w:drawing>
          <wp:inline distT="0" distB="0" distL="0" distR="0" wp14:anchorId="726E5775" wp14:editId="770BDD44">
            <wp:extent cx="152400" cy="161925"/>
            <wp:effectExtent l="0" t="0" r="0" b="9525"/>
            <wp:docPr id="14" name="图片 1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图片"/>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Pr>
          <w:rFonts w:cs="宋体" w:hint="eastAsia"/>
          <w:kern w:val="0"/>
          <w:sz w:val="28"/>
          <w:szCs w:val="24"/>
        </w:rPr>
        <w:t>，這些銅器中除</w:t>
      </w:r>
      <w:r>
        <w:rPr>
          <w:noProof/>
        </w:rPr>
        <w:drawing>
          <wp:inline distT="0" distB="0" distL="0" distR="0" wp14:anchorId="2FC5CCF3" wp14:editId="52544345">
            <wp:extent cx="152400" cy="161925"/>
            <wp:effectExtent l="0" t="0" r="0" b="9525"/>
            <wp:docPr id="73" name="图片 7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descr="图片"/>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Pr>
          <w:rFonts w:cs="宋体" w:hint="eastAsia"/>
          <w:kern w:val="0"/>
          <w:sz w:val="28"/>
          <w:szCs w:val="24"/>
        </w:rPr>
        <w:t>的性質不明外，皆爲食器，從</w:t>
      </w:r>
      <w:r>
        <w:rPr>
          <w:noProof/>
        </w:rPr>
        <w:drawing>
          <wp:inline distT="0" distB="0" distL="0" distR="0" wp14:anchorId="0E1E1C71" wp14:editId="29C0D593">
            <wp:extent cx="152400" cy="161925"/>
            <wp:effectExtent l="0" t="0" r="0" b="9525"/>
            <wp:docPr id="13" name="图片 1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descr="图片"/>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Pr>
          <w:rFonts w:cs="宋体" w:hint="eastAsia"/>
          <w:kern w:val="0"/>
          <w:sz w:val="28"/>
          <w:szCs w:val="24"/>
        </w:rPr>
        <w:t>的形制看估計亦爲食器，謝明文告知，戰國時西</w:t>
      </w:r>
      <w:r>
        <w:rPr>
          <w:rFonts w:cs="宋体"/>
          <w:noProof/>
          <w:szCs w:val="24"/>
        </w:rPr>
        <w:drawing>
          <wp:inline distT="0" distB="0" distL="0" distR="0" wp14:anchorId="3435D51F" wp14:editId="79901510">
            <wp:extent cx="133350" cy="147955"/>
            <wp:effectExtent l="0" t="0" r="0"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33350" cy="147955"/>
                    </a:xfrm>
                    <a:prstGeom prst="rect">
                      <a:avLst/>
                    </a:prstGeom>
                    <a:noFill/>
                    <a:ln>
                      <a:noFill/>
                    </a:ln>
                  </pic:spPr>
                </pic:pic>
              </a:graphicData>
            </a:graphic>
          </wp:inline>
        </w:drawing>
      </w:r>
      <w:r>
        <w:rPr>
          <w:rFonts w:cs="宋体" w:hint="eastAsia"/>
          <w:kern w:val="0"/>
          <w:sz w:val="28"/>
          <w:szCs w:val="24"/>
        </w:rPr>
        <w:t>盆銘文自稱爲“饙鉦</w:t>
      </w:r>
      <w:r>
        <w:rPr>
          <w:noProof/>
        </w:rPr>
        <w:drawing>
          <wp:inline distT="0" distB="0" distL="0" distR="0" wp14:anchorId="103DD756" wp14:editId="60289994">
            <wp:extent cx="152400" cy="161925"/>
            <wp:effectExtent l="0" t="0" r="0" b="9525"/>
            <wp:docPr id="11" name="图片 1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图片"/>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Pr>
          <w:rFonts w:cs="宋体" w:hint="eastAsia"/>
          <w:kern w:val="0"/>
          <w:sz w:val="28"/>
          <w:szCs w:val="24"/>
        </w:rPr>
        <w:t>”，可見</w:t>
      </w:r>
      <w:r>
        <w:rPr>
          <w:noProof/>
        </w:rPr>
        <w:drawing>
          <wp:inline distT="0" distB="0" distL="0" distR="0" wp14:anchorId="2F7AC640" wp14:editId="62402D99">
            <wp:extent cx="152400" cy="161925"/>
            <wp:effectExtent l="0" t="0" r="0" b="9525"/>
            <wp:docPr id="10" name="图片 10"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descr="图片"/>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Pr>
          <w:rFonts w:cs="宋体" w:hint="eastAsia"/>
          <w:kern w:val="0"/>
          <w:sz w:val="28"/>
          <w:szCs w:val="24"/>
        </w:rPr>
        <w:t>確有可能是食器。各家大都讀器名上“善”字爲“膳”，應可信。从“肉”的“膳”至晚在春秋時代已經出現</w:t>
      </w:r>
      <w:r>
        <w:rPr>
          <w:rFonts w:cs="宋体" w:hint="eastAsia"/>
          <w:b/>
          <w:bCs/>
          <w:color w:val="A0A0A0"/>
          <w:kern w:val="0"/>
          <w:sz w:val="21"/>
          <w:szCs w:val="21"/>
        </w:rPr>
        <w:t>（“膳”字含義詳下）</w:t>
      </w:r>
      <w:r>
        <w:rPr>
          <w:rFonts w:cs="宋体" w:hint="eastAsia"/>
          <w:kern w:val="0"/>
          <w:sz w:val="28"/>
          <w:szCs w:val="24"/>
        </w:rPr>
        <w:t>，春秋時的益余敦、齊侯敦在器名“敦”之上所加之字已作“</w:t>
      </w:r>
      <w:r>
        <w:rPr>
          <w:noProof/>
        </w:rPr>
        <w:drawing>
          <wp:inline distT="0" distB="0" distL="0" distR="0" wp14:anchorId="14144E15" wp14:editId="1C0DFADD">
            <wp:extent cx="133350" cy="152400"/>
            <wp:effectExtent l="0" t="0" r="0" b="0"/>
            <wp:docPr id="8" name="图片 8"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descr="图片"/>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3350" cy="152400"/>
                    </a:xfrm>
                    <a:prstGeom prst="rect">
                      <a:avLst/>
                    </a:prstGeom>
                    <a:noFill/>
                    <a:ln>
                      <a:noFill/>
                    </a:ln>
                  </pic:spPr>
                </pic:pic>
              </a:graphicData>
            </a:graphic>
          </wp:inline>
        </w:drawing>
      </w:r>
      <w:r>
        <w:rPr>
          <w:rFonts w:cs="宋体" w:hint="eastAsia"/>
          <w:kern w:val="0"/>
          <w:sz w:val="28"/>
          <w:szCs w:val="24"/>
        </w:rPr>
        <w:t>（膳）”，但春秋時代多數青銅器銘仍以“善”表“膳”。</w:t>
      </w:r>
    </w:p>
    <w:p w14:paraId="01DCC14D"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lastRenderedPageBreak/>
        <w:t>在已見的戰國文字資料中，只有郭店簡《語叢一》和《語叢三》中出現了九個“膳”字，不過都不是表示“膳”義，而是借表“善”義的，前面講“善”字各種用法的時候都已在相關部分引出。以“膳”表“善”的用法相當特殊，不知是否書寫者也認爲“善”“膳”本由一字分化的緣故。</w:t>
      </w:r>
    </w:p>
    <w:p w14:paraId="7918DE7D"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先秦古書中罕見以“善”表“膳”之例，但《莊子·至樂》有“具太牢以爲膳”文，元代《古今韻會舉要》“膳”字條“膳，亦作善”語下所引《至樂》此句“膳”字則作“善”，據此在《莊子》古本中此“膳”字本作“善”，今本此字的肉旁是後來加上的，看來傳世先秦古書中的“膳”有不少是在流傳過程中由“善”改爲“膳”的。</w:t>
      </w:r>
    </w:p>
    <w:p w14:paraId="3A38C39E"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從“善”的字形从羊，以及“善”在先秦文獻中使用的情況來看，的確如楊樹達所説，“善”可能是“膳”的初文。但即使承認這一點，對“善”字字形表示的意義以及“善”的本義仍需進一步加以探討。</w:t>
      </w:r>
    </w:p>
    <w:p w14:paraId="7EE47C37" w14:textId="4D25A72A"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《説文》把“譱（善）”的字形分析爲“从誩，从羊”。《説文·誩部》“誩，競言也，从二言”，同部“競，彊語也”</w:t>
      </w:r>
      <w:r w:rsidRPr="0055724E">
        <w:rPr>
          <w:rFonts w:cs="宋体"/>
          <w:b/>
          <w:bCs/>
          <w:color w:val="A0A0A0"/>
          <w:kern w:val="0"/>
          <w:sz w:val="21"/>
          <w:szCs w:val="21"/>
        </w:rPr>
        <w:t>（段注“彊語謂相爭”）</w:t>
      </w:r>
      <w:r w:rsidRPr="0055724E">
        <w:rPr>
          <w:rFonts w:cs="宋体"/>
          <w:kern w:val="0"/>
          <w:sz w:val="28"/>
          <w:szCs w:val="24"/>
        </w:rPr>
        <w:t>，一般認爲“競”的字形象二人爭言之義，“誩”爲“競”的省形，可從。“譱（善）”所从的“羊”應代表以牛羊等較高級的食物做成的</w:t>
      </w:r>
      <w:r w:rsidRPr="0055724E">
        <w:rPr>
          <w:rFonts w:cs="宋体"/>
          <w:kern w:val="0"/>
          <w:sz w:val="28"/>
          <w:szCs w:val="24"/>
        </w:rPr>
        <w:lastRenderedPageBreak/>
        <w:t>美味，从“誩”从“羊”蓋會食者競言其美之意。我們懷疑“善”本來是用來稱贊做得好的美味的一個詞。前面説過，稱贊別人説話説得好可以單用一個“善”字，其義可以理解爲“説得好”，稱贊食物做得好的“善”當然也可以理解爲“（食物）做得好”。如果“善”字的原始意義真的如此，它在使用過程中應該很容易產生出“把/能把食物做得很好”一類意義。所謂“善（膳）夫”其本來意義應該就是“把/能把食物做得很好的人”，相當於我們現在所説的廚夫或廚師。西周中期師</w:t>
      </w:r>
      <w:r w:rsidR="00AB1FCD">
        <w:rPr>
          <w:noProof/>
        </w:rPr>
        <w:drawing>
          <wp:inline distT="0" distB="0" distL="0" distR="0" wp14:anchorId="19C7A616" wp14:editId="4E05B437">
            <wp:extent cx="152400" cy="161925"/>
            <wp:effectExtent l="0" t="0" r="0" b="9525"/>
            <wp:docPr id="19" name="图片 19"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图片"/>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55724E">
        <w:rPr>
          <w:rFonts w:cs="宋体"/>
          <w:kern w:val="0"/>
          <w:sz w:val="28"/>
          <w:szCs w:val="24"/>
        </w:rPr>
        <w:t>鼎銘載周王命師</w:t>
      </w:r>
      <w:r w:rsidR="00AB1FCD">
        <w:rPr>
          <w:noProof/>
        </w:rPr>
        <w:drawing>
          <wp:inline distT="0" distB="0" distL="0" distR="0" wp14:anchorId="437B86CF" wp14:editId="723FBC56">
            <wp:extent cx="152400" cy="161925"/>
            <wp:effectExtent l="0" t="0" r="0" b="9525"/>
            <wp:docPr id="20" name="图片 20"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图片"/>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55724E">
        <w:rPr>
          <w:rFonts w:cs="宋体"/>
          <w:kern w:val="0"/>
          <w:sz w:val="28"/>
          <w:szCs w:val="24"/>
        </w:rPr>
        <w:t>“胥師俗司邑人，唯小臣、譱（膳）夫、守□官犬</w:t>
      </w:r>
      <w:r w:rsidRPr="0055724E">
        <w:rPr>
          <w:rFonts w:cs="宋体"/>
          <w:b/>
          <w:bCs/>
          <w:color w:val="A0A0A0"/>
          <w:kern w:val="0"/>
          <w:sz w:val="21"/>
          <w:szCs w:val="21"/>
        </w:rPr>
        <w:t>（此四字間應如何加標點待考）</w:t>
      </w:r>
      <w:r w:rsidRPr="0055724E">
        <w:rPr>
          <w:rFonts w:cs="宋体"/>
          <w:kern w:val="0"/>
          <w:sz w:val="28"/>
          <w:szCs w:val="24"/>
        </w:rPr>
        <w:t>，眔甸人、譱（膳）夫、官守友</w:t>
      </w:r>
      <w:r w:rsidRPr="0055724E">
        <w:rPr>
          <w:rFonts w:cs="宋体"/>
          <w:b/>
          <w:bCs/>
          <w:color w:val="A0A0A0"/>
          <w:kern w:val="0"/>
          <w:sz w:val="21"/>
          <w:szCs w:val="21"/>
        </w:rPr>
        <w:t>（此三字間應如何加標點待考）</w:t>
      </w:r>
      <w:r w:rsidRPr="0055724E">
        <w:rPr>
          <w:rFonts w:cs="宋体"/>
          <w:kern w:val="0"/>
          <w:sz w:val="28"/>
          <w:szCs w:val="24"/>
        </w:rPr>
        <w:t>”，此銘中的“膳夫”應是一般的地位較低的膳夫，而在西周晚期銅器銘文中出現的“膳夫”則都是朝廷上地位相當高的官員，《詩·大雅·雲漢》爲宣王時詩，《小雅·十月之交》爲幽王時詩，其中提到的“膳夫”地位也很高。“宰”本是庖廚中主宰割之人的名稱，後來也用爲朝廷中職官的名稱，有些“宰”地位很高，情況與此相類。</w:t>
      </w:r>
    </w:p>
    <w:p w14:paraId="6FB9CA55"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如果情況真是這樣，上面提到的“善”的意義似可合爲一組，看作“善”的本義。前面梳理“善”的各種用法時已經指出，“善”字的核心意義應該是“把/能把事做得很好”，其他意義都是這一核心</w:t>
      </w:r>
      <w:r w:rsidRPr="0055724E">
        <w:rPr>
          <w:rFonts w:cs="宋体"/>
          <w:kern w:val="0"/>
          <w:sz w:val="28"/>
          <w:szCs w:val="24"/>
        </w:rPr>
        <w:lastRenderedPageBreak/>
        <w:t>意義或近或遠的引申義。這一核心意義本身應該就是由這裏所説的“善”的本義通過詞義擴大、泛化的途徑引申出來的。而那些單用一個“善”字來稱贊別人把話講得好、打仗打得好等等情況的用法，也許是由單用一個“善”字來稱贊別人把食物做得好的用法</w:t>
      </w:r>
      <w:r w:rsidRPr="0055724E">
        <w:rPr>
          <w:rFonts w:cs="宋体"/>
          <w:b/>
          <w:bCs/>
          <w:color w:val="A0A0A0"/>
          <w:kern w:val="0"/>
          <w:sz w:val="21"/>
          <w:szCs w:val="21"/>
        </w:rPr>
        <w:t>（由“善”字字形表示的意義來看，似乎可以看作“善”的原始用法）</w:t>
      </w:r>
      <w:r w:rsidRPr="0055724E">
        <w:rPr>
          <w:rFonts w:cs="宋体"/>
          <w:kern w:val="0"/>
          <w:sz w:val="28"/>
          <w:szCs w:val="24"/>
        </w:rPr>
        <w:t>直接發展而來的。</w:t>
      </w:r>
    </w:p>
    <w:p w14:paraId="5A490AB0"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前面梳理過的“善”的各種用法，是“善”字本義最重要的一支引申義，此外從“善”字本義還引申出了一些與食物相關的意義，這些意義在“膳”字出現之後，就逐漸都用“膳”字來表示了</w:t>
      </w:r>
      <w:r w:rsidRPr="0055724E">
        <w:rPr>
          <w:rFonts w:cs="宋体"/>
          <w:b/>
          <w:bCs/>
          <w:color w:val="A0A0A0"/>
          <w:kern w:val="0"/>
          <w:sz w:val="21"/>
          <w:szCs w:val="21"/>
        </w:rPr>
        <w:t>（連表示本義的“善夫”的“善”也改用“膳”字了。我們在先秦文獻中尚未找到單獨用來稱贊食物做得好的“善”，不過，這種用法的“善”由於跟稱贊其他事情做得好的“善”如稱贊話講得好的“善”用法太相近，估計是不會改用“膳”字的）</w:t>
      </w:r>
      <w:r w:rsidRPr="0055724E">
        <w:rPr>
          <w:rFonts w:cs="宋体"/>
          <w:kern w:val="0"/>
          <w:sz w:val="28"/>
          <w:szCs w:val="24"/>
        </w:rPr>
        <w:t>，有些意義甚至可能是“膳”字出現之後才產生的。下面舉一些“善”字與食物相關的引申義的用例，稍加説明。</w:t>
      </w:r>
    </w:p>
    <w:p w14:paraId="1305372A"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“膳”可以用來指已經做好的食物，在古代多指比較精美的食物。鄭玄在《周禮·天官·敘官》“膳夫”條下注：“膳之言善也，今時美物曰珍膳。”</w:t>
      </w:r>
      <w:r w:rsidRPr="00965627">
        <w:rPr>
          <w:rStyle w:val="ae"/>
          <w:rFonts w:cs="宋体"/>
          <w:kern w:val="0"/>
          <w:sz w:val="28"/>
          <w:szCs w:val="24"/>
        </w:rPr>
        <w:endnoteReference w:id="200"/>
      </w:r>
      <w:r w:rsidRPr="0055724E">
        <w:rPr>
          <w:rFonts w:cs="宋体"/>
          <w:kern w:val="0"/>
          <w:sz w:val="28"/>
          <w:szCs w:val="24"/>
        </w:rPr>
        <w:t>《禮記·内則》在講對老年人的飲食要加以優待時説“五十異粻，六十宿肉，七十二膳，八十常珍，九十飲食不違寢、膳飲從於遊可也”，此段文字亦見於《禮記·王制》</w:t>
      </w:r>
      <w:r w:rsidRPr="0055724E">
        <w:rPr>
          <w:rFonts w:cs="宋体"/>
          <w:b/>
          <w:bCs/>
          <w:color w:val="A0A0A0"/>
          <w:kern w:val="0"/>
          <w:sz w:val="21"/>
          <w:szCs w:val="21"/>
        </w:rPr>
        <w:t>（《内則》“二膳”</w:t>
      </w:r>
      <w:r w:rsidRPr="0055724E">
        <w:rPr>
          <w:rFonts w:cs="宋体"/>
          <w:b/>
          <w:bCs/>
          <w:color w:val="A0A0A0"/>
          <w:kern w:val="0"/>
          <w:sz w:val="21"/>
          <w:szCs w:val="21"/>
        </w:rPr>
        <w:lastRenderedPageBreak/>
        <w:t>《王制》作“貳膳”）</w:t>
      </w:r>
      <w:r w:rsidRPr="0055724E">
        <w:rPr>
          <w:rFonts w:cs="宋体"/>
          <w:kern w:val="0"/>
          <w:sz w:val="28"/>
          <w:szCs w:val="24"/>
        </w:rPr>
        <w:t>，《王制》孔穎達《正義》：“七十貳膳者，貳，副也。膳，善食也。恒令善食有儲副，不使有闕也，……‘膳飲從於遊可也’者，謂美善之膳、水漿之飲從於老人所遊之處，其理可也”。</w:t>
      </w:r>
      <w:r w:rsidRPr="00965627">
        <w:rPr>
          <w:rStyle w:val="ae"/>
          <w:rFonts w:cs="宋体"/>
          <w:kern w:val="0"/>
          <w:sz w:val="28"/>
          <w:szCs w:val="24"/>
        </w:rPr>
        <w:endnoteReference w:id="201"/>
      </w:r>
      <w:r w:rsidRPr="0055724E">
        <w:rPr>
          <w:rFonts w:cs="宋体"/>
          <w:kern w:val="0"/>
          <w:sz w:val="28"/>
          <w:szCs w:val="24"/>
        </w:rPr>
        <w:t>如果“膳”的本義是“把/能把食物做得很好”，用“膳”來指做好的食物的時候，其所指當然應該是“今時美物”，所以鄭玄等認爲“膳”字的聲旁“善”有義。由於“膳”在使用過程中詞義泛化，“膳”所具有的精美的特點逐漸爲人們所忽略，從上引鄭玄對《周禮·天官·敘官》“膳夫”的注可以看出，在鄭玄的時代，爲了表示“膳”的古義，就必須在當時所用的“膳”字上加一個“珍”字了。不過，直到今天，“膳”字仍有比較鄭重、文雅的語用色彩，如“請用膳”“提供膳宿”等等。</w:t>
      </w:r>
    </w:p>
    <w:p w14:paraId="13D85A16"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膳”在與其他飲食對舉時專指主要的肉食，《周禮·天官》“膳夫”職：“膳夫掌王之食飲膳羞，以養王及后世子。凡王之饋，食用六穀，膳用六牲，飲用六清，羞用百二十品……”鄭玄注：“食，飯也。飲，酒漿也。膳，牲肉也。羞，有滋味者。……六牲，馬牛羊豕犬雞也</w:t>
      </w:r>
      <w:r w:rsidRPr="0055724E">
        <w:rPr>
          <w:rFonts w:cs="宋体"/>
          <w:b/>
          <w:bCs/>
          <w:color w:val="A0A0A0"/>
          <w:kern w:val="0"/>
          <w:sz w:val="21"/>
          <w:szCs w:val="21"/>
        </w:rPr>
        <w:t>（王引之《經義述聞·周官上·膳用六牲》指出鄭玄注“六牲”用《周禮·地官》“牧人”職所舉六牲之名，《周禮·天官》“食醫”職所舉六牲之名則爲牛羊豕犬雁鱼，此處“六牲”當指“食醫”職之六牲</w:t>
      </w:r>
      <w:r>
        <w:rPr>
          <w:rStyle w:val="ae"/>
          <w:rFonts w:cs="宋体"/>
          <w:b/>
          <w:bCs/>
          <w:color w:val="A0A0A0"/>
          <w:kern w:val="0"/>
          <w:sz w:val="21"/>
          <w:szCs w:val="21"/>
        </w:rPr>
        <w:endnoteReference w:id="202"/>
      </w:r>
      <w:r w:rsidRPr="0055724E">
        <w:rPr>
          <w:rFonts w:cs="宋体"/>
          <w:b/>
          <w:bCs/>
          <w:color w:val="A0A0A0"/>
          <w:kern w:val="0"/>
          <w:sz w:val="21"/>
          <w:szCs w:val="21"/>
        </w:rPr>
        <w:t>。後人多從王説）</w:t>
      </w:r>
      <w:r w:rsidRPr="0055724E">
        <w:rPr>
          <w:rFonts w:cs="宋体"/>
          <w:kern w:val="0"/>
          <w:sz w:val="28"/>
          <w:szCs w:val="24"/>
        </w:rPr>
        <w:t>。羞，出於牲及禽獸，以</w:t>
      </w:r>
      <w:r w:rsidRPr="0055724E">
        <w:rPr>
          <w:rFonts w:cs="宋体"/>
          <w:kern w:val="0"/>
          <w:sz w:val="28"/>
          <w:szCs w:val="24"/>
        </w:rPr>
        <w:lastRenderedPageBreak/>
        <w:t>備滋味，謂之庶羞。”“善”字从“羊”，“膳”在與其它食物對舉時所用的意義很可能是指食物的“膳”的較原始的意義。《莊子·至樂》“奏九韶以爲樂，具太牢以爲膳”，“太牢”之“膳”當然是最高級的膳。《韓非子·外儲説左下》言楚相孫叔敖飲食之節儉有“糲飯菜羹，枯魚之膳”之語，據王引之説，魚是《周禮》膳所用六牲的最末一種，枯魚就是乾魚，“枯魚之膳”可説是最低級的膳了。但“膳”大概很早就產生了指所有精美的食物的泛稱用法，《左傳·閔公二年》“里克諫曰：大子奉冢祀社稷之粢盛，以朝夕視君膳者也”杜預注“膳，廚膳”</w:t>
      </w:r>
      <w:r w:rsidRPr="00965627">
        <w:rPr>
          <w:rStyle w:val="ae"/>
          <w:rFonts w:cs="宋体"/>
          <w:kern w:val="0"/>
          <w:sz w:val="28"/>
          <w:szCs w:val="24"/>
        </w:rPr>
        <w:endnoteReference w:id="203"/>
      </w:r>
      <w:r w:rsidRPr="0055724E">
        <w:rPr>
          <w:rFonts w:cs="宋体"/>
          <w:kern w:val="0"/>
          <w:sz w:val="28"/>
          <w:szCs w:val="24"/>
        </w:rPr>
        <w:t>，太子監察國君的廚房中爲君準備的“膳”，當然不會局限於牲肉之“膳”，而是包括爲君準備的全部食物的。</w:t>
      </w:r>
    </w:p>
    <w:p w14:paraId="4480C11F"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“膳”字又可以用來表示以“膳”爲對象的不少動作、行爲。</w:t>
      </w:r>
    </w:p>
    <w:p w14:paraId="5E08B811"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膳”有“盛膳”之義。我們前面講過周代銅器銘文有時在自稱器名前加有“善（膳）”字，這種“膳”字應即用“盛膳”義。鼎所盛的一般爲肉食。簠、簋、敦爲盛黍稷稻粱器，其所盛應爲做好的黍稷稻粱等飯食，屬於泛稱用法的“膳”的範圍。</w:t>
      </w:r>
    </w:p>
    <w:p w14:paraId="47B8D742"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“膳”有“進膳”之義。《儀禮·公食大夫禮》“宰夫授公飯粱，公設之于湆西。……宰夫膳稻于粱西”，鄭玄注：“膳，猶進也。進</w:t>
      </w:r>
      <w:r w:rsidRPr="0055724E">
        <w:rPr>
          <w:rFonts w:cs="宋体"/>
          <w:kern w:val="0"/>
          <w:sz w:val="28"/>
          <w:szCs w:val="24"/>
        </w:rPr>
        <w:lastRenderedPageBreak/>
        <w:t>稻粱者以簠。”</w:t>
      </w:r>
      <w:r w:rsidRPr="00965627">
        <w:rPr>
          <w:rStyle w:val="ae"/>
          <w:rFonts w:cs="宋体"/>
          <w:kern w:val="0"/>
          <w:sz w:val="28"/>
          <w:szCs w:val="24"/>
        </w:rPr>
        <w:endnoteReference w:id="204"/>
      </w:r>
      <w:r w:rsidRPr="0055724E">
        <w:rPr>
          <w:rFonts w:cs="宋体"/>
          <w:kern w:val="0"/>
          <w:sz w:val="28"/>
          <w:szCs w:val="24"/>
        </w:rPr>
        <w:t>鄭玄説“進稻粱者以簠”，在經文中是有内證的，在我們所引經文的下文中説到賓的動作有“左擁簠粱，右執湆，以降”一語，可知宰夫授公的飯粱是盛在簠裏的，設於粱西的稻當然也是盛在簠裏的。</w:t>
      </w:r>
    </w:p>
    <w:p w14:paraId="053E3A3C" w14:textId="1FFABAB2"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在這裏我們有必要對簠的形制問題略作説明。周代青銅器中有一種器口作長方形，器身作斗狀，上有與器身完全同形的蓋的盛食器，自宋代以來，金石學家都認爲這就是古書中常與簋連言的“簠”，《周禮·地官·舍人》“共簠簋”鄭玄注：“方曰簠，圓曰簋，盛黍稷稻粱器。”</w:t>
      </w:r>
      <w:r w:rsidRPr="00965627">
        <w:rPr>
          <w:rStyle w:val="ae"/>
          <w:rFonts w:cs="宋体"/>
          <w:kern w:val="0"/>
          <w:sz w:val="28"/>
          <w:szCs w:val="24"/>
        </w:rPr>
        <w:endnoteReference w:id="205"/>
      </w:r>
      <w:r w:rsidRPr="0055724E">
        <w:rPr>
          <w:rFonts w:cs="宋体"/>
          <w:kern w:val="0"/>
          <w:sz w:val="28"/>
          <w:szCs w:val="24"/>
        </w:rPr>
        <w:t>這種方形銅器的銘文中也時常説它們是用來盛稻粱的</w:t>
      </w:r>
      <w:r w:rsidRPr="00965627">
        <w:rPr>
          <w:rStyle w:val="ae"/>
          <w:rFonts w:ascii="金文宋體" w:eastAsia="金文宋體" w:hAnsi="Malgun Gothic" w:cs="Malgun Gothic"/>
          <w:color w:val="000000"/>
          <w:kern w:val="0"/>
          <w:sz w:val="28"/>
          <w:szCs w:val="24"/>
        </w:rPr>
        <w:endnoteReference w:id="206"/>
      </w:r>
      <w:r w:rsidRPr="0055724E">
        <w:rPr>
          <w:rFonts w:cs="宋体"/>
          <w:kern w:val="0"/>
          <w:sz w:val="28"/>
          <w:szCs w:val="24"/>
        </w:rPr>
        <w:t>，看來認爲這種青銅器就是先秦文獻中屢見的“簠簋”之簠，好像是很合理的，所以此説長期爲人遵循。但是到了上世紀七八十年代，唐蘭、高明二位學者先後提出了不同意這種傳統説法的意見，他們指出從所謂“簠”的銘文中自稱其名之字來看，除去一部分自稱爲“</w:t>
      </w:r>
      <w:r w:rsidR="00AB1FCD">
        <w:rPr>
          <w:noProof/>
        </w:rPr>
        <w:drawing>
          <wp:inline distT="0" distB="0" distL="0" distR="0" wp14:anchorId="14B5C4E8" wp14:editId="32C4E49A">
            <wp:extent cx="152400" cy="161925"/>
            <wp:effectExtent l="0" t="0" r="0" b="9525"/>
            <wp:docPr id="21" name="图片 2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图片"/>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55724E">
        <w:rPr>
          <w:rFonts w:cs="宋体"/>
          <w:kern w:val="0"/>
          <w:sz w:val="28"/>
          <w:szCs w:val="24"/>
        </w:rPr>
        <w:t>（筐）”者，其所用之字的聲旁古音都與“胡”相近，由此可以斷定這種銅器就是古書所稱“胡簋”</w:t>
      </w:r>
      <w:r w:rsidRPr="0055724E">
        <w:rPr>
          <w:rFonts w:cs="宋体"/>
          <w:b/>
          <w:bCs/>
          <w:color w:val="A0A0A0"/>
          <w:kern w:val="0"/>
          <w:sz w:val="21"/>
          <w:szCs w:val="21"/>
        </w:rPr>
        <w:t>（見《左傳·哀公十一年》）</w:t>
      </w:r>
      <w:r w:rsidRPr="0055724E">
        <w:rPr>
          <w:rFonts w:cs="宋体"/>
          <w:kern w:val="0"/>
          <w:sz w:val="28"/>
          <w:szCs w:val="24"/>
        </w:rPr>
        <w:t>或“瑚璉”</w:t>
      </w:r>
      <w:r w:rsidRPr="0055724E">
        <w:rPr>
          <w:rFonts w:cs="宋体"/>
          <w:b/>
          <w:bCs/>
          <w:color w:val="A0A0A0"/>
          <w:kern w:val="0"/>
          <w:sz w:val="21"/>
          <w:szCs w:val="21"/>
        </w:rPr>
        <w:t>（見《論語·公冶長》）</w:t>
      </w:r>
      <w:r w:rsidRPr="0055724E">
        <w:rPr>
          <w:rFonts w:cs="宋体"/>
          <w:kern w:val="0"/>
          <w:sz w:val="28"/>
          <w:szCs w:val="24"/>
        </w:rPr>
        <w:t>中以“胡”或“瑚”表示的那種器物</w:t>
      </w:r>
      <w:r w:rsidRPr="00965627">
        <w:rPr>
          <w:rStyle w:val="ae"/>
          <w:rFonts w:ascii="金文宋體" w:eastAsia="金文宋體" w:hAnsi="Malgun Gothic" w:cs="Malgun Gothic"/>
          <w:color w:val="000000"/>
          <w:kern w:val="0"/>
          <w:sz w:val="28"/>
          <w:szCs w:val="24"/>
        </w:rPr>
        <w:endnoteReference w:id="207"/>
      </w:r>
      <w:r w:rsidRPr="0055724E">
        <w:rPr>
          <w:rFonts w:cs="宋体"/>
          <w:kern w:val="0"/>
          <w:sz w:val="28"/>
          <w:szCs w:val="24"/>
        </w:rPr>
        <w:t>；唐文只提到“瑚璉”，“胡簋”之例是高文增加的。高文还由於伯公父簠銘將器名寫作“</w:t>
      </w:r>
      <w:r>
        <w:rPr>
          <w:rFonts w:ascii="金文宋體" w:eastAsia="金文宋體" w:hAnsi="Malgun Gothic" w:cs="Malgun Gothic" w:hint="eastAsia"/>
          <w:noProof/>
          <w:color w:val="000000"/>
          <w:kern w:val="0"/>
          <w:szCs w:val="24"/>
        </w:rPr>
        <w:drawing>
          <wp:inline distT="0" distB="0" distL="0" distR="0" wp14:anchorId="1E61825D" wp14:editId="1DD2D984">
            <wp:extent cx="163586" cy="159001"/>
            <wp:effectExtent l="0" t="0" r="825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75504" cy="170585"/>
                    </a:xfrm>
                    <a:prstGeom prst="rect">
                      <a:avLst/>
                    </a:prstGeom>
                    <a:noFill/>
                    <a:ln>
                      <a:noFill/>
                    </a:ln>
                  </pic:spPr>
                </pic:pic>
              </a:graphicData>
            </a:graphic>
          </wp:inline>
        </w:drawing>
      </w:r>
      <w:r w:rsidRPr="0055724E">
        <w:rPr>
          <w:rFonts w:cs="宋体"/>
          <w:kern w:val="0"/>
          <w:sz w:val="28"/>
          <w:szCs w:val="24"/>
        </w:rPr>
        <w:fldChar w:fldCharType="begin"/>
      </w:r>
      <w:r w:rsidRPr="0055724E">
        <w:rPr>
          <w:rFonts w:cs="宋体"/>
          <w:kern w:val="0"/>
          <w:sz w:val="28"/>
          <w:szCs w:val="24"/>
        </w:rPr>
        <w:instrText xml:space="preserve"> INCLUDEPICTURE "/Users/yadomimac/Library/Group Containers/UBF8T346G9.ms/WebArchiveCopyPasteTempFiles/com.microsoft.Word/svg%3E" \* MERGEFORMATINET </w:instrText>
      </w:r>
      <w:r w:rsidRPr="0055724E">
        <w:rPr>
          <w:rFonts w:cs="宋体"/>
          <w:kern w:val="0"/>
          <w:sz w:val="28"/>
          <w:szCs w:val="24"/>
        </w:rPr>
        <w:fldChar w:fldCharType="end"/>
      </w:r>
      <w:r w:rsidRPr="0055724E">
        <w:rPr>
          <w:rFonts w:cs="宋体"/>
          <w:kern w:val="0"/>
          <w:sz w:val="28"/>
          <w:szCs w:val="24"/>
        </w:rPr>
        <w:t>”認爲《説文·皿部》訓“器也”的“</w:t>
      </w:r>
      <w:r w:rsidRPr="004B12E2">
        <w:rPr>
          <w:rFonts w:cs="宋体" w:hint="eastAsia"/>
          <w:kern w:val="0"/>
          <w:sz w:val="28"/>
          <w:szCs w:val="24"/>
        </w:rPr>
        <w:t>䀇</w:t>
      </w:r>
      <w:r w:rsidRPr="0055724E">
        <w:rPr>
          <w:rFonts w:cs="宋体"/>
          <w:kern w:val="0"/>
          <w:sz w:val="28"/>
          <w:szCs w:val="24"/>
        </w:rPr>
        <w:fldChar w:fldCharType="begin"/>
      </w:r>
      <w:r w:rsidRPr="0055724E">
        <w:rPr>
          <w:rFonts w:cs="宋体"/>
          <w:kern w:val="0"/>
          <w:sz w:val="28"/>
          <w:szCs w:val="24"/>
        </w:rPr>
        <w:instrText xml:space="preserve"> INCLUDEPICTURE "/Users/yadomimac/Library/Group Containers/UBF8T346G9.ms/WebArchiveCopyPasteTempFiles/com.microsoft.Word/svg%3E" \* MERGEFORMATINET </w:instrText>
      </w:r>
      <w:r w:rsidRPr="0055724E">
        <w:rPr>
          <w:rFonts w:cs="宋体"/>
          <w:kern w:val="0"/>
          <w:sz w:val="28"/>
          <w:szCs w:val="24"/>
        </w:rPr>
        <w:fldChar w:fldCharType="end"/>
      </w:r>
      <w:r w:rsidRPr="0055724E">
        <w:rPr>
          <w:rFonts w:cs="宋体"/>
          <w:kern w:val="0"/>
          <w:sz w:val="28"/>
          <w:szCs w:val="24"/>
        </w:rPr>
        <w:t>”就是胡簋之“胡”在《説</w:t>
      </w:r>
      <w:r w:rsidRPr="0055724E">
        <w:rPr>
          <w:rFonts w:cs="宋体"/>
          <w:kern w:val="0"/>
          <w:sz w:val="28"/>
          <w:szCs w:val="24"/>
        </w:rPr>
        <w:lastRenderedPageBreak/>
        <w:t>文》中的本字</w:t>
      </w:r>
      <w:r w:rsidRPr="0055724E">
        <w:rPr>
          <w:rFonts w:cs="宋体"/>
          <w:b/>
          <w:bCs/>
          <w:color w:val="A0A0A0"/>
          <w:kern w:val="0"/>
          <w:sz w:val="21"/>
          <w:szCs w:val="21"/>
        </w:rPr>
        <w:t>（《新金文編》已據高説將胡簋之胡銘文中自名之字如“</w:t>
      </w:r>
      <w:r w:rsidRPr="004B12E2">
        <w:rPr>
          <w:rFonts w:ascii="SimSun-ExtB" w:eastAsia="SimSun-ExtB" w:hAnsi="SimSun-ExtB" w:cs="SimSun-ExtB" w:hint="eastAsia"/>
          <w:b/>
          <w:bCs/>
          <w:color w:val="A0A0A0"/>
          <w:kern w:val="0"/>
          <w:sz w:val="21"/>
          <w:szCs w:val="21"/>
        </w:rPr>
        <w:t>𠤳</w:t>
      </w:r>
      <w:r w:rsidRPr="0055724E">
        <w:rPr>
          <w:rFonts w:cs="宋体"/>
          <w:b/>
          <w:bCs/>
          <w:kern w:val="0"/>
          <w:szCs w:val="24"/>
        </w:rPr>
        <w:fldChar w:fldCharType="begin"/>
      </w:r>
      <w:r w:rsidRPr="0055724E">
        <w:rPr>
          <w:rFonts w:cs="宋体"/>
          <w:b/>
          <w:bCs/>
          <w:kern w:val="0"/>
          <w:szCs w:val="24"/>
        </w:rPr>
        <w:instrText xml:space="preserve"> INCLUDEPICTURE "/Users/yadomimac/Library/Group Containers/UBF8T346G9.ms/WebArchiveCopyPasteTempFiles/com.microsoft.Word/svg%3E" \* MERGEFORMATINET </w:instrText>
      </w:r>
      <w:r w:rsidRPr="0055724E">
        <w:rPr>
          <w:rFonts w:cs="宋体"/>
          <w:b/>
          <w:bCs/>
          <w:kern w:val="0"/>
          <w:szCs w:val="24"/>
        </w:rPr>
        <w:fldChar w:fldCharType="end"/>
      </w:r>
      <w:r w:rsidRPr="0055724E">
        <w:rPr>
          <w:rFonts w:cs="宋体"/>
          <w:b/>
          <w:bCs/>
          <w:color w:val="A0A0A0"/>
          <w:kern w:val="0"/>
          <w:sz w:val="21"/>
          <w:szCs w:val="21"/>
        </w:rPr>
        <w:t>”“</w:t>
      </w:r>
      <w:r w:rsidRPr="0045218F">
        <w:rPr>
          <w:noProof/>
        </w:rPr>
        <w:drawing>
          <wp:inline distT="0" distB="0" distL="0" distR="0" wp14:anchorId="0F3093BE" wp14:editId="55A086D6">
            <wp:extent cx="127402" cy="133103"/>
            <wp:effectExtent l="0" t="0" r="6350" b="63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2">
                      <a:biLevel thresh="50000"/>
                    </a:blip>
                    <a:srcRect l="8391" r="9608" b="10185"/>
                    <a:stretch/>
                  </pic:blipFill>
                  <pic:spPr bwMode="auto">
                    <a:xfrm>
                      <a:off x="0" y="0"/>
                      <a:ext cx="142640" cy="149023"/>
                    </a:xfrm>
                    <a:prstGeom prst="rect">
                      <a:avLst/>
                    </a:prstGeom>
                    <a:ln>
                      <a:noFill/>
                    </a:ln>
                    <a:extLst>
                      <a:ext uri="{53640926-AAD7-44D8-BBD7-CCE9431645EC}">
                        <a14:shadowObscured xmlns:a14="http://schemas.microsoft.com/office/drawing/2010/main"/>
                      </a:ext>
                    </a:extLst>
                  </pic:spPr>
                </pic:pic>
              </a:graphicData>
            </a:graphic>
          </wp:inline>
        </w:drawing>
      </w:r>
      <w:r w:rsidRPr="0055724E">
        <w:rPr>
          <w:rFonts w:cs="宋体"/>
          <w:b/>
          <w:bCs/>
          <w:color w:val="A0A0A0"/>
          <w:kern w:val="0"/>
          <w:sz w:val="21"/>
          <w:szCs w:val="21"/>
        </w:rPr>
        <w:t>”等釋爲“</w:t>
      </w:r>
      <w:r w:rsidRPr="004B12E2">
        <w:rPr>
          <w:rFonts w:cs="宋体" w:hint="eastAsia"/>
          <w:b/>
          <w:bCs/>
          <w:color w:val="A0A0A0"/>
          <w:kern w:val="0"/>
          <w:sz w:val="21"/>
          <w:szCs w:val="21"/>
        </w:rPr>
        <w:t>䀇</w:t>
      </w:r>
      <w:r w:rsidRPr="0055724E">
        <w:rPr>
          <w:rFonts w:cs="宋体"/>
          <w:b/>
          <w:bCs/>
          <w:color w:val="A0A0A0"/>
          <w:kern w:val="0"/>
          <w:sz w:val="21"/>
          <w:szCs w:val="21"/>
        </w:rPr>
        <w:fldChar w:fldCharType="begin"/>
      </w:r>
      <w:r w:rsidRPr="0055724E">
        <w:rPr>
          <w:rFonts w:cs="宋体"/>
          <w:b/>
          <w:bCs/>
          <w:color w:val="A0A0A0"/>
          <w:kern w:val="0"/>
          <w:sz w:val="21"/>
          <w:szCs w:val="21"/>
        </w:rPr>
        <w:instrText xml:space="preserve"> INCLUDEPICTURE "/Users/yadomimac/Library/Group Containers/UBF8T346G9.ms/WebArchiveCopyPasteTempFiles/com.microsoft.Word/svg%3E" \* MERGEFORMATINET </w:instrText>
      </w:r>
      <w:r w:rsidRPr="0055724E">
        <w:rPr>
          <w:rFonts w:cs="宋体"/>
          <w:b/>
          <w:bCs/>
          <w:color w:val="A0A0A0"/>
          <w:kern w:val="0"/>
          <w:sz w:val="21"/>
          <w:szCs w:val="21"/>
        </w:rPr>
        <w:fldChar w:fldCharType="end"/>
      </w:r>
      <w:r w:rsidRPr="0055724E">
        <w:rPr>
          <w:rFonts w:cs="宋体"/>
          <w:b/>
          <w:bCs/>
          <w:color w:val="A0A0A0"/>
          <w:kern w:val="0"/>
          <w:sz w:val="21"/>
          <w:szCs w:val="21"/>
        </w:rPr>
        <w:t>”了</w:t>
      </w:r>
      <w:r>
        <w:rPr>
          <w:rStyle w:val="ae"/>
          <w:rFonts w:cs="宋体"/>
          <w:b/>
          <w:bCs/>
          <w:color w:val="A0A0A0"/>
          <w:kern w:val="0"/>
          <w:sz w:val="21"/>
          <w:szCs w:val="21"/>
        </w:rPr>
        <w:endnoteReference w:id="208"/>
      </w:r>
      <w:r w:rsidRPr="0055724E">
        <w:rPr>
          <w:rFonts w:cs="宋体"/>
          <w:b/>
          <w:bCs/>
          <w:color w:val="A0A0A0"/>
          <w:kern w:val="0"/>
          <w:sz w:val="21"/>
          <w:szCs w:val="21"/>
        </w:rPr>
        <w:t>）</w:t>
      </w:r>
      <w:r w:rsidRPr="0055724E">
        <w:rPr>
          <w:rFonts w:cs="宋体"/>
          <w:kern w:val="0"/>
          <w:sz w:val="28"/>
          <w:szCs w:val="24"/>
        </w:rPr>
        <w:t>。周代青銅器中又有一種“上部爲一淺腹圓盤，下部作一喇叭形鏤空花紋校，因與豆形相近，過去多以豆類視之”</w:t>
      </w:r>
      <w:r w:rsidRPr="0055724E">
        <w:rPr>
          <w:rFonts w:cs="宋体"/>
          <w:b/>
          <w:bCs/>
          <w:color w:val="A0A0A0"/>
          <w:kern w:val="0"/>
          <w:sz w:val="21"/>
          <w:szCs w:val="21"/>
        </w:rPr>
        <w:t>（高文，72頁）</w:t>
      </w:r>
      <w:r w:rsidRPr="0055724E">
        <w:rPr>
          <w:rFonts w:cs="宋体"/>
          <w:kern w:val="0"/>
          <w:sz w:val="28"/>
          <w:szCs w:val="24"/>
        </w:rPr>
        <w:t>的器皿，其銘文中自稱其名之字皆从“甫”聲，這才是古書和《説文》所説的“簠”。從文字學上看，他們的説法應該是可信的。傳統所謂“簠”的自名之字，除自稱爲“</w:t>
      </w:r>
      <w:r w:rsidR="00AB1FCD">
        <w:rPr>
          <w:noProof/>
        </w:rPr>
        <w:drawing>
          <wp:inline distT="0" distB="0" distL="0" distR="0" wp14:anchorId="6B479C8E" wp14:editId="294F49A2">
            <wp:extent cx="152400" cy="161925"/>
            <wp:effectExtent l="0" t="0" r="0" b="9525"/>
            <wp:docPr id="22" name="图片 2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图片"/>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00AB1FCD" w:rsidRPr="0055724E">
        <w:rPr>
          <w:rFonts w:cs="宋体"/>
          <w:kern w:val="0"/>
          <w:sz w:val="28"/>
          <w:szCs w:val="24"/>
        </w:rPr>
        <w:t xml:space="preserve"> </w:t>
      </w:r>
      <w:r w:rsidRPr="0055724E">
        <w:rPr>
          <w:rFonts w:cs="宋体"/>
          <w:kern w:val="0"/>
          <w:sz w:val="28"/>
          <w:szCs w:val="24"/>
        </w:rPr>
        <w:fldChar w:fldCharType="begin"/>
      </w:r>
      <w:r w:rsidRPr="0055724E">
        <w:rPr>
          <w:rFonts w:cs="宋体"/>
          <w:kern w:val="0"/>
          <w:sz w:val="28"/>
          <w:szCs w:val="24"/>
        </w:rPr>
        <w:instrText xml:space="preserve"> INCLUDEPICTURE "/Users/yadomimac/Library/Group Containers/UBF8T346G9.ms/WebArchiveCopyPasteTempFiles/com.microsoft.Word/svg%3E" \* MERGEFORMATINET </w:instrText>
      </w:r>
      <w:r w:rsidRPr="0055724E">
        <w:rPr>
          <w:rFonts w:cs="宋体"/>
          <w:kern w:val="0"/>
          <w:sz w:val="28"/>
          <w:szCs w:val="24"/>
        </w:rPr>
        <w:fldChar w:fldCharType="end"/>
      </w:r>
      <w:r w:rsidRPr="0055724E">
        <w:rPr>
          <w:rFonts w:cs="宋体"/>
          <w:kern w:val="0"/>
          <w:sz w:val="28"/>
          <w:szCs w:val="24"/>
        </w:rPr>
        <w:t>（筐）”者外，其聲旁古音皆與“胡”相近，這是大家公認的，而且其聲旁作“甫”的連一例也没有，唐、高二氏所説的其形近豆之器，其自名則都从“甫”聲，其中微伯</w:t>
      </w:r>
      <w:r w:rsidR="00AB1FCD">
        <w:rPr>
          <w:noProof/>
        </w:rPr>
        <w:drawing>
          <wp:inline distT="0" distB="0" distL="0" distR="0" wp14:anchorId="2D24F1E7" wp14:editId="405974D0">
            <wp:extent cx="142875" cy="152400"/>
            <wp:effectExtent l="0" t="0" r="9525" b="0"/>
            <wp:docPr id="24" name="图片 2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图片"/>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rsidR="00AB1FCD">
        <w:rPr>
          <w:noProof/>
        </w:rPr>
        <w:drawing>
          <wp:inline distT="0" distB="0" distL="0" distR="0" wp14:anchorId="7D60EA61" wp14:editId="71F2C8D5">
            <wp:extent cx="142875" cy="142875"/>
            <wp:effectExtent l="0" t="0" r="9525" b="9525"/>
            <wp:docPr id="23" name="图片 2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图片"/>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55724E">
        <w:rPr>
          <w:rFonts w:cs="宋体"/>
          <w:b/>
          <w:bCs/>
          <w:color w:val="A0A0A0"/>
          <w:kern w:val="0"/>
          <w:sz w:val="21"/>
          <w:szCs w:val="21"/>
        </w:rPr>
        <w:t>（《銘圖》13卷390頁）</w:t>
      </w:r>
      <w:r w:rsidRPr="0055724E">
        <w:rPr>
          <w:rFonts w:cs="宋体"/>
          <w:kern w:val="0"/>
          <w:sz w:val="28"/>
          <w:szCs w:val="24"/>
        </w:rPr>
        <w:t>自名之字在“甫”聲上加“竹”頭，唐蘭認爲這就“是‘簠’的本字”</w:t>
      </w:r>
      <w:r w:rsidRPr="0055724E">
        <w:rPr>
          <w:rFonts w:cs="宋体"/>
          <w:b/>
          <w:bCs/>
          <w:color w:val="A0A0A0"/>
          <w:kern w:val="0"/>
          <w:sz w:val="21"/>
          <w:szCs w:val="21"/>
        </w:rPr>
        <w:t>（唐文，21頁。按：“本字”宜稱“初文”）</w:t>
      </w:r>
      <w:r w:rsidRPr="0055724E">
        <w:rPr>
          <w:rFonts w:cs="宋体"/>
          <w:kern w:val="0"/>
          <w:sz w:val="28"/>
          <w:szCs w:val="24"/>
        </w:rPr>
        <w:t>，後出的宋公</w:t>
      </w:r>
      <w:r w:rsidR="00AB1FCD">
        <w:rPr>
          <w:noProof/>
        </w:rPr>
        <w:drawing>
          <wp:inline distT="0" distB="0" distL="0" distR="0" wp14:anchorId="6F058A5C" wp14:editId="59D5D757">
            <wp:extent cx="152400" cy="152400"/>
            <wp:effectExtent l="0" t="0" r="0" b="0"/>
            <wp:docPr id="26" name="图片 26"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图片"/>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AB1FCD">
        <w:rPr>
          <w:noProof/>
        </w:rPr>
        <w:drawing>
          <wp:inline distT="0" distB="0" distL="0" distR="0" wp14:anchorId="4299EFAC" wp14:editId="2B2D7BD5">
            <wp:extent cx="142875" cy="142875"/>
            <wp:effectExtent l="0" t="0" r="9525" b="9525"/>
            <wp:docPr id="25" name="图片 25"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图片"/>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55724E">
        <w:rPr>
          <w:rFonts w:cs="宋体"/>
          <w:kern w:val="0"/>
          <w:sz w:val="28"/>
          <w:szCs w:val="24"/>
        </w:rPr>
        <w:fldChar w:fldCharType="begin"/>
      </w:r>
      <w:r w:rsidRPr="0055724E">
        <w:rPr>
          <w:rFonts w:cs="宋体"/>
          <w:kern w:val="0"/>
          <w:sz w:val="28"/>
          <w:szCs w:val="24"/>
        </w:rPr>
        <w:instrText xml:space="preserve"> INCLUDEPICTURE "/Users/yadomimac/Library/Group Containers/UBF8T346G9.ms/WebArchiveCopyPasteTempFiles/com.microsoft.Word/svg%3E" \* MERGEFORMATINET </w:instrText>
      </w:r>
      <w:r w:rsidRPr="0055724E">
        <w:rPr>
          <w:rFonts w:cs="宋体"/>
          <w:kern w:val="0"/>
          <w:sz w:val="28"/>
          <w:szCs w:val="24"/>
        </w:rPr>
        <w:fldChar w:fldCharType="end"/>
      </w:r>
      <w:r w:rsidRPr="0055724E">
        <w:rPr>
          <w:rFonts w:cs="宋体"/>
          <w:kern w:val="0"/>
          <w:sz w:val="28"/>
          <w:szCs w:val="24"/>
        </w:rPr>
        <w:fldChar w:fldCharType="begin"/>
      </w:r>
      <w:r w:rsidRPr="0055724E">
        <w:rPr>
          <w:rFonts w:cs="宋体"/>
          <w:kern w:val="0"/>
          <w:sz w:val="28"/>
          <w:szCs w:val="24"/>
        </w:rPr>
        <w:instrText xml:space="preserve"> INCLUDEPICTURE "/Users/yadomimac/Library/Group Containers/UBF8T346G9.ms/WebArchiveCopyPasteTempFiles/com.microsoft.Word/svg%3E" \* MERGEFORMATINET </w:instrText>
      </w:r>
      <w:r w:rsidRPr="0055724E">
        <w:rPr>
          <w:rFonts w:cs="宋体"/>
          <w:kern w:val="0"/>
          <w:sz w:val="28"/>
          <w:szCs w:val="24"/>
        </w:rPr>
        <w:fldChar w:fldCharType="end"/>
      </w:r>
      <w:r w:rsidRPr="0055724E">
        <w:rPr>
          <w:rFonts w:cs="宋体"/>
          <w:b/>
          <w:bCs/>
          <w:color w:val="A0A0A0"/>
          <w:kern w:val="0"/>
          <w:sz w:val="21"/>
          <w:szCs w:val="21"/>
        </w:rPr>
        <w:t>（《銘續》2卷305、308頁，《銘三》2卷246頁）</w:t>
      </w:r>
      <w:r w:rsidRPr="0055724E">
        <w:rPr>
          <w:rFonts w:cs="宋体"/>
          <w:kern w:val="0"/>
          <w:sz w:val="28"/>
          <w:szCs w:val="24"/>
        </w:rPr>
        <w:t>其自名之字亦作“</w:t>
      </w:r>
      <w:r w:rsidR="00AB1FCD">
        <w:rPr>
          <w:noProof/>
        </w:rPr>
        <w:drawing>
          <wp:inline distT="0" distB="0" distL="0" distR="0" wp14:anchorId="0B60ECD3" wp14:editId="0D3406EF">
            <wp:extent cx="142875" cy="142875"/>
            <wp:effectExtent l="0" t="0" r="9525" b="9525"/>
            <wp:docPr id="27" name="图片 27"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图片"/>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55724E">
        <w:rPr>
          <w:rFonts w:cs="宋体"/>
          <w:kern w:val="0"/>
          <w:sz w:val="28"/>
          <w:szCs w:val="24"/>
        </w:rPr>
        <w:fldChar w:fldCharType="begin"/>
      </w:r>
      <w:r w:rsidRPr="0055724E">
        <w:rPr>
          <w:rFonts w:cs="宋体"/>
          <w:kern w:val="0"/>
          <w:sz w:val="28"/>
          <w:szCs w:val="24"/>
        </w:rPr>
        <w:instrText xml:space="preserve"> INCLUDEPICTURE "/Users/yadomimac/Library/Group Containers/UBF8T346G9.ms/WebArchiveCopyPasteTempFiles/com.microsoft.Word/svg%3E" \* MERGEFORMATINET </w:instrText>
      </w:r>
      <w:r w:rsidRPr="0055724E">
        <w:rPr>
          <w:rFonts w:cs="宋体"/>
          <w:kern w:val="0"/>
          <w:sz w:val="28"/>
          <w:szCs w:val="24"/>
        </w:rPr>
        <w:fldChar w:fldCharType="end"/>
      </w:r>
      <w:r w:rsidRPr="0055724E">
        <w:rPr>
          <w:rFonts w:cs="宋体"/>
          <w:kern w:val="0"/>
          <w:sz w:val="28"/>
          <w:szCs w:val="24"/>
        </w:rPr>
        <w:t>”，而且此類器的自名之字還有在“甫”聲下加“皿”旁作“盙”的</w:t>
      </w:r>
      <w:r w:rsidRPr="0055724E">
        <w:rPr>
          <w:rFonts w:cs="宋体"/>
          <w:b/>
          <w:bCs/>
          <w:color w:val="A0A0A0"/>
          <w:kern w:val="0"/>
          <w:sz w:val="21"/>
          <w:szCs w:val="21"/>
        </w:rPr>
        <w:t>（虢仲盙，《銘續》2卷301頁）</w:t>
      </w:r>
      <w:r w:rsidRPr="0055724E">
        <w:rPr>
          <w:rFonts w:cs="宋体"/>
          <w:kern w:val="0"/>
          <w:sz w:val="28"/>
          <w:szCs w:val="24"/>
        </w:rPr>
        <w:t>，“簠”字應該就是從這種器物的自名之字發展出來的</w:t>
      </w:r>
      <w:r w:rsidRPr="00965627">
        <w:rPr>
          <w:rStyle w:val="ae"/>
          <w:rFonts w:ascii="金文宋體" w:eastAsia="金文宋體" w:hAnsi="Malgun Gothic" w:cs="Malgun Gothic"/>
          <w:color w:val="000000"/>
          <w:kern w:val="0"/>
          <w:sz w:val="28"/>
          <w:szCs w:val="24"/>
        </w:rPr>
        <w:endnoteReference w:id="209"/>
      </w:r>
      <w:r w:rsidRPr="0055724E">
        <w:rPr>
          <w:rFonts w:cs="宋体"/>
          <w:kern w:val="0"/>
          <w:sz w:val="28"/>
          <w:szCs w:val="24"/>
        </w:rPr>
        <w:t>。但是，先秦文獻中有大量“簠簋”連言的用例，這種“簠”字與《左傳》“胡簋”之“胡”所指應即同一種器皿，且從器形上看以這種“簠”與簋相配，也較以形近於豆的“簠”與簋相配爲宜，這兩種“簠”的相混應與“胡”“甫”古音相近有關</w:t>
      </w:r>
      <w:r w:rsidRPr="00965627">
        <w:rPr>
          <w:rStyle w:val="ae"/>
          <w:rFonts w:ascii="金文宋體" w:eastAsia="金文宋體" w:hAnsi="Malgun Gothic" w:cs="Malgun Gothic"/>
          <w:color w:val="000000"/>
          <w:kern w:val="0"/>
          <w:sz w:val="28"/>
          <w:szCs w:val="24"/>
        </w:rPr>
        <w:endnoteReference w:id="210"/>
      </w:r>
      <w:r w:rsidRPr="0055724E">
        <w:rPr>
          <w:rFonts w:cs="宋体"/>
          <w:kern w:val="0"/>
          <w:sz w:val="28"/>
          <w:szCs w:val="24"/>
        </w:rPr>
        <w:t>。</w:t>
      </w:r>
    </w:p>
    <w:p w14:paraId="1CBB277C" w14:textId="54340798" w:rsidR="009F4F5A" w:rsidRPr="0055724E"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lastRenderedPageBreak/>
        <w:t>上文引過的鄭玄《儀禮·公食大夫禮》注“進稻粱者以簠”和《周禮·地官·舍人》注“方曰簠，圓曰簋，盛黍稷稻粱器”中所説的“簠”實際上可能皆指“胡”而言，但我們認爲《儀禮》經文中的“簠”用的應是“簠”的原義。從上面引出的《公食大夫禮》文看，宰夫“膳稻于粱西”時所用盛稻之器也應該就是這種“簠”。從《公食大夫禮》此處下文看，“賓”還要以“左擁簠粱，右執湆”的姿勢走來走去，下階升階，而且中間還有將所擁持之物放在地上的動作。《公食大夫禮》在上引設“飯粱”之文前還講了“宰夫自東房授醯醬，公設之”以及“大羹湆，不和，實于鐙。宰右執鐙，左執蓋，由門入……授公。以蓋降……公設之于醬西”之事，可知“湆”是盛放在類似豆的“鐙”裏的，賓“右執湆”就指他用右手執持“鐙”的校部。“左擁簠粱”的“簠”究竟應該理解爲實指“胡”的“簠”，還是使用原義的“簠”，是一個頗難解決的問題。“胡”在陳設時當然已經將上部的蓋去掉了，但“胡”是長方形大口、淺斗狀器，提舉時必須以兩手持器身兩壁之耳，賓要在右手執鐙的條件下，用左手擁抱盛粱的簠，走來走去，下階升階，有時還要從手臂上將它放回地上，從地上取起它，這實在是很難想象的事。形近於豆的“簠”盤下有類似豆校但較豆校粗大的、腰部内收的立柱，雖然難以單手執持，用手臂在立柱部分抱</w:t>
      </w:r>
      <w:r w:rsidRPr="0055724E">
        <w:rPr>
          <w:rFonts w:cs="宋体"/>
          <w:kern w:val="0"/>
          <w:sz w:val="28"/>
          <w:szCs w:val="24"/>
        </w:rPr>
        <w:lastRenderedPageBreak/>
        <w:t>住它，或者跪坐著抱起它或放下它，都還是比較方便的。這種器的柄部一般都是鏤空的，可能就是爲了給需要持、抱其器的人減少重量。宋公</w:t>
      </w:r>
      <w:r w:rsidR="00AB1FCD">
        <w:rPr>
          <w:noProof/>
        </w:rPr>
        <w:drawing>
          <wp:inline distT="0" distB="0" distL="0" distR="0" wp14:anchorId="4DFB3707" wp14:editId="21E79C9D">
            <wp:extent cx="152400" cy="152400"/>
            <wp:effectExtent l="0" t="0" r="0" b="0"/>
            <wp:docPr id="28" name="图片 28"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图片"/>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5724E">
        <w:rPr>
          <w:rFonts w:cs="宋体"/>
          <w:kern w:val="0"/>
          <w:sz w:val="28"/>
          <w:szCs w:val="24"/>
        </w:rPr>
        <w:t>簠柄部鏤空處作排成多列的長方形，裝飾意味很少，可見簠柄的鏤空主要目的應該是減輕重量。所以，我们認爲《儀禮》在這裏所説的“簠”用的是簠的原義，是形近於豆的簠，而不是“胡”。《公食大夫禮·記》説：“簠有蓋冪。”鄭玄注：“稻粱將食乃設，去會</w:t>
      </w:r>
      <w:r w:rsidRPr="0055724E">
        <w:rPr>
          <w:rFonts w:cs="宋体"/>
          <w:b/>
          <w:bCs/>
          <w:color w:val="A0A0A0"/>
          <w:kern w:val="0"/>
          <w:sz w:val="21"/>
          <w:szCs w:val="21"/>
        </w:rPr>
        <w:t>（指器蓋）</w:t>
      </w:r>
      <w:r w:rsidRPr="0055724E">
        <w:rPr>
          <w:rFonts w:cs="宋体"/>
          <w:kern w:val="0"/>
          <w:sz w:val="28"/>
          <w:szCs w:val="24"/>
        </w:rPr>
        <w:t>於房，蓋以冪。”</w:t>
      </w:r>
      <w:r w:rsidRPr="00965627">
        <w:rPr>
          <w:rStyle w:val="ae"/>
          <w:rFonts w:cs="宋体"/>
          <w:kern w:val="0"/>
          <w:sz w:val="28"/>
          <w:szCs w:val="24"/>
        </w:rPr>
        <w:endnoteReference w:id="211"/>
      </w:r>
      <w:r w:rsidRPr="0055724E">
        <w:rPr>
          <w:rFonts w:cs="宋体"/>
          <w:kern w:val="0"/>
          <w:sz w:val="28"/>
          <w:szCs w:val="24"/>
        </w:rPr>
        <w:t>乍一看，《記》文似合於指“胡”的簠，其實這對盛稻粱的形近於豆的“簠”也是合適的。在現在可以見到的器形近於豆的簠中，有兩組從銘文可以肯定是用來盛稻粱等飯食的。1932年山東曲阜林前村春秋墓中出土三件形制銘文皆同的厚氏元簠</w:t>
      </w:r>
      <w:r w:rsidRPr="0055724E">
        <w:rPr>
          <w:rFonts w:cs="宋体"/>
          <w:b/>
          <w:bCs/>
          <w:color w:val="A0A0A0"/>
          <w:kern w:val="0"/>
          <w:sz w:val="21"/>
          <w:szCs w:val="21"/>
        </w:rPr>
        <w:t>（其時代或定爲春秋早期，或定爲春秋中期）</w:t>
      </w:r>
      <w:r w:rsidRPr="0055724E">
        <w:rPr>
          <w:rFonts w:cs="宋体"/>
          <w:kern w:val="0"/>
          <w:sz w:val="28"/>
          <w:szCs w:val="24"/>
        </w:rPr>
        <w:t>，銘文自稱其名爲“善（膳）</w:t>
      </w:r>
      <w:r w:rsidR="00AB1FCD">
        <w:rPr>
          <w:noProof/>
        </w:rPr>
        <w:drawing>
          <wp:inline distT="0" distB="0" distL="0" distR="0" wp14:anchorId="504591CC" wp14:editId="20D4F98C">
            <wp:extent cx="142875" cy="161925"/>
            <wp:effectExtent l="0" t="0" r="9525" b="9525"/>
            <wp:docPr id="31" name="图片 3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图片"/>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55724E">
        <w:rPr>
          <w:rFonts w:cs="宋体"/>
          <w:kern w:val="0"/>
          <w:sz w:val="28"/>
          <w:szCs w:val="24"/>
        </w:rPr>
        <w:t>（簠）”，我們在前面指出周代青銅器銘文有在器名前加“善（膳）”字的，所舉器名中的“簠”即指此組簠而言。從上引《公食大夫禮》“宰夫膳稻于粱西”一語來看，“善（膳）</w:t>
      </w:r>
      <w:r w:rsidR="00AB1FCD">
        <w:rPr>
          <w:noProof/>
        </w:rPr>
        <w:drawing>
          <wp:inline distT="0" distB="0" distL="0" distR="0" wp14:anchorId="5DDC267F" wp14:editId="1623D789">
            <wp:extent cx="142875" cy="161925"/>
            <wp:effectExtent l="0" t="0" r="9525" b="9525"/>
            <wp:docPr id="29" name="图片 29"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图片"/>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55724E">
        <w:rPr>
          <w:rFonts w:cs="宋体"/>
          <w:kern w:val="0"/>
          <w:sz w:val="28"/>
          <w:szCs w:val="24"/>
        </w:rPr>
        <w:t>（簠）”之“膳”之義似既可理解爲“盛膳”，也可理解爲“進膳”“設膳”。2009年山東棗莊市徐樓村春秋墓一號墓出土的兩件形制銘文相同的宋公</w:t>
      </w:r>
      <w:r w:rsidR="00AB1FCD">
        <w:rPr>
          <w:noProof/>
        </w:rPr>
        <w:drawing>
          <wp:inline distT="0" distB="0" distL="0" distR="0" wp14:anchorId="7FFD6320" wp14:editId="62CD6A28">
            <wp:extent cx="152400" cy="161925"/>
            <wp:effectExtent l="0" t="0" r="0" b="9525"/>
            <wp:docPr id="32" name="图片 3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图片"/>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55724E">
        <w:rPr>
          <w:rFonts w:cs="宋体"/>
          <w:b/>
          <w:bCs/>
          <w:color w:val="A0A0A0"/>
          <w:kern w:val="0"/>
          <w:sz w:val="21"/>
          <w:szCs w:val="21"/>
        </w:rPr>
        <w:t>（一般皆從李學勤説認爲宋公</w:t>
      </w:r>
      <w:r w:rsidR="00AB1FCD">
        <w:rPr>
          <w:noProof/>
        </w:rPr>
        <w:drawing>
          <wp:inline distT="0" distB="0" distL="0" distR="0" wp14:anchorId="5BD7B5A5" wp14:editId="44C27155">
            <wp:extent cx="152400" cy="161925"/>
            <wp:effectExtent l="0" t="0" r="0" b="9525"/>
            <wp:docPr id="33" name="图片 3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图片"/>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55724E">
        <w:rPr>
          <w:rFonts w:cs="宋体"/>
          <w:b/>
          <w:bCs/>
          <w:color w:val="A0A0A0"/>
          <w:kern w:val="0"/>
          <w:sz w:val="21"/>
          <w:szCs w:val="21"/>
        </w:rPr>
        <w:t>即宋公固</w:t>
      </w:r>
      <w:r>
        <w:rPr>
          <w:rStyle w:val="ae"/>
          <w:rFonts w:cs="宋体"/>
          <w:b/>
          <w:bCs/>
          <w:color w:val="A0A0A0"/>
          <w:kern w:val="0"/>
          <w:sz w:val="21"/>
          <w:szCs w:val="21"/>
        </w:rPr>
        <w:endnoteReference w:id="212"/>
      </w:r>
      <w:r w:rsidRPr="0055724E">
        <w:rPr>
          <w:rFonts w:cs="宋体"/>
          <w:b/>
          <w:bCs/>
          <w:color w:val="A0A0A0"/>
          <w:kern w:val="0"/>
          <w:sz w:val="21"/>
          <w:szCs w:val="21"/>
        </w:rPr>
        <w:t>）</w:t>
      </w:r>
      <w:r w:rsidRPr="0055724E">
        <w:rPr>
          <w:rFonts w:cs="宋体"/>
          <w:kern w:val="0"/>
          <w:sz w:val="28"/>
          <w:szCs w:val="24"/>
        </w:rPr>
        <w:t>簠</w:t>
      </w:r>
      <w:r w:rsidRPr="0055724E">
        <w:rPr>
          <w:rFonts w:cs="宋体"/>
          <w:b/>
          <w:bCs/>
          <w:color w:val="A0A0A0"/>
          <w:kern w:val="0"/>
          <w:sz w:val="21"/>
          <w:szCs w:val="21"/>
        </w:rPr>
        <w:t>（其時代在春秋中晚期之間。此墓發掘前已遭盜掘，此組簠本來應有四件，盜掘出土的兩件已流至境外，參看《三編》2卷246頁）</w:t>
      </w:r>
      <w:r w:rsidRPr="0055724E">
        <w:rPr>
          <w:rFonts w:cs="宋体"/>
          <w:kern w:val="0"/>
          <w:sz w:val="28"/>
          <w:szCs w:val="24"/>
        </w:rPr>
        <w:t>，銘文自稱其</w:t>
      </w:r>
      <w:r w:rsidRPr="0055724E">
        <w:rPr>
          <w:rFonts w:cs="宋体"/>
          <w:kern w:val="0"/>
          <w:sz w:val="28"/>
          <w:szCs w:val="24"/>
        </w:rPr>
        <w:lastRenderedPageBreak/>
        <w:t>名爲“</w:t>
      </w:r>
      <w:r w:rsidR="00AB1FCD">
        <w:rPr>
          <w:noProof/>
        </w:rPr>
        <w:drawing>
          <wp:inline distT="0" distB="0" distL="0" distR="0" wp14:anchorId="0130BFBC" wp14:editId="144A7173">
            <wp:extent cx="171450" cy="152400"/>
            <wp:effectExtent l="0" t="0" r="0" b="0"/>
            <wp:docPr id="36" name="图片 36"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图片"/>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r w:rsidR="00AB1FCD">
        <w:rPr>
          <w:noProof/>
        </w:rPr>
        <w:drawing>
          <wp:inline distT="0" distB="0" distL="0" distR="0" wp14:anchorId="463838E2" wp14:editId="24820CDB">
            <wp:extent cx="152400" cy="161925"/>
            <wp:effectExtent l="0" t="0" r="0" b="9525"/>
            <wp:docPr id="35" name="图片 35"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图片"/>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Pr="0055724E">
        <w:rPr>
          <w:rFonts w:cs="宋体"/>
          <w:kern w:val="0"/>
          <w:sz w:val="28"/>
          <w:szCs w:val="24"/>
        </w:rPr>
        <w:t>（簠）”，周代銅器在器名前加“</w:t>
      </w:r>
      <w:r w:rsidR="00AB1FCD">
        <w:rPr>
          <w:noProof/>
        </w:rPr>
        <w:drawing>
          <wp:inline distT="0" distB="0" distL="0" distR="0" wp14:anchorId="67B8C72E" wp14:editId="1F3C60DA">
            <wp:extent cx="171450" cy="152400"/>
            <wp:effectExtent l="0" t="0" r="0" b="0"/>
            <wp:docPr id="38" name="图片 38"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图片"/>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r w:rsidRPr="0055724E">
        <w:rPr>
          <w:rFonts w:cs="宋体"/>
          <w:kern w:val="0"/>
          <w:sz w:val="28"/>
          <w:szCs w:val="24"/>
        </w:rPr>
        <w:t>”字者屢見，加“</w:t>
      </w:r>
      <w:r w:rsidR="00AB1FCD">
        <w:rPr>
          <w:noProof/>
        </w:rPr>
        <w:drawing>
          <wp:inline distT="0" distB="0" distL="0" distR="0" wp14:anchorId="7D53490E" wp14:editId="44CBBE65">
            <wp:extent cx="171450" cy="152400"/>
            <wp:effectExtent l="0" t="0" r="0" b="0"/>
            <wp:docPr id="40" name="图片 40"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图片"/>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r w:rsidRPr="0055724E">
        <w:rPr>
          <w:rFonts w:cs="宋体"/>
          <w:kern w:val="0"/>
          <w:sz w:val="28"/>
          <w:szCs w:val="24"/>
        </w:rPr>
        <w:t>”字最多的爲“</w:t>
      </w:r>
      <w:r w:rsidR="00AB1FCD">
        <w:rPr>
          <w:noProof/>
        </w:rPr>
        <w:drawing>
          <wp:inline distT="0" distB="0" distL="0" distR="0" wp14:anchorId="73CC5094" wp14:editId="0AA417DC">
            <wp:extent cx="142875" cy="161925"/>
            <wp:effectExtent l="0" t="0" r="9525" b="9525"/>
            <wp:docPr id="42" name="图片 4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图片"/>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2875" cy="161925"/>
                    </a:xfrm>
                    <a:prstGeom prst="rect">
                      <a:avLst/>
                    </a:prstGeom>
                    <a:noFill/>
                    <a:ln>
                      <a:noFill/>
                    </a:ln>
                  </pic:spPr>
                </pic:pic>
              </a:graphicData>
            </a:graphic>
          </wp:inline>
        </w:drawing>
      </w:r>
      <w:r w:rsidRPr="0055724E">
        <w:rPr>
          <w:rFonts w:cs="宋体"/>
          <w:kern w:val="0"/>
          <w:sz w:val="28"/>
          <w:szCs w:val="24"/>
        </w:rPr>
        <w:t>（即傳統稱之爲“簠”者）”和“簋”，都是盛飯食的。這兩組簠的形制恰好相近，器上都有蓋，所以《記》文“簠有蓋冪”之説並不能作爲《公食大夫禮》所説的“簠”即形近於豆的簠的反證。《儀禮·聘禮》説來聘之使見君以後，“君使卿……歸饔餼五牢”，在講到堂上所設盛食之器時有“堂上八豆……八簋繼之，黍，其南稷，錯。六鉶繼之……兩簠繼之，粱在北。八壺設于西序……”，“西夾六豆……六簋繼之，黍，其東稷，錯。四鉶繼之……兩簠繼之，粱在西，皆二以並，南陳……”，其設食器的情況可以與《公食大夫禮》對照，二處的簋與簠都不是緊接著陳列的，簋多簠少，簋盛黍稷</w:t>
      </w:r>
      <w:r w:rsidRPr="0055724E">
        <w:rPr>
          <w:rFonts w:cs="宋体"/>
          <w:b/>
          <w:bCs/>
          <w:color w:val="A0A0A0"/>
          <w:kern w:val="0"/>
          <w:sz w:val="21"/>
          <w:szCs w:val="21"/>
        </w:rPr>
        <w:t>（《公食大夫禮》記所陳食器有“黍稷六簋”）</w:t>
      </w:r>
      <w:r w:rsidRPr="0055724E">
        <w:rPr>
          <w:rFonts w:cs="宋体"/>
          <w:kern w:val="0"/>
          <w:sz w:val="28"/>
          <w:szCs w:val="24"/>
        </w:rPr>
        <w:t>，簠則是盛稻粱的。前面已經説明，《公食大夫禮》中所設稻粱都應盛於簠，也就是説所用之“簠”有二，一盛粱，一盛稻。《聘禮》中堂上及西序所設食器中簠也都只有二件，一盛稻，一盛粱。這樣看來，《聘禮》中的簠也應與《公食大夫禮》中的簠一樣，指的是形近於豆的簠，而不是胡。如果我們對《儀禮》中的“簠”字的理解是合乎事實的話，這對推測《儀禮》的成書時代將是一個很重要的綫索（从出土情况看，高柄型的簠在戰國時代已不通行，如《儀禮》的簠確指高柄簠，《儀禮》經文基本寫定</w:t>
      </w:r>
      <w:r w:rsidRPr="0055724E">
        <w:rPr>
          <w:rFonts w:cs="宋体"/>
          <w:kern w:val="0"/>
          <w:sz w:val="28"/>
          <w:szCs w:val="24"/>
        </w:rPr>
        <w:lastRenderedPageBreak/>
        <w:t>的時代似不能晚於春秋晚期）。從我們對《儀禮》中的“簠”的考察，可以知道這種銅器主要是用來盛稻和粱的，“胡簋”之“胡”根據它們的銘文主要也是盛稻粱的</w:t>
      </w:r>
      <w:r w:rsidRPr="0055724E">
        <w:rPr>
          <w:rFonts w:cs="宋体"/>
          <w:b/>
          <w:bCs/>
          <w:color w:val="A0A0A0"/>
          <w:kern w:val="0"/>
          <w:sz w:val="21"/>
          <w:szCs w:val="21"/>
        </w:rPr>
        <w:t>（見上文）</w:t>
      </w:r>
      <w:r w:rsidRPr="0055724E">
        <w:rPr>
          <w:rFonts w:cs="宋体"/>
          <w:kern w:val="0"/>
          <w:sz w:val="28"/>
          <w:szCs w:val="24"/>
        </w:rPr>
        <w:t>，這兩種器皿稱名的混同除了其名古音相近的原因外，跟它們所盛之物相同這一點很可能也是有關的。</w:t>
      </w:r>
    </w:p>
    <w:p w14:paraId="007E9400"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膳”有“獻以供膳”之義。《左傳·宣公十二年》晋楚邲之戰中，楚人曾遣勇士致師，晋人遣鮑癸率兵包抄其後，楚致師者樂伯見“麋興於前”，射殺之，使車右攝叔把麋獻給鮑癸，“曰‘以歲之非時，獻禽之未至，敢膳諸從者’”。“膳諸從者”就是將射殺的麋獻給從者以供膳之義。《吕氏春秋·上德》説晋獻公太子申生受命祭祀他的生母姜氏，“太子祠而膳於公”，高誘注：“膳，胙之也。”</w:t>
      </w:r>
      <w:r w:rsidRPr="00965627">
        <w:rPr>
          <w:rStyle w:val="ae"/>
          <w:rFonts w:cs="宋体"/>
          <w:kern w:val="0"/>
          <w:sz w:val="28"/>
          <w:szCs w:val="24"/>
        </w:rPr>
        <w:endnoteReference w:id="213"/>
      </w:r>
      <w:r w:rsidRPr="0055724E">
        <w:rPr>
          <w:rFonts w:cs="宋体"/>
          <w:kern w:val="0"/>
          <w:sz w:val="28"/>
          <w:szCs w:val="24"/>
        </w:rPr>
        <w:t>這句話的意思是説太子申生將祭過姜氏的胙肉進獻以供晋公之膳。《禮記·少儀》“爲人祭曰致福，爲已祭而致膳於君子曰膳，祔、練曰告”，鄭玄注：“此皆致祭祀之餘於君子。攝主言致福，申其辭也。自祭言膳，謙也。祔練言告，不敢以爲福膳也。”</w:t>
      </w:r>
      <w:r w:rsidRPr="00965627">
        <w:rPr>
          <w:rStyle w:val="ae"/>
          <w:rFonts w:cs="宋体"/>
          <w:kern w:val="0"/>
          <w:sz w:val="28"/>
          <w:szCs w:val="24"/>
        </w:rPr>
        <w:endnoteReference w:id="214"/>
      </w:r>
      <w:r w:rsidRPr="0055724E">
        <w:rPr>
          <w:rFonts w:cs="宋体"/>
          <w:kern w:val="0"/>
          <w:sz w:val="28"/>
          <w:szCs w:val="24"/>
        </w:rPr>
        <w:t>“致膳”也就是獻胙肉以供膳的意思。如果爲己祭而獻胙肉於君子之時所説的就是“致膳於君子”，那么“曰膳”之“膳”就應與“致膳”之“膳”同義，皆指供膳的胙肉。如果獻胙肉時只説“膳於君子”，那麼“曰膳”</w:t>
      </w:r>
      <w:r w:rsidRPr="0055724E">
        <w:rPr>
          <w:rFonts w:cs="宋体"/>
          <w:kern w:val="0"/>
          <w:sz w:val="28"/>
          <w:szCs w:val="24"/>
        </w:rPr>
        <w:lastRenderedPageBreak/>
        <w:t>之“膳”就跟上引《吕氏春秋》“膳於公”的“膳”一樣，也是“膳”有“獻以供膳”之義的一個例子了。</w:t>
      </w:r>
    </w:p>
    <w:p w14:paraId="13A9985C"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“膳”有“烹調膳，製成膳”之義。《周禮·天官·庖人》：“凡用禽獻，春行羔豚，膳膏香；夏行腒鱐，膳膏臊；秋行犢麛，膳膏腥；冬行鱻羽，膳膏羶。”鄭玄注：“用禽獻，謂煎和之以獻王。”</w:t>
      </w:r>
      <w:r w:rsidRPr="00965627">
        <w:rPr>
          <w:rStyle w:val="ae"/>
          <w:rFonts w:cs="宋体"/>
          <w:kern w:val="0"/>
          <w:sz w:val="28"/>
          <w:szCs w:val="24"/>
        </w:rPr>
        <w:endnoteReference w:id="215"/>
      </w:r>
      <w:r w:rsidRPr="0055724E">
        <w:rPr>
          <w:rFonts w:cs="宋体"/>
          <w:kern w:val="0"/>
          <w:sz w:val="28"/>
          <w:szCs w:val="24"/>
        </w:rPr>
        <w:t>據鄭注，“禽獻”是王四時所用的一些肉食，“膏香”“膏臊”等指的是一些不同的動物油脂，“膳以膏香/膏臊/膏腥/膏羶”指的是將這些肉食分別以不同的動物油脂來“煎和”。賈疏明確説：“煎和謂之膳。”</w:t>
      </w:r>
      <w:r w:rsidRPr="00965627">
        <w:rPr>
          <w:rStyle w:val="ae"/>
          <w:rFonts w:cs="宋体"/>
          <w:kern w:val="0"/>
          <w:sz w:val="28"/>
          <w:szCs w:val="24"/>
        </w:rPr>
        <w:endnoteReference w:id="216"/>
      </w:r>
      <w:r w:rsidRPr="0055724E">
        <w:rPr>
          <w:rFonts w:cs="宋体"/>
          <w:kern w:val="0"/>
          <w:sz w:val="28"/>
          <w:szCs w:val="24"/>
        </w:rPr>
        <w:t>一般將“煎和”理解爲烹調。《周禮·天官·膳夫》：“凡祭祀之致福者，受而膳之。”鄭玄注：“致福，謂諸臣祭祀，進其餘肉，歸胙于王。鄭司農云：‘膳夫受之，以給王膳。’”“膳之”意即把臣下所獻的福肉製成供王食用的“膳”。</w:t>
      </w:r>
    </w:p>
    <w:p w14:paraId="700DF7DB"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“膳”有“設膳”之義。清華簡《子犯子餘》説到秦穆公召見從晋公子重耳出亡到秦的子犯、子餘，跟二人談話後認爲他們很有水平，勉勵他們好好輔佐公子重耳，“乃各賜之劍帶衣裳而</w:t>
      </w:r>
      <w:r w:rsidRPr="004E5C75">
        <w:rPr>
          <w:rFonts w:ascii="华文楷体" w:eastAsia="华文楷体" w:hAnsi="华文楷体"/>
          <w:noProof/>
          <w:szCs w:val="24"/>
        </w:rPr>
        <w:drawing>
          <wp:inline distT="0" distB="0" distL="0" distR="0" wp14:anchorId="439A879F" wp14:editId="1A51C6C4">
            <wp:extent cx="199189" cy="202745"/>
            <wp:effectExtent l="0" t="0" r="0" b="6985"/>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biLevel thresh="75000"/>
                    </a:blip>
                    <a:stretch>
                      <a:fillRect/>
                    </a:stretch>
                  </pic:blipFill>
                  <pic:spPr>
                    <a:xfrm>
                      <a:off x="0" y="0"/>
                      <a:ext cx="207413" cy="211116"/>
                    </a:xfrm>
                    <a:prstGeom prst="rect">
                      <a:avLst/>
                    </a:prstGeom>
                  </pic:spPr>
                </pic:pic>
              </a:graphicData>
            </a:graphic>
          </wp:inline>
        </w:drawing>
      </w:r>
      <w:r w:rsidRPr="0055724E">
        <w:rPr>
          <w:rFonts w:cs="宋体"/>
          <w:kern w:val="0"/>
          <w:sz w:val="28"/>
          <w:szCs w:val="24"/>
        </w:rPr>
        <w:t>之，使還”</w:t>
      </w:r>
      <w:r w:rsidRPr="0055724E">
        <w:rPr>
          <w:rFonts w:cs="宋体"/>
          <w:b/>
          <w:bCs/>
          <w:color w:val="A0A0A0"/>
          <w:kern w:val="0"/>
          <w:sz w:val="21"/>
          <w:szCs w:val="21"/>
        </w:rPr>
        <w:t>（簡7）</w:t>
      </w:r>
      <w:r w:rsidRPr="0055724E">
        <w:rPr>
          <w:rFonts w:cs="宋体"/>
          <w:kern w:val="0"/>
          <w:sz w:val="28"/>
          <w:szCs w:val="24"/>
        </w:rPr>
        <w:t>，整理者注：“</w:t>
      </w:r>
      <w:r w:rsidRPr="004E5C75">
        <w:rPr>
          <w:rFonts w:ascii="华文楷体" w:eastAsia="华文楷体" w:hAnsi="华文楷体"/>
          <w:noProof/>
          <w:szCs w:val="24"/>
        </w:rPr>
        <w:drawing>
          <wp:inline distT="0" distB="0" distL="0" distR="0" wp14:anchorId="205C718D" wp14:editId="157CF28F">
            <wp:extent cx="199189" cy="202745"/>
            <wp:effectExtent l="0" t="0" r="0" b="6985"/>
            <wp:docPr id="432989329" name="图片 432989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biLevel thresh="75000"/>
                    </a:blip>
                    <a:stretch>
                      <a:fillRect/>
                    </a:stretch>
                  </pic:blipFill>
                  <pic:spPr>
                    <a:xfrm>
                      <a:off x="0" y="0"/>
                      <a:ext cx="207413" cy="211116"/>
                    </a:xfrm>
                    <a:prstGeom prst="rect">
                      <a:avLst/>
                    </a:prstGeom>
                  </pic:spPr>
                </pic:pic>
              </a:graphicData>
            </a:graphic>
          </wp:inline>
        </w:drawing>
      </w:r>
      <w:r w:rsidRPr="0055724E">
        <w:rPr>
          <w:rFonts w:cs="宋体"/>
          <w:kern w:val="0"/>
          <w:sz w:val="28"/>
          <w:szCs w:val="24"/>
        </w:rPr>
        <w:fldChar w:fldCharType="begin"/>
      </w:r>
      <w:r w:rsidRPr="0055724E">
        <w:rPr>
          <w:rFonts w:cs="宋体"/>
          <w:kern w:val="0"/>
          <w:sz w:val="28"/>
          <w:szCs w:val="24"/>
        </w:rPr>
        <w:instrText xml:space="preserve"> INCLUDEPICTURE "/Users/yadomimac/Library/Group Containers/UBF8T346G9.ms/WebArchiveCopyPasteTempFiles/com.microsoft.Word/svg%3E" \* MERGEFORMATINET </w:instrText>
      </w:r>
      <w:r w:rsidRPr="0055724E">
        <w:rPr>
          <w:rFonts w:cs="宋体"/>
          <w:kern w:val="0"/>
          <w:sz w:val="28"/>
          <w:szCs w:val="24"/>
        </w:rPr>
        <w:fldChar w:fldCharType="end"/>
      </w:r>
      <w:r w:rsidRPr="0055724E">
        <w:rPr>
          <w:rFonts w:cs="宋体"/>
          <w:kern w:val="0"/>
          <w:sz w:val="28"/>
          <w:szCs w:val="24"/>
        </w:rPr>
        <w:t>，讀爲‘膳’，《説文》：‘具食也’。”</w:t>
      </w:r>
      <w:r w:rsidRPr="00965627">
        <w:rPr>
          <w:rStyle w:val="ae"/>
          <w:rFonts w:cs="宋体"/>
          <w:kern w:val="0"/>
          <w:sz w:val="28"/>
          <w:szCs w:val="24"/>
        </w:rPr>
        <w:endnoteReference w:id="217"/>
      </w:r>
      <w:r w:rsidRPr="0055724E">
        <w:rPr>
          <w:rFonts w:cs="宋体"/>
          <w:kern w:val="0"/>
          <w:sz w:val="28"/>
          <w:szCs w:val="24"/>
        </w:rPr>
        <w:t>其説可從。“膳之”意謂爲他們設膳，也就是請他們吃飯的意思。如果把“具食”的意義理解得廣泛一點，以上所説的“盛膳”、“進膳”、</w:t>
      </w:r>
      <w:r w:rsidRPr="0055724E">
        <w:rPr>
          <w:rFonts w:cs="宋体"/>
          <w:kern w:val="0"/>
          <w:sz w:val="28"/>
          <w:szCs w:val="24"/>
        </w:rPr>
        <w:lastRenderedPageBreak/>
        <w:t>“獻以供膳”、“烹調膳，製成膳”等意幾乎都可以包含在所謂“具食”中。</w:t>
      </w:r>
    </w:p>
    <w:p w14:paraId="5B54E484"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“膳”又有“用膳”之義。《儀禮·士相見禮》：“夜侍坐，問夜，膳葷，請退可也。”鄭玄注：“膳</w:t>
      </w:r>
      <w:r w:rsidRPr="0055724E">
        <w:rPr>
          <w:rFonts w:cs="宋体"/>
          <w:b/>
          <w:bCs/>
          <w:color w:val="A0A0A0"/>
          <w:kern w:val="0"/>
          <w:sz w:val="21"/>
          <w:szCs w:val="21"/>
        </w:rPr>
        <w:t>（此膳下本有‘葷’字，據校勘記刪）</w:t>
      </w:r>
      <w:r w:rsidRPr="0055724E">
        <w:rPr>
          <w:rFonts w:cs="宋体"/>
          <w:kern w:val="0"/>
          <w:sz w:val="28"/>
          <w:szCs w:val="24"/>
        </w:rPr>
        <w:t>謂食之，葷，辛物，葱薤之屬，食之以止臥。古文葷作薫。”</w:t>
      </w:r>
      <w:r w:rsidRPr="00965627">
        <w:rPr>
          <w:rStyle w:val="ae"/>
          <w:rFonts w:cs="宋体"/>
          <w:kern w:val="0"/>
          <w:sz w:val="28"/>
          <w:szCs w:val="24"/>
        </w:rPr>
        <w:endnoteReference w:id="218"/>
      </w:r>
      <w:r w:rsidRPr="0055724E">
        <w:rPr>
          <w:rFonts w:cs="宋体"/>
          <w:kern w:val="0"/>
          <w:sz w:val="28"/>
          <w:szCs w:val="24"/>
        </w:rPr>
        <w:t>《禮記·文王世子》：“食上，必在視寒暖之節；食下，問所膳。”“問所膳”，鄭玄注：“問所食者。”</w:t>
      </w:r>
      <w:r w:rsidRPr="00965627">
        <w:rPr>
          <w:rStyle w:val="ae"/>
          <w:rFonts w:cs="宋体"/>
          <w:kern w:val="0"/>
          <w:sz w:val="28"/>
          <w:szCs w:val="24"/>
        </w:rPr>
        <w:endnoteReference w:id="219"/>
      </w:r>
    </w:p>
    <w:p w14:paraId="4E7EC08B"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古書中可能還有我們未注意到的“膳”的其他意義。</w:t>
      </w:r>
    </w:p>
    <w:p w14:paraId="6C6E7F67" w14:textId="62CD9CD9"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關於“善”字的本義問題，還可以有另外一種設想，也許“善”是一個古人所説的“形局義通”的表意字，“善”的字形是以人們競言羊膳之美來表示“把/能把高級食物做得很好”的意思的，但實際上其本義要表示的則是一般的“把/能把事做得很好”的意思，其情況與用由“犬”“自（象鼻形）”構成的“臭”字表示指一般“嗅覺”的“臭（嗅）”這個詞</w:t>
      </w:r>
      <w:r w:rsidRPr="00965627">
        <w:rPr>
          <w:rStyle w:val="ae"/>
          <w:rFonts w:cs="宋体"/>
          <w:kern w:val="0"/>
          <w:sz w:val="28"/>
          <w:szCs w:val="24"/>
        </w:rPr>
        <w:endnoteReference w:id="220"/>
      </w:r>
      <w:r w:rsidRPr="0055724E">
        <w:rPr>
          <w:rFonts w:cs="宋体"/>
          <w:kern w:val="0"/>
          <w:sz w:val="28"/>
          <w:szCs w:val="24"/>
        </w:rPr>
        <w:t>相似。這樣，“把/能把高級食物做得很好”當然就不是“把/能把事做得很好”所從出的較原始的意思，而只能是“把/能把事做得很好”的一種具體情況了，“膳”則是爲“把/能把高級食物做得很好”之義的一些引申義而造的一個後起加旁字。</w:t>
      </w:r>
      <w:r w:rsidRPr="0055724E">
        <w:rPr>
          <w:rFonts w:cs="宋体"/>
          <w:kern w:val="0"/>
          <w:sz w:val="28"/>
          <w:szCs w:val="24"/>
        </w:rPr>
        <w:lastRenderedPageBreak/>
        <w:t>我們有些傾向於這後一種設想，但這兩種設想都不正確的可能性也是存在的。“善”以及與其關係密切的“能”這兩個詞是否確如我們所見尚未見於出土的商代文獻</w:t>
      </w:r>
      <w:r w:rsidRPr="00965627">
        <w:rPr>
          <w:rStyle w:val="ae"/>
          <w:rFonts w:cs="宋体"/>
          <w:kern w:val="0"/>
          <w:sz w:val="28"/>
          <w:szCs w:val="24"/>
        </w:rPr>
        <w:endnoteReference w:id="221"/>
      </w:r>
      <w:r w:rsidRPr="0055724E">
        <w:rPr>
          <w:rFonts w:cs="宋体"/>
          <w:kern w:val="0"/>
          <w:sz w:val="28"/>
          <w:szCs w:val="24"/>
        </w:rPr>
        <w:t>，這也是一個問題。我們期待著有關的新資料和新研究的出現。</w:t>
      </w:r>
    </w:p>
    <w:p w14:paraId="05071504" w14:textId="77777777" w:rsidR="00445DA3" w:rsidRDefault="00445DA3" w:rsidP="00445DA3">
      <w:pPr>
        <w:widowControl/>
        <w:spacing w:beforeLines="50" w:before="180" w:line="480" w:lineRule="auto"/>
        <w:ind w:firstLine="480"/>
        <w:jc w:val="left"/>
        <w:rPr>
          <w:rFonts w:cs="宋体"/>
          <w:kern w:val="0"/>
          <w:sz w:val="28"/>
          <w:szCs w:val="24"/>
        </w:rPr>
      </w:pPr>
    </w:p>
    <w:p w14:paraId="21305546" w14:textId="77777777" w:rsidR="009F4F5A" w:rsidRDefault="009F4F5A" w:rsidP="00445DA3">
      <w:pPr>
        <w:widowControl/>
        <w:spacing w:beforeLines="50" w:before="180" w:line="480" w:lineRule="auto"/>
        <w:jc w:val="center"/>
        <w:rPr>
          <w:rFonts w:cs="宋体"/>
          <w:kern w:val="0"/>
          <w:sz w:val="28"/>
          <w:szCs w:val="24"/>
        </w:rPr>
      </w:pPr>
      <w:r w:rsidRPr="0055724E">
        <w:rPr>
          <w:rFonts w:cs="宋体"/>
          <w:b/>
          <w:bCs/>
          <w:kern w:val="0"/>
          <w:sz w:val="28"/>
          <w:szCs w:val="24"/>
        </w:rPr>
        <w:t>六、《老子》中的“善”</w:t>
      </w:r>
    </w:p>
    <w:p w14:paraId="3F85FED5" w14:textId="77777777" w:rsidR="00445DA3" w:rsidRDefault="00445DA3" w:rsidP="00445DA3">
      <w:pPr>
        <w:widowControl/>
        <w:spacing w:beforeLines="50" w:before="180" w:line="480" w:lineRule="auto"/>
        <w:ind w:firstLine="480"/>
        <w:jc w:val="left"/>
        <w:rPr>
          <w:rFonts w:cs="宋体"/>
          <w:kern w:val="0"/>
          <w:sz w:val="28"/>
          <w:szCs w:val="24"/>
        </w:rPr>
      </w:pPr>
    </w:p>
    <w:p w14:paraId="0F863F64" w14:textId="7BBDE84E"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下面我們專門來討論《老子》中的“善”字。爲了討論時稱引的方便，先將《老子》中使用“善”字之處依其在書中出現的先後列舉一下。如果通行的王弼本中的有關文字對於理解《老子》原意不會產生問題，至少不會產生嚴重問題，則徑用通行的王弼本，後面括注章數；如其文中只有個別字、句須加改動，則在有問題的字、句後加括號予以説明。反之，則采用我們選定之本的文字，後面括注出處及通行的王弼本中相應的章數。</w:t>
      </w:r>
    </w:p>
    <w:p w14:paraId="60B0FCE4"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b/>
          <w:bCs/>
          <w:color w:val="A0A0A0"/>
          <w:kern w:val="0"/>
          <w:sz w:val="21"/>
          <w:szCs w:val="21"/>
        </w:rPr>
        <w:t>（1）天下皆知美之爲美，斯惡已；皆知善之爲善，斯不善已。（2章）</w:t>
      </w:r>
    </w:p>
    <w:p w14:paraId="1110C80F"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b/>
          <w:bCs/>
          <w:color w:val="A0A0A0"/>
          <w:kern w:val="0"/>
          <w:sz w:val="21"/>
          <w:szCs w:val="21"/>
        </w:rPr>
        <w:t>（2）上善若水。水善利萬物而不爭。處（帛甲乙皆作“居”）眾人之所惡，故幾於道。居善地，心善淵，與善仁（“仁”字應據帛乙及北大本改作“天”</w:t>
      </w:r>
      <w:r>
        <w:rPr>
          <w:rStyle w:val="ae"/>
          <w:rFonts w:cs="宋体"/>
          <w:b/>
          <w:bCs/>
          <w:color w:val="A0A0A0"/>
          <w:kern w:val="0"/>
          <w:sz w:val="21"/>
          <w:szCs w:val="21"/>
        </w:rPr>
        <w:endnoteReference w:id="222"/>
      </w:r>
      <w:r w:rsidRPr="0055724E">
        <w:rPr>
          <w:rFonts w:cs="宋体"/>
          <w:b/>
          <w:bCs/>
          <w:color w:val="A0A0A0"/>
          <w:kern w:val="0"/>
          <w:sz w:val="21"/>
          <w:szCs w:val="21"/>
        </w:rPr>
        <w:t>），言善信，正（簡帛</w:t>
      </w:r>
      <w:r w:rsidRPr="0055724E">
        <w:rPr>
          <w:rFonts w:cs="宋体"/>
          <w:b/>
          <w:bCs/>
          <w:color w:val="A0A0A0"/>
          <w:kern w:val="0"/>
          <w:sz w:val="21"/>
          <w:szCs w:val="21"/>
        </w:rPr>
        <w:lastRenderedPageBreak/>
        <w:t>本亦作“正”，傳世各本多作“政”，“正”應讀爲“政”）善治，事善能，動善時。夫唯不爭，故無尤。（8章）</w:t>
      </w:r>
    </w:p>
    <w:p w14:paraId="2CE30ACB"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b/>
          <w:bCs/>
          <w:color w:val="A0A0A0"/>
          <w:kern w:val="0"/>
          <w:sz w:val="21"/>
          <w:szCs w:val="21"/>
        </w:rPr>
        <w:t>（3）古之善爲士者，微妙玄通，深不可識……（15章）</w:t>
      </w:r>
    </w:p>
    <w:p w14:paraId="374B67D9" w14:textId="78994BEE" w:rsidR="009F4F5A" w:rsidRDefault="009F4F5A" w:rsidP="00445DA3">
      <w:pPr>
        <w:widowControl/>
        <w:spacing w:beforeLines="50" w:before="180" w:line="480" w:lineRule="auto"/>
        <w:ind w:firstLine="480"/>
        <w:jc w:val="left"/>
        <w:rPr>
          <w:rFonts w:cs="宋体"/>
          <w:kern w:val="0"/>
          <w:sz w:val="28"/>
          <w:szCs w:val="24"/>
        </w:rPr>
      </w:pPr>
      <w:r w:rsidRPr="0055724E">
        <w:rPr>
          <w:rFonts w:cs="宋体"/>
          <w:b/>
          <w:bCs/>
          <w:color w:val="A0A0A0"/>
          <w:kern w:val="0"/>
          <w:sz w:val="21"/>
          <w:szCs w:val="21"/>
        </w:rPr>
        <w:t>（4）善行無轍（帛乙原字作“達”，一般皆依今本讀爲“轍”）迹，善言者無瑕讁，善數者不用籌策，善閉者無關</w:t>
      </w:r>
      <w:r w:rsidRPr="00587A8D">
        <w:rPr>
          <w:rFonts w:ascii="SimSun-ExtB" w:eastAsia="SimSun-ExtB" w:hAnsi="SimSun-ExtB" w:cs="SimSun-ExtB" w:hint="eastAsia"/>
          <w:b/>
          <w:bCs/>
          <w:color w:val="A0A0A0"/>
          <w:kern w:val="0"/>
          <w:sz w:val="21"/>
          <w:szCs w:val="21"/>
        </w:rPr>
        <w:t>𨷲</w:t>
      </w:r>
      <w:r w:rsidRPr="0055724E">
        <w:rPr>
          <w:rFonts w:cs="宋体"/>
          <w:b/>
          <w:bCs/>
          <w:color w:val="A0A0A0"/>
          <w:kern w:val="0"/>
          <w:sz w:val="21"/>
          <w:szCs w:val="21"/>
        </w:rPr>
        <w:fldChar w:fldCharType="begin"/>
      </w:r>
      <w:r w:rsidRPr="0055724E">
        <w:rPr>
          <w:rFonts w:cs="宋体"/>
          <w:b/>
          <w:bCs/>
          <w:color w:val="A0A0A0"/>
          <w:kern w:val="0"/>
          <w:sz w:val="21"/>
          <w:szCs w:val="21"/>
        </w:rPr>
        <w:instrText xml:space="preserve"> INCLUDEPICTURE "/Users/yadomimac/Library/Group Containers/UBF8T346G9.ms/WebArchiveCopyPasteTempFiles/com.microsoft.Word/svg%3E" \* MERGEFORMATINET </w:instrText>
      </w:r>
      <w:r w:rsidRPr="0055724E">
        <w:rPr>
          <w:rFonts w:cs="宋体"/>
          <w:b/>
          <w:bCs/>
          <w:color w:val="A0A0A0"/>
          <w:kern w:val="0"/>
          <w:sz w:val="21"/>
          <w:szCs w:val="21"/>
        </w:rPr>
        <w:fldChar w:fldCharType="end"/>
      </w:r>
      <w:r w:rsidRPr="0055724E">
        <w:rPr>
          <w:rFonts w:cs="宋体"/>
          <w:b/>
          <w:bCs/>
          <w:color w:val="A0A0A0"/>
          <w:kern w:val="0"/>
          <w:sz w:val="21"/>
          <w:szCs w:val="21"/>
        </w:rPr>
        <w:t>而不可啟也，善結者無纆約而不可解也。是以聖人恒善救人，而無棄人；物無棄財，是謂</w:t>
      </w:r>
      <w:r w:rsidR="004E2C55">
        <w:rPr>
          <w:rFonts w:ascii="Helvetica Neue" w:hAnsi="Helvetica Neue"/>
          <w:b/>
          <w:bCs/>
          <w:noProof/>
          <w:color w:val="A0A0A0"/>
          <w:spacing w:val="8"/>
          <w:sz w:val="21"/>
          <w:szCs w:val="21"/>
          <w:shd w:val="clear" w:color="auto" w:fill="FFFFFF"/>
        </w:rPr>
        <w:drawing>
          <wp:inline distT="0" distB="0" distL="0" distR="0" wp14:anchorId="14F33698" wp14:editId="1C801459">
            <wp:extent cx="120650" cy="133350"/>
            <wp:effectExtent l="0" t="0" r="0" b="0"/>
            <wp:docPr id="95" name="图片 95"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图片"/>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20650" cy="133350"/>
                    </a:xfrm>
                    <a:prstGeom prst="rect">
                      <a:avLst/>
                    </a:prstGeom>
                    <a:noFill/>
                    <a:ln>
                      <a:noFill/>
                    </a:ln>
                  </pic:spPr>
                </pic:pic>
              </a:graphicData>
            </a:graphic>
          </wp:inline>
        </w:drawing>
      </w:r>
      <w:r w:rsidRPr="0055724E">
        <w:rPr>
          <w:rFonts w:cs="宋体"/>
          <w:b/>
          <w:bCs/>
          <w:color w:val="A0A0A0"/>
          <w:kern w:val="0"/>
          <w:sz w:val="21"/>
          <w:szCs w:val="21"/>
        </w:rPr>
        <w:fldChar w:fldCharType="begin"/>
      </w:r>
      <w:r w:rsidRPr="0055724E">
        <w:rPr>
          <w:rFonts w:cs="宋体"/>
          <w:b/>
          <w:bCs/>
          <w:color w:val="A0A0A0"/>
          <w:kern w:val="0"/>
          <w:sz w:val="21"/>
          <w:szCs w:val="21"/>
        </w:rPr>
        <w:instrText xml:space="preserve"> INCLUDEPICTURE "/Users/yadomimac/Library/Group Containers/UBF8T346G9.ms/WebArchiveCopyPasteTempFiles/com.microsoft.Word/svg%3E" \* MERGEFORMATINET </w:instrText>
      </w:r>
      <w:r w:rsidRPr="0055724E">
        <w:rPr>
          <w:rFonts w:cs="宋体"/>
          <w:b/>
          <w:bCs/>
          <w:color w:val="A0A0A0"/>
          <w:kern w:val="0"/>
          <w:sz w:val="21"/>
          <w:szCs w:val="21"/>
        </w:rPr>
        <w:fldChar w:fldCharType="end"/>
      </w:r>
      <w:r w:rsidRPr="0055724E">
        <w:rPr>
          <w:rFonts w:cs="宋体"/>
          <w:b/>
          <w:bCs/>
          <w:color w:val="A0A0A0"/>
          <w:kern w:val="0"/>
          <w:sz w:val="21"/>
          <w:szCs w:val="21"/>
        </w:rPr>
        <w:t>明。故善人，善人之師；不善人，善人之資也。不貴其師，不愛其資，雖智乎大迷，是謂妙要。（帛乙241下—242下，今本相當文字見27章）</w:t>
      </w:r>
    </w:p>
    <w:p w14:paraId="609D3981" w14:textId="1D21DDEC" w:rsidR="009F4F5A" w:rsidRDefault="009F4F5A" w:rsidP="00445DA3">
      <w:pPr>
        <w:widowControl/>
        <w:spacing w:beforeLines="50" w:before="180" w:line="480" w:lineRule="auto"/>
        <w:ind w:firstLine="480"/>
        <w:jc w:val="left"/>
        <w:rPr>
          <w:rFonts w:cs="宋体"/>
          <w:kern w:val="0"/>
          <w:sz w:val="28"/>
          <w:szCs w:val="24"/>
        </w:rPr>
      </w:pPr>
      <w:r w:rsidRPr="0055724E">
        <w:rPr>
          <w:rFonts w:cs="宋体"/>
          <w:b/>
          <w:bCs/>
          <w:color w:val="A0A0A0"/>
          <w:kern w:val="0"/>
          <w:sz w:val="21"/>
          <w:szCs w:val="21"/>
        </w:rPr>
        <w:t>（5）以道佐人主，不以兵强〔於〕天下。〔其事好還。師之〕所居，楚棘生之。善者果而已矣，毋以取强焉。果而毋驕，果而勿矜，果而〔勿伐〕，果而毋得巳居，是謂〔果〕而不强。（帛甲152—154。今本相當文字見30章）</w:t>
      </w:r>
    </w:p>
    <w:p w14:paraId="36DC2C65"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b/>
          <w:bCs/>
          <w:color w:val="A0A0A0"/>
          <w:kern w:val="0"/>
          <w:sz w:val="21"/>
          <w:szCs w:val="21"/>
        </w:rPr>
        <w:t>（6）夫唯道，善始且善成。[帛乙5下—6上。北大本作“善貣（始）且成”。今本相當文字見41章]</w:t>
      </w:r>
    </w:p>
    <w:p w14:paraId="0BA75244"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b/>
          <w:bCs/>
          <w:color w:val="A0A0A0"/>
          <w:kern w:val="0"/>
          <w:sz w:val="21"/>
          <w:szCs w:val="21"/>
        </w:rPr>
        <w:t>（7）善者吾善之，不善者吾亦善之，德（得）善。信者吾信之，不信者吾亦信之，德（得）信。（49章）</w:t>
      </w:r>
    </w:p>
    <w:p w14:paraId="373C68D2"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b/>
          <w:bCs/>
          <w:color w:val="A0A0A0"/>
          <w:kern w:val="0"/>
          <w:sz w:val="21"/>
          <w:szCs w:val="21"/>
        </w:rPr>
        <w:t>（8）蓋聞善攝生者，陸（帛甲乙、北大本皆作“陵”）行不遇（帛甲此字殘，帛乙、北大本皆作“避”）兕虎，入軍不被甲兵。（50章）</w:t>
      </w:r>
    </w:p>
    <w:p w14:paraId="1A5FBA43"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b/>
          <w:bCs/>
          <w:color w:val="A0A0A0"/>
          <w:kern w:val="0"/>
          <w:sz w:val="21"/>
          <w:szCs w:val="21"/>
        </w:rPr>
        <w:lastRenderedPageBreak/>
        <w:t>（9）善建者不拔，善抱者不脱，子孫以祭祀不輟。（54章）</w:t>
      </w:r>
    </w:p>
    <w:p w14:paraId="7C33DCDC"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b/>
          <w:bCs/>
          <w:color w:val="A0A0A0"/>
          <w:kern w:val="0"/>
          <w:sz w:val="21"/>
          <w:szCs w:val="21"/>
        </w:rPr>
        <w:t>（10）禍兮福之所倚，福兮禍之所伏，孰知其極？其無正？正復爲奇，善復爲妖。人之迷，其日固久。（58章）</w:t>
      </w:r>
    </w:p>
    <w:p w14:paraId="3D7C6B08"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b/>
          <w:bCs/>
          <w:color w:val="A0A0A0"/>
          <w:kern w:val="0"/>
          <w:sz w:val="21"/>
          <w:szCs w:val="21"/>
        </w:rPr>
        <w:t>（11）道者萬物之奥（帛甲乙作“注”），善人之寳，不善人之所保。美言可以市，尊行可以加人。人之不善，何棄之有。（62章）</w:t>
      </w:r>
    </w:p>
    <w:p w14:paraId="7DD737BE"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b/>
          <w:bCs/>
          <w:color w:val="A0A0A0"/>
          <w:kern w:val="0"/>
          <w:sz w:val="21"/>
          <w:szCs w:val="21"/>
        </w:rPr>
        <w:t>（12）江海所以能爲百谷王者，以其善下之，故能爲百谷王。（66章）</w:t>
      </w:r>
    </w:p>
    <w:p w14:paraId="5A80F486"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b/>
          <w:bCs/>
          <w:color w:val="A0A0A0"/>
          <w:kern w:val="0"/>
          <w:sz w:val="21"/>
          <w:szCs w:val="21"/>
        </w:rPr>
        <w:t>（13）善爲士者不武，善戰者不怒，善勝敵者不與，善用人者爲之下。（68章）</w:t>
      </w:r>
    </w:p>
    <w:p w14:paraId="2C020522"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b/>
          <w:bCs/>
          <w:color w:val="A0A0A0"/>
          <w:kern w:val="0"/>
          <w:sz w:val="21"/>
          <w:szCs w:val="21"/>
        </w:rPr>
        <w:t>（14）天之道，不争而善勝，不言而善應（其意似當爲不言而善於使人應從），不召而自來，繟然而善謀。（73章）</w:t>
      </w:r>
    </w:p>
    <w:p w14:paraId="5D3149FC"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b/>
          <w:bCs/>
          <w:color w:val="A0A0A0"/>
          <w:kern w:val="0"/>
          <w:sz w:val="21"/>
          <w:szCs w:val="21"/>
        </w:rPr>
        <w:t>（15）和大怨，必有餘怨，安可以爲善？是以聖人執左契，而不責於人。有德司契，無德司徹。天道無親，常與善人。（79章）</w:t>
      </w:r>
    </w:p>
    <w:p w14:paraId="0818C279"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b/>
          <w:bCs/>
          <w:color w:val="A0A0A0"/>
          <w:kern w:val="0"/>
          <w:sz w:val="21"/>
          <w:szCs w:val="21"/>
        </w:rPr>
        <w:t>（16）信言不美，美言不信。知者不博，博者不知。善者不多，多者不善。（帛乙31下。今本相當文字見81章）</w:t>
      </w:r>
    </w:p>
    <w:p w14:paraId="6A2BC066" w14:textId="77777777" w:rsidR="009F4F5A" w:rsidRDefault="009F4F5A" w:rsidP="00445DA3">
      <w:pPr>
        <w:widowControl/>
        <w:spacing w:beforeLines="50" w:before="180" w:line="480" w:lineRule="auto"/>
        <w:jc w:val="left"/>
        <w:rPr>
          <w:rFonts w:cs="宋体"/>
          <w:kern w:val="0"/>
          <w:sz w:val="28"/>
          <w:szCs w:val="24"/>
        </w:rPr>
      </w:pPr>
      <w:r w:rsidRPr="0055724E">
        <w:rPr>
          <w:rFonts w:cs="宋体"/>
          <w:kern w:val="0"/>
          <w:sz w:val="28"/>
          <w:szCs w:val="24"/>
        </w:rPr>
        <w:t>王弼本第20章有“善之與惡，相去何若”一語，簡帛本皆作“美與惡，其相去何若”，今傳各本多同王弼本，唯傅奕本與龍本（即遂州道德經碑本）作“美與惡”</w:t>
      </w:r>
      <w:r w:rsidRPr="00965627">
        <w:rPr>
          <w:rStyle w:val="ae"/>
          <w:rFonts w:cs="宋体"/>
          <w:kern w:val="0"/>
          <w:sz w:val="28"/>
          <w:szCs w:val="24"/>
        </w:rPr>
        <w:endnoteReference w:id="223"/>
      </w:r>
      <w:r w:rsidRPr="0055724E">
        <w:rPr>
          <w:rFonts w:cs="宋体"/>
          <w:kern w:val="0"/>
          <w:sz w:val="28"/>
          <w:szCs w:val="24"/>
        </w:rPr>
        <w:t>，尚存古本之舊。第65章有“古之善</w:t>
      </w:r>
      <w:r w:rsidRPr="0055724E">
        <w:rPr>
          <w:rFonts w:cs="宋体"/>
          <w:kern w:val="0"/>
          <w:sz w:val="28"/>
          <w:szCs w:val="24"/>
        </w:rPr>
        <w:lastRenderedPageBreak/>
        <w:t>爲道者，非以明民，將以愚之”一語，郭店本無此章，帛甲乙、北大本“善爲道者”皆作“爲道者”，無“善”字</w:t>
      </w:r>
      <w:r w:rsidRPr="00965627">
        <w:rPr>
          <w:rStyle w:val="ae"/>
          <w:rFonts w:cs="宋体"/>
          <w:kern w:val="0"/>
          <w:sz w:val="28"/>
          <w:szCs w:val="24"/>
        </w:rPr>
        <w:endnoteReference w:id="224"/>
      </w:r>
      <w:r w:rsidRPr="0055724E">
        <w:rPr>
          <w:rFonts w:cs="宋体"/>
          <w:kern w:val="0"/>
          <w:sz w:val="28"/>
          <w:szCs w:val="24"/>
        </w:rPr>
        <w:t>。故未引出。</w:t>
      </w:r>
    </w:p>
    <w:p w14:paraId="0D7B7B1D"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老子》中的“善”字，除個別爲《老子》特有的用法之外，通常都可以按照先秦古書中“善”字的用法來理解。不過，我們認爲，老子用的應該是“能把事做得很好”、“能幹”、“擅長；善於”這類較古的意義。老子對世俗的仁義道德采取輕視甚至鄙視的態度，“善”字由於受傳統的道德觀念的影響而形成的較晚的意義，尤其是與“惡”相對的主要指道德好的那種意義，老子大概是不會使用的。多數解《老》者不明白這一點，往往產生錯誤的理解，應加辨析。王弼本20章的“善之與惡”，據王弼注等資料“善”字本應作“美”，除增“之”字外，與簡帛本相合，後人因善惡之語常見，遂改“美”爲“善”，就是由於不明《老子》用“善”字的習慣。以下對意義不够明確或一般人對其意義多有誤解的“善”字分別加以討論，其先後不按今本章序，視討論的需要而定。</w:t>
      </w:r>
    </w:p>
    <w:p w14:paraId="7C8156FE"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老子》裏“善者”三見。例（5）講用兵之事，“善者果而已矣，毋以取强焉”句中的“善者”顯然跟一般兵書中的“善者”一樣，是指善用兵者。對這個“善者”的理解，一般都是正確的。例（16）所引之文用帛乙本，此文不見於郭店簡，帛甲殘損嚴重，“善者不多，</w:t>
      </w:r>
      <w:r w:rsidRPr="0055724E">
        <w:rPr>
          <w:rFonts w:cs="宋体"/>
          <w:kern w:val="0"/>
          <w:sz w:val="28"/>
          <w:szCs w:val="24"/>
        </w:rPr>
        <w:lastRenderedPageBreak/>
        <w:t>多者不善”兩句中二“多”字皆已不存，北大本則作“善者不辯，辯者不善”，已與今傳各本相同。此文“善者”也應指“能把事做得很好的人”或“能幹的人”，“善者不多，多者不善”的意思是説：能把事做得很好的人，他所幹的事是不會很多的，如果什麼事都幹，那就一定幹不好。《論語·子罕》：“大宰問於子貢曰：‘夫子聖者與？何其多能也？’子貢曰：‘固天縱之將聖，又多能也。’子聞之，曰：‘大宰知我乎！吾少也賤，故多能鄙事。君子多乎哉？不多也。’”例（16）的“不多”與孔子所説的“君子多乎哉？不多也”的“不多”義近。疑後人因將此文“善者”之“善”誤解爲善惡之“善”一類意義，覺得二“多”字之義難解，遂輒改爲“辯”。我們注意到的《老子》古注只有元代吴澄《道德真經注》把“善者不辯，辯者不善”解釋爲“實有能者口不好辨，好辨以誇者非實能其事也”</w:t>
      </w:r>
      <w:r w:rsidRPr="00965627">
        <w:rPr>
          <w:rStyle w:val="ae"/>
          <w:rFonts w:cs="宋体"/>
          <w:kern w:val="0"/>
          <w:sz w:val="28"/>
          <w:szCs w:val="24"/>
        </w:rPr>
        <w:endnoteReference w:id="225"/>
      </w:r>
      <w:r w:rsidRPr="0055724E">
        <w:rPr>
          <w:rFonts w:cs="宋体"/>
          <w:kern w:val="0"/>
          <w:sz w:val="28"/>
          <w:szCs w:val="24"/>
        </w:rPr>
        <w:t>，對“善者”的理解是正確的，可惜他没能看到作“善者不多”的古本。例（7）的“善者”應與例（5）、例（16）的“善者”同義，而“不善者”應指不能幹的人。我們認爲“善者吾善之，不善者吾亦善之”的意思是“世俗認爲是能幹的人，我也認爲他能幹；世俗認爲是不能幹的人，我也認爲他能幹”，老子這樣説的用意就是要泯没世俗所謂能幹與不能幹的區別。接在後面的“德善”，帛乙本句末有“也”字</w:t>
      </w:r>
      <w:r w:rsidRPr="00965627">
        <w:rPr>
          <w:rStyle w:val="ae"/>
          <w:rFonts w:cs="宋体"/>
          <w:kern w:val="0"/>
          <w:sz w:val="28"/>
          <w:szCs w:val="24"/>
        </w:rPr>
        <w:endnoteReference w:id="226"/>
      </w:r>
      <w:r w:rsidRPr="0055724E">
        <w:rPr>
          <w:rFonts w:cs="宋体"/>
          <w:kern w:val="0"/>
          <w:sz w:val="28"/>
          <w:szCs w:val="24"/>
        </w:rPr>
        <w:t>，北大</w:t>
      </w:r>
      <w:r w:rsidRPr="0055724E">
        <w:rPr>
          <w:rFonts w:cs="宋体"/>
          <w:kern w:val="0"/>
          <w:sz w:val="28"/>
          <w:szCs w:val="24"/>
        </w:rPr>
        <w:lastRenderedPageBreak/>
        <w:t>本亦有“也”字</w:t>
      </w:r>
      <w:r w:rsidRPr="00965627">
        <w:rPr>
          <w:rStyle w:val="ae"/>
          <w:rFonts w:cs="宋体"/>
          <w:kern w:val="0"/>
          <w:sz w:val="28"/>
          <w:szCs w:val="24"/>
        </w:rPr>
        <w:endnoteReference w:id="227"/>
      </w:r>
      <w:r w:rsidRPr="0055724E">
        <w:rPr>
          <w:rFonts w:cs="宋体"/>
          <w:kern w:val="0"/>
          <w:sz w:val="28"/>
          <w:szCs w:val="24"/>
        </w:rPr>
        <w:t>，傳世各本多於句末加“矣”字</w:t>
      </w:r>
      <w:r w:rsidRPr="00965627">
        <w:rPr>
          <w:rStyle w:val="ae"/>
          <w:rFonts w:cs="宋体"/>
          <w:kern w:val="0"/>
          <w:sz w:val="28"/>
          <w:szCs w:val="24"/>
        </w:rPr>
        <w:endnoteReference w:id="228"/>
      </w:r>
      <w:r w:rsidRPr="0055724E">
        <w:rPr>
          <w:rFonts w:cs="宋体"/>
          <w:kern w:val="0"/>
          <w:sz w:val="28"/>
          <w:szCs w:val="24"/>
        </w:rPr>
        <w:t>。“德”字，今傳各本有不少作“得”</w:t>
      </w:r>
      <w:r w:rsidRPr="00965627">
        <w:rPr>
          <w:rStyle w:val="ae"/>
          <w:rFonts w:cs="宋体"/>
          <w:kern w:val="0"/>
          <w:sz w:val="28"/>
          <w:szCs w:val="24"/>
        </w:rPr>
        <w:endnoteReference w:id="229"/>
      </w:r>
      <w:r w:rsidRPr="0055724E">
        <w:rPr>
          <w:rFonts w:cs="宋体"/>
          <w:kern w:val="0"/>
          <w:sz w:val="28"/>
          <w:szCs w:val="24"/>
        </w:rPr>
        <w:t>，帛乙本亦作“德”</w:t>
      </w:r>
      <w:r w:rsidRPr="0055724E">
        <w:rPr>
          <w:rFonts w:cs="宋体"/>
          <w:b/>
          <w:bCs/>
          <w:color w:val="A0A0A0"/>
          <w:kern w:val="0"/>
          <w:sz w:val="21"/>
          <w:szCs w:val="21"/>
        </w:rPr>
        <w:t>（帛甲本字殘）</w:t>
      </w:r>
      <w:r w:rsidRPr="0055724E">
        <w:rPr>
          <w:rFonts w:cs="宋体"/>
          <w:kern w:val="0"/>
          <w:sz w:val="28"/>
          <w:szCs w:val="24"/>
        </w:rPr>
        <w:t>，北大本作“直”，古今解《老》者多數認爲“德”應讀爲“得”</w:t>
      </w:r>
      <w:r w:rsidRPr="0055724E">
        <w:rPr>
          <w:rFonts w:cs="宋体"/>
          <w:b/>
          <w:bCs/>
          <w:color w:val="A0A0A0"/>
          <w:kern w:val="0"/>
          <w:sz w:val="21"/>
          <w:szCs w:val="21"/>
        </w:rPr>
        <w:t>（北大本整理者亦讀“直”爲“得”</w:t>
      </w:r>
      <w:r>
        <w:rPr>
          <w:rStyle w:val="ae"/>
          <w:rFonts w:cs="宋体"/>
          <w:b/>
          <w:bCs/>
          <w:color w:val="A0A0A0"/>
          <w:kern w:val="0"/>
          <w:sz w:val="21"/>
          <w:szCs w:val="21"/>
        </w:rPr>
        <w:endnoteReference w:id="230"/>
      </w:r>
      <w:r w:rsidRPr="0055724E">
        <w:rPr>
          <w:rFonts w:cs="宋体"/>
          <w:b/>
          <w:bCs/>
          <w:color w:val="A0A0A0"/>
          <w:kern w:val="0"/>
          <w:sz w:val="21"/>
          <w:szCs w:val="21"/>
        </w:rPr>
        <w:t>）</w:t>
      </w:r>
      <w:r w:rsidRPr="0055724E">
        <w:rPr>
          <w:rFonts w:cs="宋体"/>
          <w:kern w:val="0"/>
          <w:sz w:val="28"/>
          <w:szCs w:val="24"/>
        </w:rPr>
        <w:t>，從文意上看，這是正確的。“德（得）善”之“善”應指真正的、合乎道的“善”，這種用法的“善”是《老子》特有的，後面還要專門加以討論。老子蓋以爲只有泯没了世俗所謂“善”與“不善”的區別，才能使世人得到真正的也就是合乎道的“善”。吴澄注説“民之善不善、信不信，聖人不分其是非，皆以爲善，以爲信”</w:t>
      </w:r>
      <w:r w:rsidRPr="00965627">
        <w:rPr>
          <w:rStyle w:val="ae"/>
          <w:rFonts w:cs="宋体"/>
          <w:kern w:val="0"/>
          <w:sz w:val="28"/>
          <w:szCs w:val="24"/>
        </w:rPr>
        <w:endnoteReference w:id="231"/>
      </w:r>
      <w:r w:rsidRPr="0055724E">
        <w:rPr>
          <w:rFonts w:cs="宋体"/>
          <w:kern w:val="0"/>
          <w:sz w:val="28"/>
          <w:szCs w:val="24"/>
        </w:rPr>
        <w:t>，吴氏之意應即聖人要泯没世俗的善與不善、信與不信的界限，可惜他在這一章注中没有明確點出“善”的意義。一般解《老》者似多從道德的好壞來理解此章的“善”與“不善”，吴澄很可能也是這樣理解的，由於此章以“善”“不善”、“信”“不信”並提，很容易使人產生這種理解。</w:t>
      </w:r>
    </w:p>
    <w:p w14:paraId="77366596"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例（1）説“天下皆知美之爲美，斯惡已；皆知善之爲善，斯不善已”，從例（7）來看，此例的“善”和“不善”也應理解爲“能幹”和“不能幹”。這兩句話很費解，任繼愈翻譯爲：“天下的人都知道怎樣才算美，這就有了醜了；都知道怎樣才算善，這就有了惡了。”</w:t>
      </w:r>
      <w:r w:rsidRPr="00965627">
        <w:rPr>
          <w:rStyle w:val="ae"/>
          <w:rFonts w:cs="宋体"/>
          <w:kern w:val="0"/>
          <w:sz w:val="28"/>
          <w:szCs w:val="24"/>
        </w:rPr>
        <w:endnoteReference w:id="232"/>
      </w:r>
      <w:r w:rsidRPr="0055724E">
        <w:rPr>
          <w:rFonts w:cs="宋体"/>
          <w:kern w:val="0"/>
          <w:sz w:val="28"/>
          <w:szCs w:val="24"/>
        </w:rPr>
        <w:t>陳鼓應翻譯爲：“天下都知道美之所以爲美，醜的觀念也就</w:t>
      </w:r>
      <w:r w:rsidRPr="0055724E">
        <w:rPr>
          <w:rFonts w:cs="宋体"/>
          <w:kern w:val="0"/>
          <w:sz w:val="28"/>
          <w:szCs w:val="24"/>
        </w:rPr>
        <w:lastRenderedPageBreak/>
        <w:t>產生了；都知道善之所以爲善，不善的觀念也就產生了。”</w:t>
      </w:r>
      <w:r w:rsidRPr="00965627">
        <w:rPr>
          <w:rStyle w:val="ae"/>
          <w:rFonts w:cs="宋体"/>
          <w:kern w:val="0"/>
          <w:sz w:val="28"/>
          <w:szCs w:val="24"/>
        </w:rPr>
        <w:endnoteReference w:id="233"/>
      </w:r>
      <w:r w:rsidRPr="0055724E">
        <w:rPr>
          <w:rFonts w:cs="宋体"/>
          <w:kern w:val="0"/>
          <w:sz w:val="28"/>
          <w:szCs w:val="24"/>
        </w:rPr>
        <w:t>如果不管對“善”與“不善”的具體理解，他們的翻譯應該是與老子原意比較接近的</w:t>
      </w:r>
      <w:r w:rsidRPr="00965627">
        <w:rPr>
          <w:rStyle w:val="ae"/>
          <w:rFonts w:cs="宋体"/>
          <w:kern w:val="0"/>
          <w:sz w:val="28"/>
          <w:szCs w:val="24"/>
        </w:rPr>
        <w:endnoteReference w:id="234"/>
      </w:r>
      <w:r w:rsidRPr="0055724E">
        <w:rPr>
          <w:rFonts w:cs="宋体"/>
          <w:kern w:val="0"/>
          <w:sz w:val="28"/>
          <w:szCs w:val="24"/>
        </w:rPr>
        <w:t>。據此，“皆知善之爲善，斯不善已”的意思就可以理解爲“天下都知道什麼是‘能幹’，‘不能幹’的觀念就出現了”。這跟例（7）一樣，也表示了老子要泯没世俗的“善”與“不善”的區別。《老子》的注家似乎多數將這兩例中的“善”理解爲道德上的“善”，我們注意到的注家中只有前面提到過的吴澄就像在注例（16）的“善者”那樣以“能”解“善”。他注例（1）説：“美謂美於他物，以質而言也。善謂善於其事，以能而言也。美惡、善不善之名相因而有，以有惡故有美，以有不善故有善</w:t>
      </w:r>
      <w:r w:rsidRPr="0055724E">
        <w:rPr>
          <w:rFonts w:cs="宋体"/>
          <w:b/>
          <w:bCs/>
          <w:color w:val="A0A0A0"/>
          <w:kern w:val="0"/>
          <w:sz w:val="21"/>
          <w:szCs w:val="21"/>
        </w:rPr>
        <w:t>（引者按：此二句似就物有美惡、辦事有善不善之實際情況而言）</w:t>
      </w:r>
      <w:r w:rsidRPr="0055724E">
        <w:rPr>
          <w:rFonts w:cs="宋体"/>
          <w:kern w:val="0"/>
          <w:sz w:val="28"/>
          <w:szCs w:val="24"/>
        </w:rPr>
        <w:t>，皆知此之爲美則彼爲惡矣，皆知此之爲善則彼爲不善矣。欲二者皆泯於無，必不知美者之爲美，善者之爲善，則亦無惡無不善也。”</w:t>
      </w:r>
      <w:r w:rsidRPr="00965627">
        <w:rPr>
          <w:rStyle w:val="ae"/>
          <w:rFonts w:cs="宋体"/>
          <w:kern w:val="0"/>
          <w:sz w:val="28"/>
          <w:szCs w:val="24"/>
        </w:rPr>
        <w:endnoteReference w:id="235"/>
      </w:r>
      <w:r w:rsidRPr="0055724E">
        <w:rPr>
          <w:rFonts w:cs="宋体"/>
          <w:kern w:val="0"/>
          <w:sz w:val="28"/>
          <w:szCs w:val="24"/>
        </w:rPr>
        <w:t>其意可謂正確。</w:t>
      </w:r>
    </w:p>
    <w:p w14:paraId="5802C245"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例（10）“善復爲妖”的“善”，一般皆理解爲善惡之“善”</w:t>
      </w:r>
      <w:r w:rsidRPr="00965627">
        <w:rPr>
          <w:rStyle w:val="ae"/>
          <w:rFonts w:cs="宋体"/>
          <w:kern w:val="0"/>
          <w:sz w:val="28"/>
          <w:szCs w:val="24"/>
        </w:rPr>
        <w:endnoteReference w:id="236"/>
      </w:r>
      <w:r w:rsidRPr="0055724E">
        <w:rPr>
          <w:rFonts w:cs="宋体"/>
          <w:kern w:val="0"/>
          <w:sz w:val="28"/>
          <w:szCs w:val="24"/>
        </w:rPr>
        <w:t>。我們認爲此“善”字也應理解爲“能幹”一類意思。世俗認爲能幹的人，如果幹的是不合乎道的事，那就成爲“妖”了。例如善於用兵是“善”</w:t>
      </w:r>
      <w:r w:rsidRPr="0055724E">
        <w:rPr>
          <w:rFonts w:cs="宋体"/>
          <w:b/>
          <w:bCs/>
          <w:color w:val="A0A0A0"/>
          <w:kern w:val="0"/>
          <w:sz w:val="21"/>
          <w:szCs w:val="21"/>
        </w:rPr>
        <w:t>（能幹）</w:t>
      </w:r>
      <w:r w:rsidRPr="0055724E">
        <w:rPr>
          <w:rFonts w:cs="宋体"/>
          <w:kern w:val="0"/>
          <w:sz w:val="28"/>
          <w:szCs w:val="24"/>
        </w:rPr>
        <w:t>的一種表現，如果用這種“善”來做好事，如抵禦侵略等，那當然是好的；如果用這種“善”來發動侵略戰爭，那就可以説</w:t>
      </w:r>
      <w:r w:rsidRPr="0055724E">
        <w:rPr>
          <w:rFonts w:cs="宋体"/>
          <w:kern w:val="0"/>
          <w:sz w:val="28"/>
          <w:szCs w:val="24"/>
        </w:rPr>
        <w:lastRenderedPageBreak/>
        <w:t>“善”成爲“妖”了。老子所以要泯没世俗的“善”與“不善”的區別，一方面當然是像“不尚賢，使民不爭”一樣爲的是消滅“爭”，另一方面也應該是由於在一般人身上“善”往往會變成“妖”。</w:t>
      </w:r>
    </w:p>
    <w:p w14:paraId="4703423A"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例（4）自“故善人，善人之師”以下的末段和例（11）都以“善人”與“不善人”對言，但例（4）的情況極爲特殊，我們只能在解釋了例（11）的“善人”“不善人”之後再加以討論。前面梳理先秦時代“善”字用法的時候已經説明，春秋時代很多人把“善人”看作下“聖人”一等的才德具備的人的名稱，上面分析老子對當“能幹”一類意思講的“善”字的用法的時候，又已指出老子只承認合乎道的“善”是真正的“善”</w:t>
      </w:r>
      <w:r w:rsidRPr="0055724E">
        <w:rPr>
          <w:rFonts w:cs="宋体"/>
          <w:b/>
          <w:bCs/>
          <w:color w:val="A0A0A0"/>
          <w:kern w:val="0"/>
          <w:sz w:val="21"/>
          <w:szCs w:val="21"/>
        </w:rPr>
        <w:t>（參看下文對例（2）“上善若水”的分析）</w:t>
      </w:r>
      <w:r w:rsidRPr="0055724E">
        <w:rPr>
          <w:rFonts w:cs="宋体"/>
          <w:kern w:val="0"/>
          <w:sz w:val="28"/>
          <w:szCs w:val="24"/>
        </w:rPr>
        <w:t>，由此來看，老子所謂“善人”應該是指下“聖人”一等的體道、行道之人，跟“善人”相對的“不善人”應指那些尚未受到“聖人”“善人”教化的人。例（11）説“道”是“善人之寳，不善人之所保”，體道、行道的“善人”當然以道爲“寶”。對聖人來説，道更是他的寶。在跟“不善人”對言的時候，“善人”自然也可以包括“聖人”在内。接受了“聖人”“善人”的教化，能按照他們所教的、合乎道的精神的方式生活、行事，就能擺脫世俗的紛爭，得到安定，所以説道是“不善人”的庇護所。下文説“人之不善，何棄之有”，意思就是説對於</w:t>
      </w:r>
      <w:r w:rsidRPr="0055724E">
        <w:rPr>
          <w:rFonts w:cs="宋体"/>
          <w:kern w:val="0"/>
          <w:sz w:val="28"/>
          <w:szCs w:val="24"/>
        </w:rPr>
        <w:lastRenderedPageBreak/>
        <w:t>“不善人”，不能拋棄他，而應好好地以道來教化他。老子的道德觀念和政治理想與儒家等世俗之人截然有別，《老子》中的“善人”“不善人”與我們在前面討論“善人”含義的演變時所説到的“善人”“不善人”</w:t>
      </w:r>
      <w:r w:rsidRPr="0055724E">
        <w:rPr>
          <w:rFonts w:cs="宋体"/>
          <w:b/>
          <w:bCs/>
          <w:color w:val="A0A0A0"/>
          <w:kern w:val="0"/>
          <w:sz w:val="21"/>
          <w:szCs w:val="21"/>
        </w:rPr>
        <w:t>[參看三（二）1.]</w:t>
      </w:r>
      <w:r w:rsidRPr="0055724E">
        <w:rPr>
          <w:rFonts w:cs="宋体"/>
          <w:kern w:val="0"/>
          <w:sz w:val="28"/>
          <w:szCs w:val="24"/>
        </w:rPr>
        <w:t>有所不同是很自然的。</w:t>
      </w:r>
    </w:p>
    <w:p w14:paraId="0B7733F1"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例（4）末段的第一句，簡帛本與傳世本有極爲重要的差異，帛乙此段開頭部分作“故善人，善人之師；不善人，善人之資也”，帛甲同，北大本除開頭無“故”字，“善人之師”下有“也”字外，同帛書本。王弼本作“故善人者，不善人之師；不善人者，善人之資”，王本之外的傳世各本中，多數本無二“者”字，少數本開頭無“故”字，又有少數本句末有“也”字，但“善人之師”上皆有“不”字，與王弼本同。</w:t>
      </w:r>
      <w:r w:rsidRPr="00965627">
        <w:rPr>
          <w:rStyle w:val="ae"/>
          <w:rFonts w:cs="宋体"/>
          <w:kern w:val="0"/>
          <w:sz w:val="28"/>
          <w:szCs w:val="24"/>
        </w:rPr>
        <w:endnoteReference w:id="237"/>
      </w:r>
      <w:r w:rsidRPr="0055724E">
        <w:rPr>
          <w:rFonts w:cs="宋体"/>
          <w:kern w:val="0"/>
          <w:sz w:val="28"/>
          <w:szCs w:val="24"/>
        </w:rPr>
        <w:t>從表面上看，今本以“善人”爲“不善人之師”與“不善人”爲“善人之資”相對，文句顯得很整齊，但實際上“善人之師”上的“不”字，是後人臆加的，高明對此有詳細的論證，他説：</w:t>
      </w:r>
    </w:p>
    <w:p w14:paraId="49081679"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b/>
          <w:bCs/>
          <w:color w:val="A0A0A0"/>
          <w:kern w:val="0"/>
          <w:sz w:val="21"/>
          <w:szCs w:val="21"/>
        </w:rPr>
        <w:t>我們可依據《韓非子·喻老篇》對“不貴其師，不愛其資”之比喻，來判斷“善人，善人之師”與“善人，不善人之師”二者究竟孰是孰非。《喻老篇》云：“周有玉版，紂令膠鬲索之，文王不予；費仲來求，因予之。是膠鬲賢而費仲無道也，周惡賢者之得志也，故予費仲。文王舉太公於渭濱者，貴之也；而資費仲玉版者，是愛之也。故曰：‘不貴其師，不愛其資，雖知大迷，是謂要妙。’”韓非用文王予費仲玉版之事，以喻“愛資”。</w:t>
      </w:r>
      <w:r w:rsidRPr="0055724E">
        <w:rPr>
          <w:rFonts w:cs="宋体"/>
          <w:b/>
          <w:bCs/>
          <w:color w:val="A0A0A0"/>
          <w:kern w:val="0"/>
          <w:sz w:val="21"/>
          <w:szCs w:val="21"/>
        </w:rPr>
        <w:lastRenderedPageBreak/>
        <w:t>《内儲説下》云：“文王資費仲而游於紂之旁，令之諫紂而亂其心。”韓非在這裏清楚地説明了“不善人，善人之資”的具體内容，“不善人”指費仲，“善人”指文王。韓非又以文王舉太公之事，以喻“貴師”，從而又説明了“善人，善人之師”的具體内容，前一“善人”指太公，後一“善人”顯然還是指文王。由此可見，《韓非·喻老篇》所解老子此文，必與帛書甲、乙本相同。從而又可證明帛書甲、乙本“故善人，善人之師；不善人，善人之資”是正確的，保存了老子原文。今本所謂“故善人，不善人之師”者，無疑是由後人妄改，舊注亦多訛誤。</w:t>
      </w:r>
      <w:r>
        <w:rPr>
          <w:rStyle w:val="ae"/>
          <w:rFonts w:cs="宋体"/>
          <w:b/>
          <w:bCs/>
          <w:color w:val="A0A0A0"/>
          <w:kern w:val="0"/>
          <w:sz w:val="21"/>
          <w:szCs w:val="21"/>
        </w:rPr>
        <w:endnoteReference w:id="238"/>
      </w:r>
    </w:p>
    <w:p w14:paraId="4970CB55" w14:textId="77777777" w:rsidR="009F4F5A" w:rsidRDefault="009F4F5A" w:rsidP="00445DA3">
      <w:pPr>
        <w:widowControl/>
        <w:spacing w:beforeLines="50" w:before="180" w:line="480" w:lineRule="auto"/>
        <w:jc w:val="left"/>
        <w:rPr>
          <w:rFonts w:cs="宋体"/>
          <w:kern w:val="0"/>
          <w:sz w:val="28"/>
          <w:szCs w:val="24"/>
        </w:rPr>
      </w:pPr>
      <w:r w:rsidRPr="0055724E">
        <w:rPr>
          <w:rFonts w:cs="宋体"/>
          <w:kern w:val="0"/>
          <w:sz w:val="28"/>
          <w:szCs w:val="24"/>
        </w:rPr>
        <w:t>北大本整理者説：“傳世本‘善人之資’上多‘不’字，應爲衍文，帛書無。”</w:t>
      </w:r>
      <w:r w:rsidRPr="00965627">
        <w:rPr>
          <w:rStyle w:val="ae"/>
          <w:rFonts w:cs="宋体"/>
          <w:kern w:val="0"/>
          <w:sz w:val="28"/>
          <w:szCs w:val="24"/>
        </w:rPr>
        <w:endnoteReference w:id="239"/>
      </w:r>
      <w:r w:rsidRPr="0055724E">
        <w:rPr>
          <w:rFonts w:cs="宋体"/>
          <w:kern w:val="0"/>
          <w:sz w:val="28"/>
          <w:szCs w:val="24"/>
        </w:rPr>
        <w:t>大概是同意高明的意見的。我們也認爲高明的意見有理。因此，此段所説的“善人”和“不善人”的含義與例（11）不同，而與我們在前面討論“善人”含義的演變時所説到的“善人”和“不善人”相同，這是很奇怪的。例（4）的主旨是“聖人恒善救人，而無棄人”，這與説“道”是“善人之寶，不善人之所保”的例（11）所説的“人之不善，何棄之有”是完全一致的，例（4）末段文字不但與此主旨無關，而且所説“善人”“不善人”的含義與例（11）明顯不同，原來應爲獨立的一章，大概有些老子後學誤認爲其中所説的“善人”“不善人”的含義與例（11）相同，故將其與例（4）上文合併爲一章。帛書本此段之首有“故”字，當是在誤合之後又有人加</w:t>
      </w:r>
      <w:r w:rsidRPr="0055724E">
        <w:rPr>
          <w:rFonts w:cs="宋体"/>
          <w:kern w:val="0"/>
          <w:sz w:val="28"/>
          <w:szCs w:val="24"/>
        </w:rPr>
        <w:lastRenderedPageBreak/>
        <w:t>上去的。北大本此段之首作“善人，善人之師也；不善人，善人之資也”，無“故”字，兩句之末皆有“也”字，當反映了誤合之後較早的形態。在未加“故”字之前，此段開頭是獨立的兩句，故兩句之末皆有“也”字。加了“故”字之後，這兩句成爲同一大句中的兩個小句，所以前面一句中的“也”字就可以像帛書本那樣省掉了。北大本的文字往往有與帛書本不合而與郭簡反而相合的情況，如今本三十五章首句作執大象”，帛書本已如此，郭簡及北大本則皆作“埶（設）大象”。又如五十七章的“天下多忌諱，而民彌貧”，帛書本作“夫天下多忌諱，而民彌貧”，除句首有“夫”字外，與今本同，郭簡則作“夫天多期（忌）違（諱），而民彌畔（叛）”，北大本作“夫天多忌諱，而民彌貧”，雖已改“叛”爲“貧”，尚未在“天”下加“下”字，甚爲可貴。</w:t>
      </w:r>
      <w:r w:rsidRPr="00965627">
        <w:rPr>
          <w:rStyle w:val="ae"/>
          <w:rFonts w:cs="宋体"/>
          <w:kern w:val="0"/>
          <w:sz w:val="28"/>
          <w:szCs w:val="24"/>
        </w:rPr>
        <w:endnoteReference w:id="240"/>
      </w:r>
      <w:r w:rsidRPr="0055724E">
        <w:rPr>
          <w:rFonts w:cs="宋体"/>
          <w:kern w:val="0"/>
          <w:sz w:val="28"/>
          <w:szCs w:val="24"/>
        </w:rPr>
        <w:t>所以，北大本此段開頭的文字較帛書本爲近古是完全可能的。傳世各本此段開頭的文字雖然都已在“善人之師”上添加了“不”字，但仍有一些本子的文字尚有與北大本相合之處。《老子》想爾注本作：“善人，不善人師；不善人，善人之資。”</w:t>
      </w:r>
      <w:r w:rsidRPr="00965627">
        <w:rPr>
          <w:rStyle w:val="ae"/>
          <w:rFonts w:cs="宋体"/>
          <w:kern w:val="0"/>
          <w:sz w:val="28"/>
          <w:szCs w:val="24"/>
        </w:rPr>
        <w:endnoteReference w:id="241"/>
      </w:r>
      <w:r w:rsidRPr="0055724E">
        <w:rPr>
          <w:rFonts w:cs="宋体"/>
          <w:kern w:val="0"/>
          <w:sz w:val="28"/>
          <w:szCs w:val="24"/>
        </w:rPr>
        <w:t>雖然兩句之末無“也”字，“師”上無“之”字（也有可能是偶然抄脫此字），與北大本異，文首無“故”字則同於北大本。顧歡《道德真經注疏》本作：“善人，不善人之師；不善人者，善人之資。”</w:t>
      </w:r>
      <w:r w:rsidRPr="00965627">
        <w:rPr>
          <w:rStyle w:val="ae"/>
          <w:rFonts w:cs="宋体"/>
          <w:kern w:val="0"/>
          <w:sz w:val="28"/>
          <w:szCs w:val="24"/>
        </w:rPr>
        <w:endnoteReference w:id="242"/>
      </w:r>
      <w:r w:rsidRPr="0055724E">
        <w:rPr>
          <w:rFonts w:cs="宋体"/>
          <w:kern w:val="0"/>
          <w:sz w:val="28"/>
          <w:szCs w:val="24"/>
        </w:rPr>
        <w:t>文首亦無“故”</w:t>
      </w:r>
      <w:r w:rsidRPr="0055724E">
        <w:rPr>
          <w:rFonts w:cs="宋体"/>
          <w:kern w:val="0"/>
          <w:sz w:val="28"/>
          <w:szCs w:val="24"/>
        </w:rPr>
        <w:lastRenderedPageBreak/>
        <w:t>字。《群書治要》所采《老子》作：“善人者，不善人之師也；不善人者，善人之資也。”</w:t>
      </w:r>
      <w:r w:rsidRPr="00965627">
        <w:rPr>
          <w:rStyle w:val="ae"/>
          <w:rFonts w:cs="宋体"/>
          <w:kern w:val="0"/>
          <w:sz w:val="28"/>
          <w:szCs w:val="24"/>
        </w:rPr>
        <w:endnoteReference w:id="243"/>
      </w:r>
      <w:r w:rsidRPr="0055724E">
        <w:rPr>
          <w:rFonts w:cs="宋体"/>
          <w:kern w:val="0"/>
          <w:sz w:val="28"/>
          <w:szCs w:val="24"/>
        </w:rPr>
        <w:t>除多“不”字及二“者”字外，與北大本全同。李榮《道德經注》本作：“善人，不善人之師；不善人，善人之資。”</w:t>
      </w:r>
      <w:r w:rsidRPr="00965627">
        <w:rPr>
          <w:rStyle w:val="ae"/>
          <w:rFonts w:cs="宋体"/>
          <w:kern w:val="0"/>
          <w:sz w:val="28"/>
          <w:szCs w:val="24"/>
        </w:rPr>
        <w:endnoteReference w:id="244"/>
      </w:r>
      <w:r w:rsidRPr="0055724E">
        <w:rPr>
          <w:rFonts w:cs="宋体"/>
          <w:kern w:val="0"/>
          <w:sz w:val="28"/>
          <w:szCs w:val="24"/>
        </w:rPr>
        <w:t>二句末雖無“也”字，文首亦無“故”字，景龍碑本、敦煌丁本、P.2584、S.6453諸本與李榮本同。《後漢書·儒林傳》李賢注引作：“善人者，不善人之師也；不善人者，善人之資也。”兩句末皆有“也”字，應係節引之文，其所據原書文首是否有“故”字不能確知，但從兩句末皆有“也”字看，原本很可能就是没有“故”字的。以上諸本追溯其源，當皆出自此段文字與北大本相同的古本。從例（4）末段文字所説“善人”“不善人”的含義與例（11）不同來看，此段文字當非《老子》原文，應是先作爲獨立的一章羼入《老子》，稍後又因其中提到“善人”“不善人”而與例（4）上文誤合爲一章。《韓非子·喻老》已經對“不貴其師，不愛其資，雖知大迷，是謂要妙”舉例作了解釋，可見有關文字羼入《老子》的時代相當早，最遲不會晚於戰國後期。這段文字併入例（4）以後，有的本子在文首加上與上文銜接的“故”字，如帛書本，有的則未加“故”字，如北大本。後來又有人在“善人之師”上加上了“不”字，爲今傳各本所普遍接受。所以要加“不”字，應該主要是爲了使這段文字裏的“善</w:t>
      </w:r>
      <w:r w:rsidRPr="0055724E">
        <w:rPr>
          <w:rFonts w:cs="宋体"/>
          <w:kern w:val="0"/>
          <w:sz w:val="28"/>
          <w:szCs w:val="24"/>
        </w:rPr>
        <w:lastRenderedPageBreak/>
        <w:t>人”“不善人”與例（11）中的“善人”“不善人”的含義取得一致。但是，對文王利用來擾亂紂王朝政的費仲一類“不善人”，稱之爲“資”，是合適的，如把爲“善人”所教導的“不善人”稱爲“資”，就有些不倫不類了。在老子看來，“善人”教導“不善人”，“不善人”接受“善人”的教導，當然是天經地義的事，所謂“不貴其師，不愛其資，雖智乎大迷，是謂妙要”，更是無從説起了。《老子道德經古本集注》的作者，南宋時的范應元，雖然不知道二十七章末段“不善人之師”的“不”字是後人臆加的，並按照傳統的看法認爲這段文字中的“善人”“不善人”與《老子》中他處所見的“善人”“不善人”同義，但是他在此章注中對“善人”“不善人”的解釋却是相當有價值的，他説：“善人者，繼</w:t>
      </w:r>
      <w:r w:rsidRPr="0055724E">
        <w:rPr>
          <w:rFonts w:cs="宋体"/>
          <w:b/>
          <w:bCs/>
          <w:color w:val="A0A0A0"/>
          <w:kern w:val="0"/>
          <w:sz w:val="21"/>
          <w:szCs w:val="21"/>
        </w:rPr>
        <w:t>（引者按：此字疑有誤，也有可能應理解爲‘承受’一類意義）</w:t>
      </w:r>
      <w:r w:rsidRPr="0055724E">
        <w:rPr>
          <w:rFonts w:cs="宋体"/>
          <w:kern w:val="0"/>
          <w:sz w:val="28"/>
          <w:szCs w:val="24"/>
        </w:rPr>
        <w:t>道之人，先覺者也，非强行善，乃循本然之善也。不善人，未覺者也，非本不善，未明乎善也。”他在注六十二章有關部分</w:t>
      </w:r>
      <w:r w:rsidRPr="0055724E">
        <w:rPr>
          <w:rFonts w:cs="宋体"/>
          <w:b/>
          <w:bCs/>
          <w:color w:val="A0A0A0"/>
          <w:kern w:val="0"/>
          <w:sz w:val="21"/>
          <w:szCs w:val="21"/>
        </w:rPr>
        <w:t>[即我們所引的例（11）]</w:t>
      </w:r>
      <w:r w:rsidRPr="0055724E">
        <w:rPr>
          <w:rFonts w:cs="宋体"/>
          <w:kern w:val="0"/>
          <w:sz w:val="28"/>
          <w:szCs w:val="24"/>
        </w:rPr>
        <w:t>時又説：“善人，已明善者也；不善人，未明善者也”。</w:t>
      </w:r>
      <w:r w:rsidRPr="00965627">
        <w:rPr>
          <w:rStyle w:val="ae"/>
          <w:rFonts w:cs="宋体"/>
          <w:kern w:val="0"/>
          <w:sz w:val="28"/>
          <w:szCs w:val="24"/>
        </w:rPr>
        <w:endnoteReference w:id="245"/>
      </w:r>
      <w:r w:rsidRPr="0055724E">
        <w:rPr>
          <w:rFonts w:cs="宋体"/>
          <w:kern w:val="0"/>
          <w:sz w:val="28"/>
          <w:szCs w:val="24"/>
        </w:rPr>
        <w:t>他以“善人”爲“先覺者”，“不善人”爲“未覺者”，這是很好的説法，可惜的是他没有點出先覺未覺是對合道、不合道而言的，反而表現了把《老子》這裏所説的“善”與一般所説的道德之“善”混同起來的傾向。</w:t>
      </w:r>
    </w:p>
    <w:p w14:paraId="231811AD" w14:textId="77777777" w:rsidR="009F4F5A"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lastRenderedPageBreak/>
        <w:t>例（15）末句説“天道無親，常與善人”。北大本相當於今本七十七章的文字説“天之〔道〕，損有餘而奉不足；人之道不然，損不足而奉有餘。孰能有餘而有取奉於天者？唯有道者也”</w:t>
      </w:r>
      <w:r w:rsidRPr="0055724E">
        <w:rPr>
          <w:rFonts w:cs="宋体"/>
          <w:b/>
          <w:bCs/>
          <w:color w:val="A0A0A0"/>
          <w:kern w:val="0"/>
          <w:sz w:val="21"/>
          <w:szCs w:val="21"/>
        </w:rPr>
        <w:t>（簡110—112。‘孰能有餘’句帛甲乙略同，今傳各本皆訛誤不可用</w:t>
      </w:r>
      <w:r>
        <w:rPr>
          <w:rStyle w:val="ae"/>
          <w:rFonts w:cs="宋体"/>
          <w:b/>
          <w:bCs/>
          <w:color w:val="A0A0A0"/>
          <w:kern w:val="0"/>
          <w:sz w:val="21"/>
          <w:szCs w:val="21"/>
        </w:rPr>
        <w:endnoteReference w:id="246"/>
      </w:r>
      <w:r w:rsidRPr="0055724E">
        <w:rPr>
          <w:rFonts w:cs="宋体"/>
          <w:b/>
          <w:bCs/>
          <w:color w:val="A0A0A0"/>
          <w:kern w:val="0"/>
          <w:sz w:val="21"/>
          <w:szCs w:val="21"/>
        </w:rPr>
        <w:t>）</w:t>
      </w:r>
      <w:r w:rsidRPr="0055724E">
        <w:rPr>
          <w:rFonts w:cs="宋体"/>
          <w:kern w:val="0"/>
          <w:sz w:val="28"/>
          <w:szCs w:val="24"/>
        </w:rPr>
        <w:t>。這段話的意思是説天道是“損有餘而奉不足”的，只有有道者雖然“有餘”，還能“取奉於天”，這顯然是由於有道者“取奉於天”不是爲了自己的利益，而是爲了行道於天下。這與例（15）“天道無親，常與善人”可以相互發明，七十七章的“有道者”應該包含聖人與善人，例（15）的“善人”實際上也應該包括聖人。</w:t>
      </w:r>
    </w:p>
    <w:p w14:paraId="35D23523" w14:textId="77777777" w:rsidR="0033525D" w:rsidRDefault="009F4F5A"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老子》“善人”之“善”的意義還可以聯繫例（2）“上善若水”章來理解。所謂“上善”一般解《老》者都認識到指的是合乎道的“善”，但似乎没有人明確解釋這個“善”字的具體意義，他們似乎都認爲這個“善”就是當道德好講的善惡之“善”。其實這個“善”也是表示“能幹”一類意思的。此章在“上善若水”後緊接著説“水善利萬物而不爭”，大家都知道“善利”之“善”應該當“擅長；善於”講。“善利萬物”其實就是能把利萬物的事做得很好的意思。下文又用了“居善地”“心善淵”等七句來闡明“上善”的内容，這七句的“善”字現代的解《老》者多數已認識到其意義與“水善利萬物”</w:t>
      </w:r>
      <w:r w:rsidRPr="0055724E">
        <w:rPr>
          <w:rFonts w:cs="宋体"/>
          <w:kern w:val="0"/>
          <w:sz w:val="28"/>
          <w:szCs w:val="24"/>
        </w:rPr>
        <w:lastRenderedPageBreak/>
        <w:t>的“善”相同</w:t>
      </w:r>
      <w:r w:rsidRPr="00965627">
        <w:rPr>
          <w:rStyle w:val="ae"/>
          <w:rFonts w:cs="宋体"/>
          <w:kern w:val="0"/>
          <w:sz w:val="28"/>
          <w:szCs w:val="24"/>
        </w:rPr>
        <w:endnoteReference w:id="247"/>
      </w:r>
      <w:r w:rsidRPr="0055724E">
        <w:rPr>
          <w:rFonts w:cs="宋体"/>
          <w:kern w:val="0"/>
          <w:sz w:val="28"/>
          <w:szCs w:val="24"/>
        </w:rPr>
        <w:t>，如陳鼓應就將這七句翻譯爲：“居處善於選擇地方</w:t>
      </w:r>
      <w:r w:rsidRPr="0055724E">
        <w:rPr>
          <w:rFonts w:cs="宋体"/>
          <w:b/>
          <w:bCs/>
          <w:color w:val="A0A0A0"/>
          <w:kern w:val="0"/>
          <w:sz w:val="21"/>
          <w:szCs w:val="21"/>
        </w:rPr>
        <w:t>（引者按：此句之意可以聯繫本章上文“居眾人之所惡，故幾於道”句來理解）</w:t>
      </w:r>
      <w:r w:rsidRPr="0055724E">
        <w:rPr>
          <w:rFonts w:cs="宋体"/>
          <w:kern w:val="0"/>
          <w:sz w:val="28"/>
          <w:szCs w:val="24"/>
        </w:rPr>
        <w:t>，心胸善於保持沉靜，待人善於真誠相愛，説話善於遵守信用，爲政善於精簡處理，處事善於發揮所長，行動善於掌握時機。”</w:t>
      </w:r>
      <w:r w:rsidRPr="00965627">
        <w:rPr>
          <w:rStyle w:val="ae"/>
          <w:rFonts w:cs="宋体"/>
          <w:kern w:val="0"/>
          <w:sz w:val="28"/>
          <w:szCs w:val="24"/>
        </w:rPr>
        <w:endnoteReference w:id="248"/>
      </w:r>
      <w:r w:rsidRPr="0055724E">
        <w:rPr>
          <w:rFonts w:cs="宋体"/>
          <w:kern w:val="0"/>
          <w:sz w:val="28"/>
          <w:szCs w:val="24"/>
        </w:rPr>
        <w:t>我們認爲這七句屬於前文講過的當“能把事做得很好”一類意義講的“善”直接以事物名稱爲賓語的那種句式，在這種“善”與它所帶的事物名稱賓語之間没有説出支配賓語所指對象的那種行爲</w:t>
      </w:r>
      <w:r w:rsidRPr="0055724E">
        <w:rPr>
          <w:rFonts w:cs="宋体"/>
          <w:b/>
          <w:bCs/>
          <w:color w:val="A0A0A0"/>
          <w:kern w:val="0"/>
          <w:sz w:val="21"/>
          <w:szCs w:val="21"/>
        </w:rPr>
        <w:t>[參見一（二）1.]</w:t>
      </w:r>
      <w:r w:rsidRPr="0055724E">
        <w:rPr>
          <w:rFonts w:cs="宋体"/>
          <w:kern w:val="0"/>
          <w:sz w:val="28"/>
          <w:szCs w:val="24"/>
        </w:rPr>
        <w:t>，陳譯大體上已經較好地把原來省略未説的意思補出來了，但尚需作一些補正。“心善淵”句似可譯爲“心胸善於像深淵那樣”，也就是能够像深淵那樣沉靜容物。“與善仁”句應據簡帛本改作“與善天”，老子鄙視仁義，原文顯然應作“天”而不應作“仁”，傳世各本有的“仁”字作“人”，也許是“天”字的訛誤。“與善天”的意思就是幫助人善於像天一樣，也就是能够以“天之道損有餘而奉不足”的精神來幫助人</w:t>
      </w:r>
      <w:r w:rsidRPr="00965627">
        <w:rPr>
          <w:rStyle w:val="ae"/>
          <w:rFonts w:cs="宋体"/>
          <w:kern w:val="0"/>
          <w:sz w:val="28"/>
          <w:szCs w:val="24"/>
        </w:rPr>
        <w:endnoteReference w:id="249"/>
      </w:r>
      <w:r w:rsidRPr="0055724E">
        <w:rPr>
          <w:rFonts w:cs="宋体"/>
          <w:kern w:val="0"/>
          <w:sz w:val="28"/>
          <w:szCs w:val="24"/>
        </w:rPr>
        <w:t>。“政善治”句，陳譯似將“治”當作動詞理解，我們認爲這個“治”應指爲政好而達到的一種狀況，即與“亂”相對的“治”，此句似應譯爲“爲政善於達到治平/太平的狀況”。既然此章闡明“上善”内容諸句裏的“善”都應該當“擅長；善於”講，“上善”之“善”當然也應該取“能幹”一類意義。“上善”即最好的、合乎道</w:t>
      </w:r>
      <w:r w:rsidRPr="0055724E">
        <w:rPr>
          <w:rFonts w:cs="宋体"/>
          <w:kern w:val="0"/>
          <w:sz w:val="28"/>
          <w:szCs w:val="24"/>
        </w:rPr>
        <w:lastRenderedPageBreak/>
        <w:t>的“能幹”。河上公注“上善若水。水善利萬物而不爭。處眾人之所惡，故幾於道”説：“上善之人，如水之性。水在天爲霧露，在地爲泉源也。眾人惡卑濕垢濁，水獨靜流居之也。水性幾與道同。”他對“上善”之“善”的意義大概理解得並不正確，但是對此章開頭幾句的解釋是頗爲可取的。張松如《老子説解》説“居善地”等七句“都是水德的寫狀，又是實指上善之人，亦即通過水的形象來表現‘聖人’乃是道的體現者”</w:t>
      </w:r>
      <w:r w:rsidRPr="00965627">
        <w:rPr>
          <w:rStyle w:val="ae"/>
          <w:rFonts w:cs="宋体"/>
          <w:kern w:val="0"/>
          <w:sz w:val="28"/>
          <w:szCs w:val="24"/>
        </w:rPr>
        <w:endnoteReference w:id="250"/>
      </w:r>
      <w:r w:rsidRPr="0055724E">
        <w:rPr>
          <w:rFonts w:cs="宋体"/>
          <w:kern w:val="0"/>
          <w:sz w:val="28"/>
          <w:szCs w:val="24"/>
        </w:rPr>
        <w:t>，他講“聖人”的話也可以用於《老子》的“善人”，所以《老子》的“善人”可以説就是上善之人，所謂“善”指的是“上善”，意即合乎道的“善”。我們前面已經講過，“善者吾善之，不善者吾亦善之，德（得）善”句中“德（得）善”之“善”指的是合乎道的“善”，情況與“善人”之“善”相同。“善”字本身並不包含合乎道的意思，所以例（2）要在“善”字上加定語“上”。單用一個“善”字來專指合乎道的“善”，可以看作老子對“善”字的特有用法，尤其是在“善者吾善之，不善者吾亦善之，德（得）善”這一句中，以專指合乎道的“善”與一般意義的“善”對舉，就更應該看作老子對“善”字的一種特殊用法了。如果不了解這種特殊用法，有關句子的意義就難以理解了。同理，與“善者吾善之……”句並列的“信者吾信之，不信者吾亦信之，德（得）信”句中，“得信”之</w:t>
      </w:r>
      <w:r w:rsidRPr="0055724E">
        <w:rPr>
          <w:rFonts w:cs="宋体"/>
          <w:kern w:val="0"/>
          <w:sz w:val="28"/>
          <w:szCs w:val="24"/>
        </w:rPr>
        <w:lastRenderedPageBreak/>
        <w:t>“信”也應該理解爲合乎道的“信”，老子要泯没世俗的“信”與“不信”，讓他們能得到真正的、合乎道的“信”</w:t>
      </w:r>
      <w:r w:rsidRPr="00965627">
        <w:rPr>
          <w:rStyle w:val="ae"/>
          <w:rFonts w:cs="宋体"/>
          <w:kern w:val="0"/>
          <w:sz w:val="28"/>
          <w:szCs w:val="24"/>
        </w:rPr>
        <w:endnoteReference w:id="251"/>
      </w:r>
      <w:r w:rsidRPr="0055724E">
        <w:rPr>
          <w:rFonts w:cs="宋体"/>
          <w:kern w:val="0"/>
          <w:sz w:val="28"/>
          <w:szCs w:val="24"/>
        </w:rPr>
        <w:t>，這跟他對待“善”的態度是完全一致的。以專指合乎道的“信”與一般的“信”對舉，也應該看作老子對“信”字的一種特殊用法。我們在《説老子的“無爲”和“爲”》一文中曾指出老子從指“行爲”的“爲”字中分出了一個專指不合乎道的行爲的“爲”，四十八章“無爲而無不爲”句中“無爲”的“爲”就是專指不合道的行爲的“爲”，與之相對的“無不爲”中的“爲”則應該理解爲合乎道的“爲”</w:t>
      </w:r>
      <w:r w:rsidRPr="00965627">
        <w:rPr>
          <w:rStyle w:val="ae"/>
          <w:rFonts w:cs="宋体"/>
          <w:kern w:val="0"/>
          <w:sz w:val="28"/>
          <w:szCs w:val="24"/>
        </w:rPr>
        <w:endnoteReference w:id="252"/>
      </w:r>
      <w:r w:rsidRPr="0055724E">
        <w:rPr>
          <w:rFonts w:cs="宋体"/>
          <w:kern w:val="0"/>
          <w:sz w:val="28"/>
          <w:szCs w:val="24"/>
        </w:rPr>
        <w:t>，</w:t>
      </w:r>
      <w:r w:rsidR="0055724E" w:rsidRPr="0055724E">
        <w:rPr>
          <w:rFonts w:cs="宋体"/>
          <w:kern w:val="0"/>
          <w:sz w:val="28"/>
          <w:szCs w:val="24"/>
        </w:rPr>
        <w:t>情況與此有些相似。</w:t>
      </w:r>
    </w:p>
    <w:p w14:paraId="1A389EE3" w14:textId="77777777" w:rsidR="0033525D" w:rsidRDefault="0055724E"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通過以上的論述，可以看到，只有在掌握了先秦漢語中“善”字的各種用法之後，才能實事求是地根據老子的思想正確理解《老子》書中的所有“善”字。</w:t>
      </w:r>
    </w:p>
    <w:p w14:paraId="319B1F22" w14:textId="77777777" w:rsidR="0033525D" w:rsidRDefault="0055724E" w:rsidP="00445DA3">
      <w:pPr>
        <w:widowControl/>
        <w:spacing w:beforeLines="50" w:before="180" w:line="480" w:lineRule="auto"/>
        <w:ind w:firstLine="480"/>
        <w:jc w:val="left"/>
        <w:rPr>
          <w:rFonts w:cs="宋体"/>
          <w:kern w:val="0"/>
          <w:sz w:val="28"/>
          <w:szCs w:val="24"/>
        </w:rPr>
      </w:pPr>
      <w:r w:rsidRPr="0055724E">
        <w:rPr>
          <w:rFonts w:cs="宋体"/>
          <w:b/>
          <w:bCs/>
          <w:color w:val="A0A0A0"/>
          <w:kern w:val="0"/>
          <w:sz w:val="21"/>
          <w:szCs w:val="21"/>
        </w:rPr>
        <w:t>附言：我因患青光眼疾，目已近盲，不能獨立寫作，此文由我口述，由我在復旦大學出土文獻與古文字研究中心所招的第一屆博士生（2005）、後來的同事劉嬌大力幫助完成並録成文稿。寫作過程中在與金文有關的問題上曾多次向中心同事謝明文先生咨詢，獲益甚多。初稿完成後，曾請中心同事劉釗、鄔可晶二位審閱，劉釗指出第一章第六節原稿“‘善其節’的意思就是認爲樂的節文起了很好的作用”句中的“樂”字當作“禮”，鄔可晶指出文稿的疏失多處，皆已照改。謹致謝意。</w:t>
      </w:r>
    </w:p>
    <w:p w14:paraId="67DEE5A5" w14:textId="09342C7B" w:rsidR="0055724E" w:rsidRPr="0055724E" w:rsidRDefault="0055724E" w:rsidP="00445DA3">
      <w:pPr>
        <w:widowControl/>
        <w:spacing w:beforeLines="50" w:before="180" w:line="480" w:lineRule="auto"/>
        <w:ind w:firstLine="480"/>
        <w:jc w:val="right"/>
        <w:rPr>
          <w:rFonts w:cs="宋体"/>
          <w:kern w:val="0"/>
          <w:sz w:val="28"/>
          <w:szCs w:val="24"/>
        </w:rPr>
      </w:pPr>
      <w:r w:rsidRPr="0055724E">
        <w:rPr>
          <w:rFonts w:cs="宋体"/>
          <w:kern w:val="0"/>
          <w:sz w:val="28"/>
          <w:szCs w:val="24"/>
        </w:rPr>
        <w:lastRenderedPageBreak/>
        <w:t>2021年5月14日基本完稿</w:t>
      </w:r>
    </w:p>
    <w:p w14:paraId="350DE0A5" w14:textId="77777777" w:rsidR="0033525D" w:rsidRDefault="0055724E" w:rsidP="00445DA3">
      <w:pPr>
        <w:widowControl/>
        <w:spacing w:beforeLines="50" w:before="180" w:line="480" w:lineRule="auto"/>
        <w:ind w:firstLine="480"/>
        <w:jc w:val="right"/>
        <w:rPr>
          <w:rFonts w:cs="宋体"/>
          <w:kern w:val="0"/>
          <w:sz w:val="28"/>
          <w:szCs w:val="24"/>
        </w:rPr>
      </w:pPr>
      <w:r w:rsidRPr="0055724E">
        <w:rPr>
          <w:rFonts w:cs="宋体"/>
          <w:kern w:val="0"/>
          <w:sz w:val="28"/>
          <w:szCs w:val="24"/>
        </w:rPr>
        <w:t>2021年7月31日修改</w:t>
      </w:r>
    </w:p>
    <w:p w14:paraId="10E55CF8" w14:textId="77777777" w:rsidR="0033525D" w:rsidRDefault="0055724E" w:rsidP="00445DA3">
      <w:pPr>
        <w:widowControl/>
        <w:spacing w:beforeLines="50" w:before="180" w:line="480" w:lineRule="auto"/>
        <w:jc w:val="left"/>
        <w:rPr>
          <w:rFonts w:cs="宋体"/>
          <w:kern w:val="0"/>
          <w:sz w:val="28"/>
          <w:szCs w:val="24"/>
        </w:rPr>
      </w:pPr>
      <w:r w:rsidRPr="0055724E">
        <w:rPr>
          <w:rFonts w:cs="宋体"/>
          <w:b/>
          <w:bCs/>
          <w:kern w:val="0"/>
          <w:sz w:val="28"/>
          <w:szCs w:val="24"/>
        </w:rPr>
        <w:t>追記</w:t>
      </w:r>
    </w:p>
    <w:p w14:paraId="23D50C42" w14:textId="77777777" w:rsidR="0033525D" w:rsidRDefault="0055724E"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周易·繫辭上》：“一陰一陽之謂道，繼之者善也，成之者性也。”前人大都把陰陽之道講得很高深玄妙。這裏的“善”字究竟是什麼意思很難弄清，只能存疑。不過，我們也有一種很大膽的、不成熟的想法，姑且記在這裏，供讀者參考。“一陰一陽之謂道”意思是説“一陰一陽”是宇宙的規律，對這一點，大家的看法比較一致。“一陰”和“一陽”的關係，主要是相繼相代和相合相成兩種。“繼之者善也，成之者性也”應是以人事作爲比喻來加以説明。“繼之”，疑指作事符合陰陽相繼相代的規律，例如天氣的變化，春生夏長屬陽，秋收冬藏屬陰，從事農業生產如果能在春夏很好地下種耕耘，在秋冬很好地收穫收藏，就符合陰陽相繼的規律，這樣做是有才能、能把事做得很好的表現。“成之”，指陰陽相合而成物，男女相合，生成子息，這是人類的天性。父子之道是儒家最重視的仁道，人按陰陽相繼的規律做事是有智的表現，所以下文接著説“仁者見之謂之仁，知（智）者見之謂之知（智）”。前人也許已有類似的説法，有待研究。</w:t>
      </w:r>
    </w:p>
    <w:p w14:paraId="3203FF95" w14:textId="77777777" w:rsidR="0033525D" w:rsidRDefault="0055724E" w:rsidP="00445DA3">
      <w:pPr>
        <w:widowControl/>
        <w:spacing w:beforeLines="50" w:before="180" w:line="480" w:lineRule="auto"/>
        <w:ind w:firstLine="480"/>
        <w:jc w:val="right"/>
        <w:rPr>
          <w:rFonts w:cs="宋体"/>
          <w:kern w:val="0"/>
          <w:sz w:val="28"/>
          <w:szCs w:val="24"/>
        </w:rPr>
      </w:pPr>
      <w:r w:rsidRPr="0055724E">
        <w:rPr>
          <w:rFonts w:cs="宋体"/>
          <w:kern w:val="0"/>
          <w:sz w:val="28"/>
          <w:szCs w:val="24"/>
        </w:rPr>
        <w:lastRenderedPageBreak/>
        <w:t>2021年11月9日</w:t>
      </w:r>
    </w:p>
    <w:p w14:paraId="27D719BC" w14:textId="77777777" w:rsidR="0033525D" w:rsidRDefault="0055724E" w:rsidP="00445DA3">
      <w:pPr>
        <w:widowControl/>
        <w:spacing w:beforeLines="50" w:before="180" w:line="480" w:lineRule="auto"/>
        <w:jc w:val="left"/>
        <w:rPr>
          <w:rFonts w:cs="宋体"/>
          <w:kern w:val="0"/>
          <w:sz w:val="28"/>
          <w:szCs w:val="24"/>
        </w:rPr>
      </w:pPr>
      <w:r w:rsidRPr="0055724E">
        <w:rPr>
          <w:rFonts w:cs="宋体"/>
          <w:b/>
          <w:bCs/>
          <w:kern w:val="0"/>
          <w:sz w:val="28"/>
          <w:szCs w:val="24"/>
        </w:rPr>
        <w:t>附記</w:t>
      </w:r>
    </w:p>
    <w:p w14:paraId="49D93A8B" w14:textId="77777777" w:rsidR="0033525D" w:rsidRDefault="0055724E"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《左傳·襄公十三年》中有一段話也應該解釋一下：</w:t>
      </w:r>
    </w:p>
    <w:p w14:paraId="1AAF67B5" w14:textId="77777777" w:rsidR="0033525D" w:rsidRDefault="0055724E" w:rsidP="00445DA3">
      <w:pPr>
        <w:widowControl/>
        <w:spacing w:beforeLines="50" w:before="180" w:line="480" w:lineRule="auto"/>
        <w:ind w:firstLine="480"/>
        <w:jc w:val="left"/>
        <w:rPr>
          <w:rFonts w:cs="宋体"/>
          <w:kern w:val="0"/>
          <w:sz w:val="28"/>
          <w:szCs w:val="24"/>
        </w:rPr>
      </w:pPr>
      <w:r w:rsidRPr="0055724E">
        <w:rPr>
          <w:rFonts w:cs="宋体"/>
          <w:b/>
          <w:bCs/>
          <w:color w:val="A0A0A0"/>
          <w:kern w:val="0"/>
          <w:sz w:val="21"/>
          <w:szCs w:val="21"/>
        </w:rPr>
        <w:t>君子曰：“讓，禮之主也。范宣子讓，其下皆讓，欒黶爲汰，弗敢違也。晋國以平，數世賴之，刑（杜注：刑，法也。）善也夫。一人刑善，百姓休和，可不務乎？《書》曰：‘一人有慶，兆民頼之，其寧惟永。’其是之謂乎？周之興也，其《詩》曰：‘儀刑文王，萬邦作孚。’言興善也。及其衰也，其《詩》曰：‘大夫不均，我從事獨賢。’言不讓也。君子尚能而讓其下，小人農力以事其上，是以上下有禮而讒慝黜遠，由不爭也，謂之懿德。及其亂也，君子稱其功以加小人，小人伐其技以馮君子，是以上下無禮，亂虐並生，由爭善也，謂之昏德。國家之敝，恒必由之。”</w:t>
      </w:r>
    </w:p>
    <w:p w14:paraId="3181E27D" w14:textId="74742714" w:rsidR="0033525D" w:rsidRDefault="0055724E"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這一段裏多次出現的“善”，其基本意義也指“能把事做得好”。“范宣子讓”是他能把所擔任的晋國執政做得很好的一個突出表現。“其下”即以宣子之善爲法，所以也都能做到“讓”。“君子稱其功以加小人，小人伐其技以馮君子”都是“伐善”的表現（參看本文關於“伐善”的解釋）。相互“伐善”就是“爭善”。《禮記·大學》：“大學之道，在明明德，</w:t>
      </w:r>
      <w:r w:rsidR="00FF6905">
        <w:rPr>
          <w:rFonts w:cs="宋体" w:hint="eastAsia"/>
          <w:kern w:val="0"/>
          <w:sz w:val="28"/>
          <w:szCs w:val="24"/>
        </w:rPr>
        <w:t>在親民，</w:t>
      </w:r>
      <w:r w:rsidRPr="0055724E">
        <w:rPr>
          <w:rFonts w:cs="宋体"/>
          <w:kern w:val="0"/>
          <w:sz w:val="28"/>
          <w:szCs w:val="24"/>
        </w:rPr>
        <w:t>在止於至善。”“至善”就指把自</w:t>
      </w:r>
      <w:r w:rsidRPr="0055724E">
        <w:rPr>
          <w:rFonts w:cs="宋体"/>
          <w:kern w:val="0"/>
          <w:sz w:val="28"/>
          <w:szCs w:val="24"/>
        </w:rPr>
        <w:lastRenderedPageBreak/>
        <w:t>己應做的工作做得最好的境界（關於“明明德”，在我們正在撰寫的《説道德》一文中將有較詳細的討論）。</w:t>
      </w:r>
    </w:p>
    <w:p w14:paraId="0617A0B6" w14:textId="5A88FA19" w:rsidR="0033525D" w:rsidRDefault="0055724E" w:rsidP="00445DA3">
      <w:pPr>
        <w:widowControl/>
        <w:spacing w:beforeLines="50" w:before="180" w:line="480" w:lineRule="auto"/>
        <w:jc w:val="left"/>
        <w:rPr>
          <w:rFonts w:cs="宋体" w:hint="eastAsia"/>
          <w:kern w:val="0"/>
          <w:sz w:val="28"/>
          <w:szCs w:val="24"/>
        </w:rPr>
      </w:pPr>
      <w:r w:rsidRPr="0055724E">
        <w:rPr>
          <w:rFonts w:cs="宋体"/>
          <w:b/>
          <w:bCs/>
          <w:kern w:val="0"/>
          <w:sz w:val="28"/>
          <w:szCs w:val="24"/>
        </w:rPr>
        <w:t>又按</w:t>
      </w:r>
    </w:p>
    <w:p w14:paraId="0115105A" w14:textId="77777777" w:rsidR="0033525D" w:rsidRDefault="0055724E" w:rsidP="00445DA3">
      <w:pPr>
        <w:widowControl/>
        <w:spacing w:beforeLines="50" w:before="180" w:line="480" w:lineRule="auto"/>
        <w:ind w:firstLine="480"/>
        <w:jc w:val="left"/>
        <w:rPr>
          <w:rFonts w:cs="宋体"/>
          <w:kern w:val="0"/>
          <w:sz w:val="28"/>
          <w:szCs w:val="24"/>
        </w:rPr>
      </w:pPr>
      <w:r w:rsidRPr="0055724E">
        <w:rPr>
          <w:rFonts w:cs="宋体"/>
          <w:kern w:val="0"/>
          <w:sz w:val="28"/>
          <w:szCs w:val="24"/>
        </w:rPr>
        <w:t>有些學者認爲豆形的“簠”其盤沿過低，不適於盛放黍稷稻粱等食物，今按：古人用飯時，不用箸亦不用匕，而以手摶飯而食，以簠作爲盛稻粱的飯器是沒有問題的。</w:t>
      </w:r>
    </w:p>
    <w:p w14:paraId="4B20753A" w14:textId="77777777" w:rsidR="0033525D" w:rsidRDefault="0055724E" w:rsidP="009901AA">
      <w:pPr>
        <w:widowControl/>
        <w:spacing w:beforeLines="50" w:before="180" w:line="480" w:lineRule="auto"/>
        <w:jc w:val="right"/>
        <w:rPr>
          <w:rFonts w:cs="宋体"/>
          <w:kern w:val="0"/>
          <w:sz w:val="28"/>
          <w:szCs w:val="24"/>
        </w:rPr>
      </w:pPr>
      <w:r w:rsidRPr="0055724E">
        <w:rPr>
          <w:rFonts w:cs="宋体"/>
          <w:kern w:val="0"/>
          <w:sz w:val="28"/>
          <w:szCs w:val="24"/>
        </w:rPr>
        <w:t>2023年4月17日</w:t>
      </w:r>
    </w:p>
    <w:p w14:paraId="53C3185D" w14:textId="77777777" w:rsidR="00030F1F" w:rsidRDefault="00030F1F" w:rsidP="00445DA3">
      <w:pPr>
        <w:pStyle w:val="aa"/>
        <w:spacing w:beforeLines="50" w:before="180"/>
        <w:ind w:firstLine="560"/>
      </w:pPr>
    </w:p>
    <w:p w14:paraId="7BDD5FA0" w14:textId="27647401" w:rsidR="00EE63C3" w:rsidRDefault="001A4D5A" w:rsidP="00445DA3">
      <w:pPr>
        <w:pStyle w:val="aa"/>
        <w:spacing w:beforeLines="50" w:before="180"/>
        <w:ind w:firstLine="560"/>
      </w:pPr>
      <w:r w:rsidRPr="001A4D5A">
        <w:t>本文原載北京大學歷史系、北京大學中國古代史研究中心編《吴榮曾先生九十華誕頌壽論文集》，中華書局，2022年10月版，68—168頁。</w:t>
      </w:r>
      <w:r w:rsidR="00303DC0" w:rsidRPr="00303DC0">
        <w:t>“附記”後的內容爲此次發表新增。</w:t>
      </w:r>
      <w:r w:rsidRPr="001A4D5A">
        <w:t>感謝裘錫圭先生和中華書局授權發布！</w:t>
      </w:r>
    </w:p>
    <w:p w14:paraId="470A7664" w14:textId="77777777" w:rsidR="00030F1F" w:rsidRPr="00030F1F" w:rsidRDefault="00030F1F" w:rsidP="00445DA3">
      <w:pPr>
        <w:pStyle w:val="aa"/>
        <w:spacing w:beforeLines="50" w:before="180"/>
        <w:ind w:firstLine="560"/>
      </w:pPr>
    </w:p>
    <w:p w14:paraId="2DAD5F24" w14:textId="77777777" w:rsidR="004F2F02" w:rsidRPr="0055724E" w:rsidRDefault="004F2F02" w:rsidP="00445DA3">
      <w:pPr>
        <w:pStyle w:val="aa"/>
        <w:spacing w:beforeLines="50" w:before="180"/>
        <w:ind w:firstLine="560"/>
      </w:pPr>
    </w:p>
    <w:sectPr w:rsidR="004F2F02" w:rsidRPr="0055724E">
      <w:headerReference w:type="default" r:id="rId50"/>
      <w:footerReference w:type="even" r:id="rId51"/>
      <w:footerReference w:type="default" r:id="rId52"/>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8E4AC" w14:textId="77777777" w:rsidR="008933F0" w:rsidRDefault="008933F0" w:rsidP="00CB0024">
      <w:r>
        <w:separator/>
      </w:r>
    </w:p>
  </w:endnote>
  <w:endnote w:type="continuationSeparator" w:id="0">
    <w:p w14:paraId="780D4BC9" w14:textId="77777777" w:rsidR="008933F0" w:rsidRDefault="008933F0" w:rsidP="00CB0024">
      <w:r>
        <w:continuationSeparator/>
      </w:r>
    </w:p>
  </w:endnote>
  <w:endnote w:id="1">
    <w:p w14:paraId="135814DA" w14:textId="3C79025A" w:rsidR="009F4F5A" w:rsidRPr="00E50DC5" w:rsidRDefault="009F4F5A" w:rsidP="00E50DC5">
      <w:pPr>
        <w:pStyle w:val="ad"/>
        <w:rPr>
          <w:sz w:val="18"/>
          <w:szCs w:val="18"/>
        </w:rPr>
      </w:pPr>
      <w:r w:rsidRPr="00E50DC5">
        <w:rPr>
          <w:rStyle w:val="ae"/>
          <w:sz w:val="18"/>
          <w:szCs w:val="18"/>
        </w:rPr>
        <w:endnoteRef/>
      </w:r>
      <w:r w:rsidRPr="00E50DC5">
        <w:rPr>
          <w:sz w:val="18"/>
          <w:szCs w:val="18"/>
        </w:rPr>
        <w:t>高明：《古陶文彙編》，中華書局，1990年，146頁、382頁。</w:t>
      </w:r>
    </w:p>
  </w:endnote>
  <w:endnote w:id="2">
    <w:p w14:paraId="0DA64829" w14:textId="095C0A2B" w:rsidR="009F4F5A" w:rsidRPr="00E50DC5" w:rsidRDefault="009F4F5A" w:rsidP="00E50DC5">
      <w:pPr>
        <w:pStyle w:val="ad"/>
        <w:rPr>
          <w:sz w:val="18"/>
          <w:szCs w:val="18"/>
        </w:rPr>
      </w:pPr>
      <w:r w:rsidRPr="00E50DC5">
        <w:rPr>
          <w:rStyle w:val="ae"/>
          <w:sz w:val="18"/>
          <w:szCs w:val="18"/>
        </w:rPr>
        <w:endnoteRef/>
      </w:r>
      <w:r w:rsidRPr="00E50DC5">
        <w:rPr>
          <w:sz w:val="18"/>
          <w:szCs w:val="18"/>
        </w:rPr>
        <w:t>傳秦始皇會稽刻石摹本中有从“誩”的“譱”字，但此會稽刻石摹本顯係僞作，其字形不可據。</w:t>
      </w:r>
    </w:p>
  </w:endnote>
  <w:endnote w:id="3">
    <w:p w14:paraId="42231FD1" w14:textId="2AFED470" w:rsidR="009F4F5A" w:rsidRPr="00E50DC5" w:rsidRDefault="009F4F5A" w:rsidP="00E50DC5">
      <w:pPr>
        <w:pStyle w:val="ad"/>
        <w:rPr>
          <w:sz w:val="18"/>
          <w:szCs w:val="18"/>
        </w:rPr>
      </w:pPr>
      <w:r w:rsidRPr="00E50DC5">
        <w:rPr>
          <w:rStyle w:val="ae"/>
          <w:sz w:val="18"/>
          <w:szCs w:val="18"/>
        </w:rPr>
        <w:endnoteRef/>
      </w:r>
      <w:r w:rsidRPr="00E50DC5">
        <w:rPr>
          <w:sz w:val="18"/>
          <w:szCs w:val="18"/>
        </w:rPr>
        <w:t>李學勤主編：《字源》，天津古籍出版社，2012年，196頁。</w:t>
      </w:r>
    </w:p>
  </w:endnote>
  <w:endnote w:id="4">
    <w:p w14:paraId="3E4C7811" w14:textId="0D2884BD" w:rsidR="009F4F5A" w:rsidRPr="00E50DC5" w:rsidRDefault="009F4F5A" w:rsidP="00E50DC5">
      <w:pPr>
        <w:pStyle w:val="ad"/>
        <w:rPr>
          <w:sz w:val="18"/>
          <w:szCs w:val="18"/>
        </w:rPr>
      </w:pPr>
      <w:r w:rsidRPr="00E50DC5">
        <w:rPr>
          <w:rStyle w:val="ae"/>
          <w:sz w:val="18"/>
          <w:szCs w:val="18"/>
        </w:rPr>
        <w:endnoteRef/>
      </w:r>
      <w:r w:rsidRPr="00E50DC5">
        <w:rPr>
          <w:sz w:val="18"/>
          <w:szCs w:val="18"/>
        </w:rPr>
        <w:t>向熹：《詩經詞典》修訂本，商務印書館，2014年，435頁。</w:t>
      </w:r>
    </w:p>
  </w:endnote>
  <w:endnote w:id="5">
    <w:p w14:paraId="57E64B4A" w14:textId="6678F50A" w:rsidR="009F4F5A" w:rsidRPr="00E50DC5" w:rsidRDefault="009F4F5A" w:rsidP="00E50DC5">
      <w:pPr>
        <w:pStyle w:val="ad"/>
        <w:rPr>
          <w:sz w:val="18"/>
          <w:szCs w:val="18"/>
        </w:rPr>
      </w:pPr>
      <w:r w:rsidRPr="00E50DC5">
        <w:rPr>
          <w:rStyle w:val="ae"/>
          <w:sz w:val="18"/>
          <w:szCs w:val="18"/>
        </w:rPr>
        <w:endnoteRef/>
      </w:r>
      <w:r w:rsidRPr="00E50DC5">
        <w:rPr>
          <w:sz w:val="18"/>
          <w:szCs w:val="18"/>
        </w:rPr>
        <w:t>余冠英：《詩經選譯》，人民文學出版社，1985年，30頁。</w:t>
      </w:r>
    </w:p>
  </w:endnote>
  <w:endnote w:id="6">
    <w:p w14:paraId="258D1E96" w14:textId="495D6B2E" w:rsidR="009F4F5A" w:rsidRPr="00E50DC5" w:rsidRDefault="009F4F5A" w:rsidP="00E50DC5">
      <w:pPr>
        <w:pStyle w:val="ad"/>
        <w:rPr>
          <w:sz w:val="18"/>
          <w:szCs w:val="18"/>
        </w:rPr>
      </w:pPr>
      <w:r w:rsidRPr="00E50DC5">
        <w:rPr>
          <w:rStyle w:val="ae"/>
          <w:sz w:val="18"/>
          <w:szCs w:val="18"/>
        </w:rPr>
        <w:endnoteRef/>
      </w:r>
      <w:r w:rsidRPr="00E50DC5">
        <w:rPr>
          <w:sz w:val="18"/>
          <w:szCs w:val="18"/>
        </w:rPr>
        <w:t>［日］竹添光鴻著，于景祥、柳海松整理：《左傳會箋》，遼海出版社，2008年，381頁。</w:t>
      </w:r>
    </w:p>
  </w:endnote>
  <w:endnote w:id="7">
    <w:p w14:paraId="0116C35B" w14:textId="1FE5A8CB" w:rsidR="009F4F5A" w:rsidRPr="00E50DC5" w:rsidRDefault="009F4F5A" w:rsidP="00E50DC5">
      <w:pPr>
        <w:pStyle w:val="ad"/>
        <w:rPr>
          <w:sz w:val="18"/>
          <w:szCs w:val="18"/>
        </w:rPr>
      </w:pPr>
      <w:r w:rsidRPr="00E50DC5">
        <w:rPr>
          <w:rStyle w:val="ae"/>
          <w:sz w:val="18"/>
          <w:szCs w:val="18"/>
        </w:rPr>
        <w:endnoteRef/>
      </w:r>
      <w:r w:rsidRPr="00E50DC5">
        <w:rPr>
          <w:sz w:val="18"/>
          <w:szCs w:val="18"/>
        </w:rPr>
        <w:t>睡虎地秦墓竹簡日書甲種《相宅》已有“圂居東北，妻善病”一語（簡22背伍，參看睡虎地秦墓竹簡整理小組編《睡虎地秦墓竹簡》，文物出版社，1990年，211頁），但前引竹添光鴻《會箋》所舉“善病”之例當取自《内經》，不過他略去了“病”字後説明所病症狀或部位的詞語。</w:t>
      </w:r>
    </w:p>
  </w:endnote>
  <w:endnote w:id="8">
    <w:p w14:paraId="0FE61AB3" w14:textId="4889287F" w:rsidR="009F4F5A" w:rsidRPr="00E50DC5" w:rsidRDefault="009F4F5A" w:rsidP="00E50DC5">
      <w:pPr>
        <w:pStyle w:val="ad"/>
        <w:rPr>
          <w:sz w:val="18"/>
          <w:szCs w:val="18"/>
        </w:rPr>
      </w:pPr>
      <w:r w:rsidRPr="00E50DC5">
        <w:rPr>
          <w:rStyle w:val="ae"/>
          <w:sz w:val="18"/>
          <w:szCs w:val="18"/>
        </w:rPr>
        <w:endnoteRef/>
      </w:r>
      <w:r w:rsidRPr="00E50DC5">
        <w:rPr>
          <w:sz w:val="18"/>
          <w:szCs w:val="18"/>
        </w:rPr>
        <w:t>參看王叔岷：《史記斠證》，中華書局，2007年，3466頁。</w:t>
      </w:r>
    </w:p>
  </w:endnote>
  <w:endnote w:id="9">
    <w:p w14:paraId="3C39EFAF" w14:textId="50E3652E" w:rsidR="009F4F5A" w:rsidRPr="00E50DC5" w:rsidRDefault="009F4F5A" w:rsidP="00E50DC5">
      <w:pPr>
        <w:pStyle w:val="ad"/>
        <w:rPr>
          <w:sz w:val="18"/>
          <w:szCs w:val="18"/>
          <w:lang w:eastAsia="zh-TW"/>
        </w:rPr>
      </w:pPr>
      <w:r w:rsidRPr="00E50DC5">
        <w:rPr>
          <w:rStyle w:val="ae"/>
          <w:sz w:val="18"/>
          <w:szCs w:val="18"/>
        </w:rPr>
        <w:endnoteRef/>
      </w:r>
      <w:r w:rsidRPr="00E50DC5">
        <w:rPr>
          <w:sz w:val="18"/>
          <w:szCs w:val="18"/>
        </w:rPr>
        <w:t>《現代漢語詞典》“事物”條釋義爲“指客觀存在的一切物體和現象”。我們所説的“事物”還包括抽象的觀念、制度等，可以説是最廣義的。</w:t>
      </w:r>
    </w:p>
  </w:endnote>
  <w:endnote w:id="10">
    <w:p w14:paraId="5BDB7C5A" w14:textId="3EAD75C5" w:rsidR="009F4F5A" w:rsidRPr="00E50DC5" w:rsidRDefault="009F4F5A" w:rsidP="00E50DC5">
      <w:pPr>
        <w:pStyle w:val="ad"/>
        <w:rPr>
          <w:sz w:val="18"/>
          <w:szCs w:val="18"/>
        </w:rPr>
      </w:pPr>
      <w:r w:rsidRPr="00E50DC5">
        <w:rPr>
          <w:rStyle w:val="ae"/>
          <w:sz w:val="18"/>
          <w:szCs w:val="18"/>
        </w:rPr>
        <w:endnoteRef/>
      </w:r>
      <w:r w:rsidRPr="00E50DC5">
        <w:rPr>
          <w:sz w:val="18"/>
          <w:szCs w:val="18"/>
        </w:rPr>
        <w:t>此字讀爲“死”，是討論簡文此篇學者的意見，參看沈培《從釋讀清華簡的一個實例談談在校讀古文獻中重視古人思想觀念的效用》，收入復旦大學出土文獻與古文字研究中心編《出土文獻與傳世典籍的詮釋》，中西書局，2019年，113—123頁。</w:t>
      </w:r>
    </w:p>
  </w:endnote>
  <w:endnote w:id="11">
    <w:p w14:paraId="340F98AE" w14:textId="1F8BDB2A" w:rsidR="009F4F5A" w:rsidRPr="00E50DC5" w:rsidRDefault="009F4F5A" w:rsidP="00E50DC5">
      <w:pPr>
        <w:pStyle w:val="ad"/>
        <w:rPr>
          <w:sz w:val="18"/>
          <w:szCs w:val="18"/>
        </w:rPr>
      </w:pPr>
      <w:r w:rsidRPr="00E50DC5">
        <w:rPr>
          <w:rStyle w:val="ae"/>
          <w:sz w:val="18"/>
          <w:szCs w:val="18"/>
        </w:rPr>
        <w:endnoteRef/>
      </w:r>
      <w:r w:rsidRPr="00E50DC5">
        <w:rPr>
          <w:sz w:val="18"/>
          <w:szCs w:val="18"/>
        </w:rPr>
        <w:t>此語重見於《大宗師》篇第二章和第五章，不少學者認爲出現在第二章的是錯簡。</w:t>
      </w:r>
    </w:p>
  </w:endnote>
  <w:endnote w:id="12">
    <w:p w14:paraId="78FFE58F" w14:textId="53639081" w:rsidR="009F4F5A" w:rsidRPr="00E50DC5" w:rsidRDefault="009F4F5A" w:rsidP="00E50DC5">
      <w:pPr>
        <w:pStyle w:val="ad"/>
        <w:rPr>
          <w:sz w:val="18"/>
          <w:szCs w:val="18"/>
          <w:lang w:eastAsia="zh-TW"/>
        </w:rPr>
      </w:pPr>
      <w:r w:rsidRPr="00E50DC5">
        <w:rPr>
          <w:rStyle w:val="ae"/>
          <w:sz w:val="18"/>
          <w:szCs w:val="18"/>
        </w:rPr>
        <w:endnoteRef/>
      </w:r>
      <w:r w:rsidRPr="00E50DC5">
        <w:rPr>
          <w:sz w:val="18"/>
          <w:szCs w:val="18"/>
        </w:rPr>
        <w:t>漢時官府中普遍設置的“史”是主管文書的，“史書”猶言當時官府文書中所用的字體。參看啓功：《古代字體論稿》，文物出版社，1964年，27—30頁。</w:t>
      </w:r>
    </w:p>
  </w:endnote>
  <w:endnote w:id="13">
    <w:p w14:paraId="65F5D8A8" w14:textId="2DAB922F" w:rsidR="009F4F5A" w:rsidRPr="00E50DC5" w:rsidRDefault="009F4F5A" w:rsidP="00E50DC5">
      <w:pPr>
        <w:pStyle w:val="ad"/>
        <w:rPr>
          <w:sz w:val="18"/>
          <w:szCs w:val="18"/>
        </w:rPr>
      </w:pPr>
      <w:r w:rsidRPr="00E50DC5">
        <w:rPr>
          <w:rStyle w:val="ae"/>
          <w:sz w:val="18"/>
          <w:szCs w:val="18"/>
        </w:rPr>
        <w:endnoteRef/>
      </w:r>
      <w:r w:rsidRPr="00E50DC5">
        <w:rPr>
          <w:sz w:val="18"/>
          <w:szCs w:val="18"/>
        </w:rPr>
        <w:t>（梁）皇侃撰，高尚榘校點：《論語義疏》，中華書局，2013年，398頁。</w:t>
      </w:r>
    </w:p>
  </w:endnote>
  <w:endnote w:id="14">
    <w:p w14:paraId="4C15A551" w14:textId="2A13EF70" w:rsidR="009F4F5A" w:rsidRPr="00E50DC5" w:rsidRDefault="009F4F5A" w:rsidP="00E50DC5">
      <w:pPr>
        <w:pStyle w:val="ad"/>
        <w:rPr>
          <w:sz w:val="18"/>
          <w:szCs w:val="18"/>
        </w:rPr>
      </w:pPr>
      <w:r w:rsidRPr="00E50DC5">
        <w:rPr>
          <w:rStyle w:val="ae"/>
          <w:sz w:val="18"/>
          <w:szCs w:val="18"/>
        </w:rPr>
        <w:endnoteRef/>
      </w:r>
      <w:r w:rsidRPr="00E50DC5">
        <w:rPr>
          <w:sz w:val="18"/>
          <w:szCs w:val="18"/>
        </w:rPr>
        <w:t>孫欽善：《論語新注》，中華書局，2018年，351頁【校注】。</w:t>
      </w:r>
    </w:p>
  </w:endnote>
  <w:endnote w:id="15">
    <w:p w14:paraId="0F0D6AFF" w14:textId="59D577C6" w:rsidR="009F4F5A" w:rsidRPr="00E50DC5" w:rsidRDefault="009F4F5A" w:rsidP="00E50DC5">
      <w:pPr>
        <w:pStyle w:val="ad"/>
        <w:rPr>
          <w:sz w:val="18"/>
          <w:szCs w:val="18"/>
        </w:rPr>
      </w:pPr>
      <w:r w:rsidRPr="00E50DC5">
        <w:rPr>
          <w:rStyle w:val="ae"/>
          <w:sz w:val="18"/>
          <w:szCs w:val="18"/>
        </w:rPr>
        <w:endnoteRef/>
      </w:r>
      <w:r w:rsidRPr="00E50DC5">
        <w:rPr>
          <w:sz w:val="18"/>
          <w:szCs w:val="18"/>
        </w:rPr>
        <w:t>楊朝明：《論語詮解》，山東友誼出版社，2018年，142頁。</w:t>
      </w:r>
    </w:p>
  </w:endnote>
  <w:endnote w:id="16">
    <w:p w14:paraId="42422298" w14:textId="6D60C9D5" w:rsidR="009F4F5A" w:rsidRPr="00E50DC5" w:rsidRDefault="009F4F5A" w:rsidP="00E50DC5">
      <w:pPr>
        <w:pStyle w:val="ad"/>
        <w:rPr>
          <w:sz w:val="18"/>
          <w:szCs w:val="18"/>
          <w:lang w:eastAsia="zh-TW"/>
        </w:rPr>
      </w:pPr>
      <w:r w:rsidRPr="00E50DC5">
        <w:rPr>
          <w:rStyle w:val="ae"/>
          <w:sz w:val="18"/>
          <w:szCs w:val="18"/>
        </w:rPr>
        <w:endnoteRef/>
      </w:r>
      <w:r w:rsidRPr="00E50DC5">
        <w:rPr>
          <w:sz w:val="18"/>
          <w:szCs w:val="18"/>
        </w:rPr>
        <w:t>《現代漢語詞典》，1133頁。《現漢》對所收文言詞屬於名詞、動詞、形容詞者皆不注詞性，我們是把屬於這一義項的“善”看作動詞的，在上文的論述中已經表示出了這種看法。</w:t>
      </w:r>
    </w:p>
  </w:endnote>
  <w:endnote w:id="17">
    <w:p w14:paraId="34C01046" w14:textId="352BE797" w:rsidR="009F4F5A" w:rsidRPr="00E50DC5" w:rsidRDefault="009F4F5A" w:rsidP="00E50DC5">
      <w:pPr>
        <w:pStyle w:val="ad"/>
        <w:rPr>
          <w:sz w:val="18"/>
          <w:szCs w:val="18"/>
        </w:rPr>
      </w:pPr>
      <w:r w:rsidRPr="00E50DC5">
        <w:rPr>
          <w:rStyle w:val="ae"/>
          <w:sz w:val="18"/>
          <w:szCs w:val="18"/>
        </w:rPr>
        <w:endnoteRef/>
      </w:r>
      <w:r w:rsidRPr="00E50DC5">
        <w:rPr>
          <w:sz w:val="18"/>
          <w:szCs w:val="18"/>
        </w:rPr>
        <w:t>羅竹風主編：《漢語大詞典》，漢語大詞典出版社，1986年，444頁。</w:t>
      </w:r>
    </w:p>
  </w:endnote>
  <w:endnote w:id="18">
    <w:p w14:paraId="01E58A47" w14:textId="3D1EAFDB" w:rsidR="009F4F5A" w:rsidRPr="00E50DC5" w:rsidRDefault="009F4F5A" w:rsidP="00E50DC5">
      <w:pPr>
        <w:pStyle w:val="ad"/>
        <w:rPr>
          <w:sz w:val="18"/>
          <w:szCs w:val="18"/>
        </w:rPr>
      </w:pPr>
      <w:r w:rsidRPr="00E50DC5">
        <w:rPr>
          <w:rStyle w:val="ae"/>
          <w:sz w:val="18"/>
          <w:szCs w:val="18"/>
        </w:rPr>
        <w:endnoteRef/>
      </w:r>
      <w:r w:rsidRPr="00E50DC5">
        <w:rPr>
          <w:sz w:val="18"/>
          <w:szCs w:val="18"/>
        </w:rPr>
        <w:t>黃榮華：《義者之言〈孟子〉選讀》，上海教育出版社，2017年，60頁。</w:t>
      </w:r>
    </w:p>
  </w:endnote>
  <w:endnote w:id="19">
    <w:p w14:paraId="438B3CDA" w14:textId="5D4D2838" w:rsidR="009F4F5A" w:rsidRPr="00E50DC5" w:rsidRDefault="009F4F5A" w:rsidP="00E50DC5">
      <w:pPr>
        <w:pStyle w:val="ad"/>
        <w:rPr>
          <w:sz w:val="18"/>
          <w:szCs w:val="18"/>
        </w:rPr>
      </w:pPr>
      <w:r w:rsidRPr="00E50DC5">
        <w:rPr>
          <w:rStyle w:val="ae"/>
          <w:sz w:val="18"/>
          <w:szCs w:val="18"/>
        </w:rPr>
        <w:endnoteRef/>
      </w:r>
      <w:r w:rsidRPr="00E50DC5">
        <w:rPr>
          <w:sz w:val="18"/>
          <w:szCs w:val="18"/>
        </w:rPr>
        <w:t>朱瑞玟：《實用寫作成語辭典》，北京燕山出版社，1990年，161頁。</w:t>
      </w:r>
    </w:p>
  </w:endnote>
  <w:endnote w:id="20">
    <w:p w14:paraId="11B3F138" w14:textId="7F0EAF04" w:rsidR="009F4F5A" w:rsidRPr="00E50DC5" w:rsidRDefault="009F4F5A" w:rsidP="00E50DC5">
      <w:pPr>
        <w:pStyle w:val="ad"/>
        <w:rPr>
          <w:sz w:val="18"/>
          <w:szCs w:val="18"/>
        </w:rPr>
      </w:pPr>
      <w:r w:rsidRPr="00E50DC5">
        <w:rPr>
          <w:rStyle w:val="ae"/>
          <w:sz w:val="18"/>
          <w:szCs w:val="18"/>
        </w:rPr>
        <w:endnoteRef/>
      </w:r>
      <w:r w:rsidRPr="00E50DC5">
        <w:rPr>
          <w:sz w:val="18"/>
          <w:szCs w:val="18"/>
        </w:rPr>
        <w:t>張兆端：《説成語話管理管理哲學》，群衆出版社，2016年，34頁。</w:t>
      </w:r>
    </w:p>
  </w:endnote>
  <w:endnote w:id="21">
    <w:p w14:paraId="1B161A43" w14:textId="715D22B0" w:rsidR="009F4F5A" w:rsidRPr="00E50DC5" w:rsidRDefault="009F4F5A" w:rsidP="00E50DC5">
      <w:pPr>
        <w:pStyle w:val="ad"/>
        <w:rPr>
          <w:sz w:val="18"/>
          <w:szCs w:val="18"/>
        </w:rPr>
      </w:pPr>
      <w:r w:rsidRPr="00E50DC5">
        <w:rPr>
          <w:rStyle w:val="ae"/>
          <w:sz w:val="18"/>
          <w:szCs w:val="18"/>
        </w:rPr>
        <w:endnoteRef/>
      </w:r>
      <w:r w:rsidRPr="00E50DC5">
        <w:rPr>
          <w:sz w:val="18"/>
          <w:szCs w:val="18"/>
        </w:rPr>
        <w:t>如許嘉璐主編《文白對照諸子集成·吕氏春秋》將此句翻譯爲：“要使回聲變得好些，不應著力於回聲，而應著力於聲源的改善；要使影子變得好些，不應著力於影子，而應著力於改善產生影子的原形；治理天下的，不應著力於天下，而應致力於修養自身。”（許嘉璐主編《文白對照諸子集成》中，吴金華、儲道立注譯《吕氏春秋》，廣西教育出版社等，21頁）</w:t>
      </w:r>
    </w:p>
  </w:endnote>
  <w:endnote w:id="22">
    <w:p w14:paraId="2BE03C2C" w14:textId="1D08AC0E" w:rsidR="009F4F5A" w:rsidRPr="00E50DC5" w:rsidRDefault="009F4F5A" w:rsidP="00E50DC5">
      <w:pPr>
        <w:pStyle w:val="ad"/>
        <w:rPr>
          <w:sz w:val="18"/>
          <w:szCs w:val="18"/>
        </w:rPr>
      </w:pPr>
      <w:r w:rsidRPr="00E50DC5">
        <w:rPr>
          <w:rStyle w:val="ae"/>
          <w:sz w:val="18"/>
          <w:szCs w:val="18"/>
        </w:rPr>
        <w:endnoteRef/>
      </w:r>
      <w:r w:rsidRPr="00E50DC5">
        <w:rPr>
          <w:sz w:val="18"/>
          <w:szCs w:val="18"/>
        </w:rPr>
        <w:t>少數《吕氏春秋》的譯本把“善”譯成“了解/精通”（如黃碧燕譯注：《吕氏春秋》第二版，廣州出版社，2004年，36頁；李春玲譯：《吕氏春秋》，青海人民出版社，2004年，26頁），似明顯與句意不合。</w:t>
      </w:r>
    </w:p>
  </w:endnote>
  <w:endnote w:id="23">
    <w:p w14:paraId="49C43215" w14:textId="70BD6123" w:rsidR="009F4F5A" w:rsidRPr="00E50DC5" w:rsidRDefault="009F4F5A" w:rsidP="00E50DC5">
      <w:pPr>
        <w:pStyle w:val="ad"/>
        <w:rPr>
          <w:sz w:val="18"/>
          <w:szCs w:val="18"/>
        </w:rPr>
      </w:pPr>
      <w:r w:rsidRPr="00E50DC5">
        <w:rPr>
          <w:rStyle w:val="ae"/>
          <w:sz w:val="18"/>
          <w:szCs w:val="18"/>
        </w:rPr>
        <w:endnoteRef/>
      </w:r>
      <w:r w:rsidRPr="00E50DC5">
        <w:rPr>
          <w:sz w:val="18"/>
          <w:szCs w:val="18"/>
        </w:rPr>
        <w:t>原整理者認爲此簡與其前簡46“强之樹也，强取之也”可以繫聯（荊門市博物館《郭店楚墓竹簡》，文物出版社，1998年，211頁），李零則認爲此簡應與簡28“未有其至，則仁治者”繫聯（李零《郭店楚簡校讀記》，原載陳鼓應《道家文化研究》第17輯：郭店楚簡專號，1999年，527頁），是否正確，都有待進一步研究。</w:t>
      </w:r>
    </w:p>
  </w:endnote>
  <w:endnote w:id="24">
    <w:p w14:paraId="2D62A151" w14:textId="2C446391" w:rsidR="009F4F5A" w:rsidRPr="00E50DC5" w:rsidRDefault="009F4F5A" w:rsidP="00E50DC5">
      <w:pPr>
        <w:pStyle w:val="ad"/>
        <w:rPr>
          <w:sz w:val="18"/>
          <w:szCs w:val="18"/>
        </w:rPr>
      </w:pPr>
      <w:r w:rsidRPr="00E50DC5">
        <w:rPr>
          <w:rStyle w:val="ae"/>
          <w:sz w:val="18"/>
          <w:szCs w:val="18"/>
        </w:rPr>
        <w:endnoteRef/>
      </w:r>
      <w:r w:rsidRPr="00E50DC5">
        <w:rPr>
          <w:sz w:val="18"/>
          <w:szCs w:val="18"/>
        </w:rPr>
        <w:t>“善待”“善視”之語見於先秦古書。“善待”之例如《戰國策·秦策一》“陳軫去楚之秦”章説秦王“善待”陳軫，同書《燕策一》“初蘇秦弟厲因燕質子而求見齊王”章説齊“善待”蘇代、蘇厲。“善視”之例如《左傳·成公三年》説晋荀罃“善視”在他被囚於楚時曾打算營救他的那位賈人，《左傳·昭公十二年》記楚靈王向其親信大臣右尹子革稱贊左史倚相的長處，要他“善視”倚相，“善視”之“視”含重視、護視之義。</w:t>
      </w:r>
    </w:p>
  </w:endnote>
  <w:endnote w:id="25">
    <w:p w14:paraId="3CBCB2D4" w14:textId="56AC8239" w:rsidR="009F4F5A" w:rsidRPr="00E50DC5" w:rsidRDefault="009F4F5A" w:rsidP="00E50DC5">
      <w:pPr>
        <w:pStyle w:val="ad"/>
        <w:rPr>
          <w:sz w:val="18"/>
          <w:szCs w:val="18"/>
        </w:rPr>
      </w:pPr>
      <w:r w:rsidRPr="00E50DC5">
        <w:rPr>
          <w:rStyle w:val="ae"/>
          <w:sz w:val="18"/>
          <w:szCs w:val="18"/>
        </w:rPr>
        <w:endnoteRef/>
      </w:r>
      <w:r w:rsidRPr="00E50DC5">
        <w:rPr>
          <w:sz w:val="18"/>
          <w:szCs w:val="18"/>
        </w:rPr>
        <w:t>“焉”可訓“之”，參看裴學海《古書虚字集釋》，中華書局，1954年，96—101頁。但這種“焉”字似乎還有一種表示語氣的成分，參看吕叔湘《中國文法要略》，收入《吕叔湘全集》，遼寧教育出版社，2002年，278頁。我們覺得，在此例中，“甚善焉”也許可以理解爲“甚善之也”，語氣詞“焉”其作用有時與“也”相近，參看裴學海《古書虚字集釋》，102頁。</w:t>
      </w:r>
    </w:p>
  </w:endnote>
  <w:endnote w:id="26">
    <w:p w14:paraId="60F5703E" w14:textId="330CA8AA" w:rsidR="009F4F5A" w:rsidRPr="00E50DC5" w:rsidRDefault="009F4F5A" w:rsidP="00E50DC5">
      <w:pPr>
        <w:pStyle w:val="ad"/>
        <w:rPr>
          <w:sz w:val="18"/>
          <w:szCs w:val="18"/>
        </w:rPr>
      </w:pPr>
      <w:r w:rsidRPr="00E50DC5">
        <w:rPr>
          <w:rStyle w:val="ae"/>
          <w:sz w:val="18"/>
          <w:szCs w:val="18"/>
        </w:rPr>
        <w:endnoteRef/>
      </w:r>
      <w:r w:rsidRPr="00E50DC5">
        <w:rPr>
          <w:sz w:val="18"/>
          <w:szCs w:val="18"/>
        </w:rPr>
        <w:t>本文此處對《戰國策》原文之意的撮述，參考了朱本軍《政治遊説：〈戰國策〉譯讀》，首都師範大學出版社，2015年，387—388頁。</w:t>
      </w:r>
    </w:p>
  </w:endnote>
  <w:endnote w:id="27">
    <w:p w14:paraId="0A40336E" w14:textId="07AF4113" w:rsidR="009F4F5A" w:rsidRPr="00E50DC5" w:rsidRDefault="009F4F5A" w:rsidP="00E50DC5">
      <w:pPr>
        <w:pStyle w:val="ad"/>
        <w:rPr>
          <w:sz w:val="18"/>
          <w:szCs w:val="18"/>
        </w:rPr>
      </w:pPr>
      <w:r w:rsidRPr="00E50DC5">
        <w:rPr>
          <w:rStyle w:val="ae"/>
          <w:sz w:val="18"/>
          <w:szCs w:val="18"/>
        </w:rPr>
        <w:endnoteRef/>
      </w:r>
      <w:r w:rsidRPr="00E50DC5">
        <w:rPr>
          <w:sz w:val="18"/>
          <w:szCs w:val="18"/>
        </w:rPr>
        <w:t>（清）金正煒《戰國策補釋》指出此“又”讀爲“有”（見諸祖耿：《戰國策集注彙考》，江蘇古籍出版社，1985年，110頁注[三]），可信。</w:t>
      </w:r>
    </w:p>
  </w:endnote>
  <w:endnote w:id="28">
    <w:p w14:paraId="166ADA1C" w14:textId="69603C08" w:rsidR="009F4F5A" w:rsidRPr="00E50DC5" w:rsidRDefault="009F4F5A" w:rsidP="00E50DC5">
      <w:pPr>
        <w:pStyle w:val="ad"/>
        <w:rPr>
          <w:sz w:val="18"/>
          <w:szCs w:val="18"/>
        </w:rPr>
      </w:pPr>
      <w:r w:rsidRPr="00E50DC5">
        <w:rPr>
          <w:rStyle w:val="ae"/>
          <w:sz w:val="18"/>
          <w:szCs w:val="18"/>
        </w:rPr>
        <w:endnoteRef/>
      </w:r>
      <w:r w:rsidRPr="00E50DC5">
        <w:rPr>
          <w:sz w:val="18"/>
          <w:szCs w:val="18"/>
        </w:rPr>
        <w:t>金正煒説，見諸祖耿《戰國策集注彙考》，833頁注[五]。</w:t>
      </w:r>
    </w:p>
  </w:endnote>
  <w:endnote w:id="29">
    <w:p w14:paraId="0CA6AA46" w14:textId="2BEBFFB6" w:rsidR="009F4F5A" w:rsidRPr="00E50DC5" w:rsidRDefault="009F4F5A" w:rsidP="00E50DC5">
      <w:pPr>
        <w:pStyle w:val="ad"/>
        <w:rPr>
          <w:sz w:val="18"/>
          <w:szCs w:val="18"/>
        </w:rPr>
      </w:pPr>
      <w:r w:rsidRPr="00E50DC5">
        <w:rPr>
          <w:rStyle w:val="ae"/>
          <w:sz w:val="18"/>
          <w:szCs w:val="18"/>
        </w:rPr>
        <w:endnoteRef/>
      </w:r>
      <w:r w:rsidRPr="00E50DC5">
        <w:rPr>
          <w:sz w:val="18"/>
          <w:szCs w:val="18"/>
        </w:rPr>
        <w:t>何樂士：《〈左傳〉虚詞研究》修訂本，商務印書館，2004年，102頁。</w:t>
      </w:r>
    </w:p>
  </w:endnote>
  <w:endnote w:id="30">
    <w:p w14:paraId="665879BA" w14:textId="17BDA5D0" w:rsidR="009F4F5A" w:rsidRPr="00E50DC5" w:rsidRDefault="009F4F5A" w:rsidP="00E50DC5">
      <w:pPr>
        <w:pStyle w:val="ad"/>
        <w:rPr>
          <w:sz w:val="18"/>
          <w:szCs w:val="18"/>
        </w:rPr>
      </w:pPr>
      <w:r w:rsidRPr="00E50DC5">
        <w:rPr>
          <w:rStyle w:val="ae"/>
          <w:sz w:val="18"/>
          <w:szCs w:val="18"/>
        </w:rPr>
        <w:endnoteRef/>
      </w:r>
      <w:r w:rsidRPr="00E50DC5">
        <w:rPr>
          <w:sz w:val="18"/>
          <w:szCs w:val="18"/>
        </w:rPr>
        <w:t>張玉金在《出土戰國文獻虚詞研究》中認爲，戰國出土文獻中也有在動作動詞（引者按：張玉金把有關動詞限制在他所謂的“動作動詞”的範圍内，何樂士所舉動詞則不限於所謂“動作動詞”，但張玉金自己所舉出的動詞實際上有一些也並不限於他所謂的“動作動詞”的範圍）和受事賓語之間加“于/於”，以“强調賓語”、“加强語氣”的現象。（人民出版社，2011年，47—48頁）但他所舉實例似頗有可商榷之處。我們説“於”有“强調賓語”的作用，此説取自張書。</w:t>
      </w:r>
    </w:p>
  </w:endnote>
  <w:endnote w:id="31">
    <w:p w14:paraId="58B5F18E" w14:textId="618ED4FB" w:rsidR="009F4F5A" w:rsidRPr="00E50DC5" w:rsidRDefault="009F4F5A" w:rsidP="00E50DC5">
      <w:pPr>
        <w:pStyle w:val="ad"/>
        <w:rPr>
          <w:sz w:val="18"/>
          <w:szCs w:val="18"/>
        </w:rPr>
      </w:pPr>
      <w:r w:rsidRPr="00E50DC5">
        <w:rPr>
          <w:rStyle w:val="ae"/>
          <w:sz w:val="18"/>
          <w:szCs w:val="18"/>
        </w:rPr>
        <w:endnoteRef/>
      </w:r>
      <w:r w:rsidRPr="00E50DC5">
        <w:rPr>
          <w:sz w:val="18"/>
          <w:szCs w:val="18"/>
        </w:rPr>
        <w:t>諸祖耿：《戰國策集注彙考》，110頁注[九]。</w:t>
      </w:r>
    </w:p>
  </w:endnote>
  <w:endnote w:id="32">
    <w:p w14:paraId="02EE7DEC" w14:textId="3F8D98C5" w:rsidR="009F4F5A" w:rsidRPr="00E50DC5" w:rsidRDefault="009F4F5A" w:rsidP="00E50DC5">
      <w:pPr>
        <w:pStyle w:val="ad"/>
        <w:rPr>
          <w:sz w:val="18"/>
          <w:szCs w:val="18"/>
        </w:rPr>
      </w:pPr>
      <w:r w:rsidRPr="00E50DC5">
        <w:rPr>
          <w:rStyle w:val="ae"/>
          <w:sz w:val="18"/>
          <w:szCs w:val="18"/>
        </w:rPr>
        <w:endnoteRef/>
      </w:r>
      <w:r w:rsidRPr="00E50DC5">
        <w:rPr>
          <w:sz w:val="18"/>
          <w:szCs w:val="18"/>
        </w:rPr>
        <w:t>諸祖耿：《戰國策集注彙考》，483頁注[一二]。</w:t>
      </w:r>
    </w:p>
  </w:endnote>
  <w:endnote w:id="33">
    <w:p w14:paraId="2B7B8D27" w14:textId="362A9383" w:rsidR="009F4F5A" w:rsidRPr="00E50DC5" w:rsidRDefault="009F4F5A" w:rsidP="00E50DC5">
      <w:pPr>
        <w:pStyle w:val="ad"/>
        <w:rPr>
          <w:sz w:val="18"/>
          <w:szCs w:val="18"/>
        </w:rPr>
      </w:pPr>
      <w:r w:rsidRPr="00E50DC5">
        <w:rPr>
          <w:rStyle w:val="ae"/>
          <w:sz w:val="18"/>
          <w:szCs w:val="18"/>
        </w:rPr>
        <w:endnoteRef/>
      </w:r>
      <w:r w:rsidRPr="00E50DC5">
        <w:rPr>
          <w:sz w:val="18"/>
          <w:szCs w:val="18"/>
        </w:rPr>
        <w:t>（清）阮元校刻：《十三經注疏·春秋左傳正義》，中華書局，2009年，3954頁。</w:t>
      </w:r>
    </w:p>
  </w:endnote>
  <w:endnote w:id="34">
    <w:p w14:paraId="73B5118B" w14:textId="1A69C92E" w:rsidR="009F4F5A" w:rsidRPr="00E50DC5" w:rsidRDefault="009F4F5A" w:rsidP="00E50DC5">
      <w:pPr>
        <w:pStyle w:val="ad"/>
        <w:rPr>
          <w:sz w:val="18"/>
          <w:szCs w:val="18"/>
        </w:rPr>
      </w:pPr>
      <w:r w:rsidRPr="00E50DC5">
        <w:rPr>
          <w:rStyle w:val="ae"/>
          <w:sz w:val="18"/>
          <w:szCs w:val="18"/>
        </w:rPr>
        <w:endnoteRef/>
      </w:r>
      <w:r w:rsidRPr="00E50DC5">
        <w:rPr>
          <w:sz w:val="18"/>
          <w:szCs w:val="18"/>
        </w:rPr>
        <w:t>王叔岷：《史記斠證》，2257頁。</w:t>
      </w:r>
    </w:p>
  </w:endnote>
  <w:endnote w:id="35">
    <w:p w14:paraId="6A00499C" w14:textId="6757B337" w:rsidR="009F4F5A" w:rsidRPr="00E50DC5" w:rsidRDefault="009F4F5A" w:rsidP="00E50DC5">
      <w:pPr>
        <w:pStyle w:val="ad"/>
        <w:rPr>
          <w:sz w:val="18"/>
          <w:szCs w:val="18"/>
        </w:rPr>
      </w:pPr>
      <w:r w:rsidRPr="00E50DC5">
        <w:rPr>
          <w:rStyle w:val="ae"/>
          <w:sz w:val="18"/>
          <w:szCs w:val="18"/>
        </w:rPr>
        <w:endnoteRef/>
      </w:r>
      <w:r w:rsidRPr="00E50DC5">
        <w:rPr>
          <w:sz w:val="18"/>
          <w:szCs w:val="18"/>
        </w:rPr>
        <w:t>裘錫圭主編：《長沙馬王堆漢墓簡帛集成》第三册《戰國縱橫家書》，中華書局，2014年，252頁。帛書“公”字上有嚴重殘損，原整理者據《史記》釋爲“此其善於公”，《集成》整理者郭永秉據帛書“公”上之字右邊所存殘筆判定其爲“善”字，“善”“公”之間並無“於”字地位（254頁注[二四]），故釋作“□□善公”。今從之。</w:t>
      </w:r>
    </w:p>
  </w:endnote>
  <w:endnote w:id="36">
    <w:p w14:paraId="508A41AE" w14:textId="2A832617" w:rsidR="009F4F5A" w:rsidRPr="00E50DC5" w:rsidRDefault="009F4F5A" w:rsidP="00E50DC5">
      <w:pPr>
        <w:pStyle w:val="ad"/>
        <w:rPr>
          <w:sz w:val="18"/>
          <w:szCs w:val="18"/>
        </w:rPr>
      </w:pPr>
      <w:r w:rsidRPr="00E50DC5">
        <w:rPr>
          <w:rStyle w:val="ae"/>
          <w:sz w:val="18"/>
          <w:szCs w:val="18"/>
        </w:rPr>
        <w:endnoteRef/>
      </w:r>
      <w:r w:rsidRPr="00E50DC5">
        <w:rPr>
          <w:sz w:val="18"/>
          <w:szCs w:val="18"/>
        </w:rPr>
        <w:t>過去很多研究漢語語法的人狃於他們所熟悉的英語語法，把“能”看作助動詞。其實漢語動詞没有形態變化，跟在“能”字後面的動詞及其有關詞語完全可以看作“能”的賓語，“能”字後面可以直接帶事物名稱或其代詞“之”，更可以證明“能”的動詞性質。</w:t>
      </w:r>
    </w:p>
  </w:endnote>
  <w:endnote w:id="37">
    <w:p w14:paraId="08A0E510" w14:textId="0459036C" w:rsidR="009F4F5A" w:rsidRPr="00E50DC5" w:rsidRDefault="009F4F5A" w:rsidP="00E50DC5">
      <w:pPr>
        <w:pStyle w:val="ad"/>
        <w:rPr>
          <w:sz w:val="18"/>
          <w:szCs w:val="18"/>
          <w:lang w:eastAsia="zh-TW"/>
        </w:rPr>
      </w:pPr>
      <w:r w:rsidRPr="00E50DC5">
        <w:rPr>
          <w:rStyle w:val="ae"/>
          <w:sz w:val="18"/>
          <w:szCs w:val="18"/>
        </w:rPr>
        <w:endnoteRef/>
      </w:r>
      <w:r w:rsidRPr="00E50DC5">
        <w:rPr>
          <w:sz w:val="18"/>
          <w:szCs w:val="18"/>
        </w:rPr>
        <w:t>根據我們上文對“善”直接帶指人的賓語時所表示的意義的分析，“善君”可以理解爲將自己與君的關係處理得很好。根據具體語境，這裏的“善君”可以簡單地理解爲“善事君”，韋昭注“以道事其君”，是很有道理的。</w:t>
      </w:r>
    </w:p>
  </w:endnote>
  <w:endnote w:id="38">
    <w:p w14:paraId="4744BDC8" w14:textId="65E4E926" w:rsidR="009F4F5A" w:rsidRPr="00E50DC5" w:rsidRDefault="009F4F5A" w:rsidP="00E50DC5">
      <w:pPr>
        <w:pStyle w:val="ad"/>
        <w:rPr>
          <w:sz w:val="18"/>
          <w:szCs w:val="18"/>
        </w:rPr>
      </w:pPr>
      <w:r w:rsidRPr="00E50DC5">
        <w:rPr>
          <w:rStyle w:val="ae"/>
          <w:sz w:val="18"/>
          <w:szCs w:val="18"/>
        </w:rPr>
        <w:endnoteRef/>
      </w:r>
      <w:r w:rsidRPr="00E50DC5">
        <w:rPr>
          <w:sz w:val="18"/>
          <w:szCs w:val="18"/>
        </w:rPr>
        <w:t>（清）阮元校刻：《十三經注疏·論語注疏》，中華書局，2009年，5430頁。</w:t>
      </w:r>
    </w:p>
  </w:endnote>
  <w:endnote w:id="39">
    <w:p w14:paraId="3E6F3F63" w14:textId="19D1495F" w:rsidR="009F4F5A" w:rsidRPr="00E50DC5" w:rsidRDefault="009F4F5A" w:rsidP="00E50DC5">
      <w:pPr>
        <w:pStyle w:val="ad"/>
        <w:rPr>
          <w:sz w:val="18"/>
          <w:szCs w:val="18"/>
        </w:rPr>
      </w:pPr>
      <w:r w:rsidRPr="00E50DC5">
        <w:rPr>
          <w:rStyle w:val="ae"/>
          <w:sz w:val="18"/>
          <w:szCs w:val="18"/>
        </w:rPr>
        <w:endnoteRef/>
      </w:r>
      <w:r w:rsidRPr="00E50DC5">
        <w:rPr>
          <w:sz w:val="18"/>
          <w:szCs w:val="18"/>
        </w:rPr>
        <w:t>何寧撰：《淮南子集釋》，中華書局，1998年，1059頁。</w:t>
      </w:r>
    </w:p>
  </w:endnote>
  <w:endnote w:id="40">
    <w:p w14:paraId="1E01DDA3" w14:textId="0CF890F0" w:rsidR="009F4F5A" w:rsidRPr="00E50DC5" w:rsidRDefault="009F4F5A" w:rsidP="00E50DC5">
      <w:pPr>
        <w:pStyle w:val="ad"/>
        <w:rPr>
          <w:sz w:val="18"/>
          <w:szCs w:val="18"/>
        </w:rPr>
      </w:pPr>
      <w:r w:rsidRPr="00E50DC5">
        <w:rPr>
          <w:rStyle w:val="ae"/>
          <w:sz w:val="18"/>
          <w:szCs w:val="18"/>
        </w:rPr>
        <w:endnoteRef/>
      </w:r>
      <w:r w:rsidRPr="00E50DC5">
        <w:rPr>
          <w:sz w:val="18"/>
          <w:szCs w:val="18"/>
        </w:rPr>
        <w:t>（清）阮元校刻：《十三經注疏·春秋左傳正義》，4613頁。</w:t>
      </w:r>
    </w:p>
  </w:endnote>
  <w:endnote w:id="41">
    <w:p w14:paraId="092D5FD7" w14:textId="36DD0F58" w:rsidR="009F4F5A" w:rsidRPr="00E50DC5" w:rsidRDefault="009F4F5A" w:rsidP="00E50DC5">
      <w:pPr>
        <w:pStyle w:val="ad"/>
        <w:rPr>
          <w:sz w:val="18"/>
          <w:szCs w:val="18"/>
        </w:rPr>
      </w:pPr>
      <w:r w:rsidRPr="00E50DC5">
        <w:rPr>
          <w:rStyle w:val="ae"/>
          <w:sz w:val="18"/>
          <w:szCs w:val="18"/>
        </w:rPr>
        <w:endnoteRef/>
      </w:r>
      <w:r w:rsidRPr="00E50DC5">
        <w:rPr>
          <w:sz w:val="18"/>
          <w:szCs w:val="18"/>
        </w:rPr>
        <w:t>參看（清）王引之：《經義述聞·周易下·乾知大始》所引王念孫説（第一册118頁）。</w:t>
      </w:r>
    </w:p>
  </w:endnote>
  <w:endnote w:id="42">
    <w:p w14:paraId="1D44A724" w14:textId="4925082C" w:rsidR="009F4F5A" w:rsidRPr="00E50DC5" w:rsidRDefault="009F4F5A" w:rsidP="00E50DC5">
      <w:pPr>
        <w:pStyle w:val="ad"/>
        <w:rPr>
          <w:sz w:val="18"/>
          <w:szCs w:val="18"/>
          <w:lang w:eastAsia="zh-TW"/>
        </w:rPr>
      </w:pPr>
      <w:r w:rsidRPr="00E50DC5">
        <w:rPr>
          <w:rStyle w:val="ae"/>
          <w:sz w:val="18"/>
          <w:szCs w:val="18"/>
        </w:rPr>
        <w:endnoteRef/>
      </w:r>
      <w:r w:rsidRPr="00E50DC5">
        <w:rPr>
          <w:sz w:val="18"/>
          <w:szCs w:val="18"/>
        </w:rPr>
        <w:t>“善之”可理解爲善待之，也可以説就是要把跟晋文公的關係處理得很好的意思。這種“善”字的用法參看上文一（三）1.。</w:t>
      </w:r>
    </w:p>
  </w:endnote>
  <w:endnote w:id="43">
    <w:p w14:paraId="1C7B8792" w14:textId="2CB768E3" w:rsidR="009F4F5A" w:rsidRPr="00E50DC5" w:rsidRDefault="009F4F5A" w:rsidP="00E50DC5">
      <w:pPr>
        <w:pStyle w:val="ad"/>
        <w:rPr>
          <w:sz w:val="18"/>
          <w:szCs w:val="18"/>
        </w:rPr>
      </w:pPr>
      <w:r w:rsidRPr="00E50DC5">
        <w:rPr>
          <w:rStyle w:val="ae"/>
          <w:sz w:val="18"/>
          <w:szCs w:val="18"/>
        </w:rPr>
        <w:endnoteRef/>
      </w:r>
      <w:r w:rsidRPr="00E50DC5">
        <w:rPr>
          <w:sz w:val="18"/>
          <w:szCs w:val="18"/>
        </w:rPr>
        <w:t>（清）王引之：《經義述聞·春秋左傳下·不能相禮》，第三册1109—1110頁。</w:t>
      </w:r>
    </w:p>
  </w:endnote>
  <w:endnote w:id="44">
    <w:p w14:paraId="312BB3B8" w14:textId="133F8B55" w:rsidR="009F4F5A" w:rsidRPr="00E50DC5" w:rsidRDefault="009F4F5A" w:rsidP="00E50DC5">
      <w:pPr>
        <w:pStyle w:val="ad"/>
        <w:rPr>
          <w:sz w:val="18"/>
          <w:szCs w:val="18"/>
        </w:rPr>
      </w:pPr>
      <w:r w:rsidRPr="00E50DC5">
        <w:rPr>
          <w:rStyle w:val="ae"/>
          <w:sz w:val="18"/>
          <w:szCs w:val="18"/>
        </w:rPr>
        <w:endnoteRef/>
      </w:r>
      <w:r w:rsidRPr="00E50DC5">
        <w:rPr>
          <w:sz w:val="18"/>
          <w:szCs w:val="18"/>
        </w:rPr>
        <w:t>參看（清）王引之：《經傳釋詞》，嶽麓書社，1984年，44頁。</w:t>
      </w:r>
    </w:p>
  </w:endnote>
  <w:endnote w:id="45">
    <w:p w14:paraId="4652911C" w14:textId="07D0FE92" w:rsidR="009F4F5A" w:rsidRPr="00E50DC5" w:rsidRDefault="009F4F5A" w:rsidP="00E50DC5">
      <w:pPr>
        <w:pStyle w:val="ad"/>
        <w:rPr>
          <w:sz w:val="18"/>
          <w:szCs w:val="18"/>
        </w:rPr>
      </w:pPr>
      <w:r w:rsidRPr="00E50DC5">
        <w:rPr>
          <w:rStyle w:val="ae"/>
          <w:sz w:val="18"/>
          <w:szCs w:val="18"/>
        </w:rPr>
        <w:endnoteRef/>
      </w:r>
      <w:r w:rsidRPr="00E50DC5">
        <w:rPr>
          <w:sz w:val="18"/>
          <w:szCs w:val="18"/>
        </w:rPr>
        <w:t>羅竹風主編：《漢語大詞典》，1266頁。《大字典》《辭源》《辭海》“能”字條也有類似義項，但都不説“能做到”而説“能够”。《大字典》“能”字條此義項没有説“勝任”。</w:t>
      </w:r>
    </w:p>
  </w:endnote>
  <w:endnote w:id="46">
    <w:p w14:paraId="6C73ADE1" w14:textId="77C2CD79" w:rsidR="009F4F5A" w:rsidRPr="00E50DC5" w:rsidRDefault="009F4F5A" w:rsidP="00E50DC5">
      <w:pPr>
        <w:pStyle w:val="ad"/>
        <w:rPr>
          <w:sz w:val="18"/>
          <w:szCs w:val="18"/>
        </w:rPr>
      </w:pPr>
      <w:r w:rsidRPr="00E50DC5">
        <w:rPr>
          <w:rStyle w:val="ae"/>
          <w:sz w:val="18"/>
          <w:szCs w:val="18"/>
        </w:rPr>
        <w:endnoteRef/>
      </w:r>
      <w:r w:rsidRPr="00E50DC5">
        <w:rPr>
          <w:sz w:val="18"/>
          <w:szCs w:val="18"/>
        </w:rPr>
        <w:t>參看《漢語大詞典》“任”字條。</w:t>
      </w:r>
    </w:p>
  </w:endnote>
  <w:endnote w:id="47">
    <w:p w14:paraId="615D8EF1" w14:textId="61C5998A" w:rsidR="009F4F5A" w:rsidRPr="00E50DC5" w:rsidRDefault="009F4F5A" w:rsidP="00E50DC5">
      <w:pPr>
        <w:pStyle w:val="ad"/>
        <w:rPr>
          <w:sz w:val="18"/>
          <w:szCs w:val="18"/>
          <w:lang w:eastAsia="zh-TW"/>
        </w:rPr>
      </w:pPr>
      <w:r w:rsidRPr="00E50DC5">
        <w:rPr>
          <w:rStyle w:val="ae"/>
          <w:sz w:val="18"/>
          <w:szCs w:val="18"/>
        </w:rPr>
        <w:endnoteRef/>
      </w:r>
      <w:r w:rsidRPr="00E50DC5">
        <w:rPr>
          <w:sz w:val="18"/>
          <w:szCs w:val="18"/>
        </w:rPr>
        <w:t>《荀子·仲尼》篇有下引文字：“求善處大重，理（俞樾以爲衍文）任大事，擅寵於萬乘之國，必無後患之術，……能耐任之，則慎行此道也；能而不耐任，且恐失寵，則莫若早同之，推賢讓能而安隨其後。”“能耐任之”與“能而不耐任”二句之意難通，王念孫《讀書雜志》已經指出：“兩‘能’字皆衍文。‘耐’即‘能’字也。”[（清）王先謙撰，沈嘯寰、王星賢點校：《荀子集解》，中華書局，1988年，111頁]頗疑二句“耐”下“任”字亦爲誤衍之文，“耐（能）之”即可解爲“能任之”。</w:t>
      </w:r>
    </w:p>
  </w:endnote>
  <w:endnote w:id="48">
    <w:p w14:paraId="2DB53AAF" w14:textId="74A01CE5" w:rsidR="009F4F5A" w:rsidRPr="00E50DC5" w:rsidRDefault="009F4F5A" w:rsidP="00E50DC5">
      <w:pPr>
        <w:pStyle w:val="ad"/>
        <w:rPr>
          <w:sz w:val="18"/>
          <w:szCs w:val="18"/>
        </w:rPr>
      </w:pPr>
      <w:r w:rsidRPr="00E50DC5">
        <w:rPr>
          <w:rStyle w:val="ae"/>
          <w:sz w:val="18"/>
          <w:szCs w:val="18"/>
        </w:rPr>
        <w:endnoteRef/>
      </w:r>
      <w:r w:rsidRPr="00E50DC5">
        <w:rPr>
          <w:sz w:val="18"/>
          <w:szCs w:val="18"/>
        </w:rPr>
        <w:t>（清）阮元校刻：《十三經注疏·論語注疏》，5502頁。</w:t>
      </w:r>
    </w:p>
  </w:endnote>
  <w:endnote w:id="49">
    <w:p w14:paraId="4217830E" w14:textId="3D816E42" w:rsidR="009F4F5A" w:rsidRPr="00E50DC5" w:rsidRDefault="009F4F5A" w:rsidP="00E50DC5">
      <w:pPr>
        <w:pStyle w:val="ad"/>
        <w:rPr>
          <w:sz w:val="18"/>
          <w:szCs w:val="18"/>
        </w:rPr>
      </w:pPr>
      <w:r w:rsidRPr="00E50DC5">
        <w:rPr>
          <w:rStyle w:val="ae"/>
          <w:sz w:val="18"/>
          <w:szCs w:val="18"/>
        </w:rPr>
        <w:endnoteRef/>
      </w:r>
      <w:r w:rsidRPr="00E50DC5">
        <w:rPr>
          <w:sz w:val="18"/>
          <w:szCs w:val="18"/>
        </w:rPr>
        <w:t>參看楊樹達：《漢書窺管》，湖南教育出版社，2007年，222頁。</w:t>
      </w:r>
    </w:p>
  </w:endnote>
  <w:endnote w:id="50">
    <w:p w14:paraId="66BFBB54" w14:textId="296FB790" w:rsidR="009F4F5A" w:rsidRPr="00E50DC5" w:rsidRDefault="009F4F5A" w:rsidP="00E50DC5">
      <w:pPr>
        <w:pStyle w:val="ad"/>
        <w:rPr>
          <w:sz w:val="18"/>
          <w:szCs w:val="18"/>
        </w:rPr>
      </w:pPr>
      <w:r w:rsidRPr="00E50DC5">
        <w:rPr>
          <w:rStyle w:val="ae"/>
          <w:sz w:val="18"/>
          <w:szCs w:val="18"/>
        </w:rPr>
        <w:endnoteRef/>
      </w:r>
      <w:r w:rsidRPr="00E50DC5">
        <w:rPr>
          <w:sz w:val="18"/>
          <w:szCs w:val="18"/>
        </w:rPr>
        <w:t>（清）王先謙撰，沈嘯寰、王星賢點校：《荀子集解》，中華書局，1988年，4頁。</w:t>
      </w:r>
    </w:p>
  </w:endnote>
  <w:endnote w:id="51">
    <w:p w14:paraId="70986690" w14:textId="3DE1E422" w:rsidR="009F4F5A" w:rsidRPr="00E50DC5" w:rsidRDefault="009F4F5A" w:rsidP="00E50DC5">
      <w:pPr>
        <w:pStyle w:val="ad"/>
        <w:rPr>
          <w:sz w:val="18"/>
          <w:szCs w:val="18"/>
        </w:rPr>
      </w:pPr>
      <w:r w:rsidRPr="00E50DC5">
        <w:rPr>
          <w:rStyle w:val="ae"/>
          <w:sz w:val="18"/>
          <w:szCs w:val="18"/>
        </w:rPr>
        <w:endnoteRef/>
      </w:r>
      <w:r w:rsidRPr="00E50DC5">
        <w:rPr>
          <w:sz w:val="18"/>
          <w:szCs w:val="18"/>
        </w:rPr>
        <w:t>《大字典》在“水”字的“游水”義項下還舉了時代較晚的“習水”（見《宋史·李全傳》）和“識得水”（見《水滸傳》第三八回），《大詞典》在“泅水”義項下還舉了“會水”一例（見《三國演義》第七四回）。“會水”的情況與“能水”相似，“會”字也有在它跟所帶的名詞性賓語之間省去很容易看出來的表示行爲的字的用法，如“會鋼琴”就是會彈鋼琴，“會小提琴”就是會拉小提琴，“會兩齣京戲”就是會唱、會演兩齣京戲的意思，“會英語”就是會講英語或會看英語書的意思（《現代漢語詞典》爲“會英語”“會兩齣京戲”的用例立了“熟習，精通”的義項，其實並不恰當）。“習水”之語已見漢以前古書，《管子·度地》：“桓公曰：‘請問備五害之道。’管子對曰：‘請除五害之説，以水爲始，請爲置水官，令習水者爲吏，……令之行水道，城郭、堤川、溝池、官府、寺舍及洲中當繕治者，給卒財足……’”《史記·齊太公世家》：“桓公與夫人蔡姬戲舡中，蔡姬習水，蕩公。”《漢語大詞典》“習水”條引上舉《史記》用例，解釋爲“謂熟習水性”。《漢語大字典》所引《李全傳》之文作：“九月，全歸海州，治舟益急，驅諸崮人習水。”《李全傳》記南宋叛臣李全當時在海州（今江蘇連雲港一帶濱海之地）整治船隻，積極準備與宋進行水戰，“驅諸崮人習水”應該是説他驅使一些原來居於山地的人去熟習水性，以便在水戰中使用他們。（《晋書·宣帝紀》《北史·陽尼傳》皆有“習水戰”之語，《李全傳》上文也説“全知東南利舟師，謀習水戰”。）《李全傳》的“習水”絶不會單指習游水。《水滸傳》第三八回“李逵雖然也識得水，卻不甚高”意思是説李逵雖然懂一點水性，但水平並不很高。“識得水”也絶不會是“懂得游水”的意思。所以，這兩種辭書爲“水”字立“游水/泅水”的義項，完全是没有根據的。</w:t>
      </w:r>
    </w:p>
  </w:endnote>
  <w:endnote w:id="52">
    <w:p w14:paraId="6112E421" w14:textId="1DF9B782" w:rsidR="009F4F5A" w:rsidRPr="00E50DC5" w:rsidRDefault="009F4F5A" w:rsidP="00E50DC5">
      <w:pPr>
        <w:pStyle w:val="ad"/>
        <w:rPr>
          <w:sz w:val="18"/>
          <w:szCs w:val="18"/>
        </w:rPr>
      </w:pPr>
      <w:r w:rsidRPr="00E50DC5">
        <w:rPr>
          <w:rStyle w:val="ae"/>
          <w:sz w:val="18"/>
          <w:szCs w:val="18"/>
        </w:rPr>
        <w:endnoteRef/>
      </w:r>
      <w:r w:rsidRPr="00E50DC5">
        <w:rPr>
          <w:sz w:val="18"/>
          <w:szCs w:val="18"/>
        </w:rPr>
        <w:t>（清）阮元校刻：《十三經注疏·毛詩正義》，1181頁。</w:t>
      </w:r>
    </w:p>
  </w:endnote>
  <w:endnote w:id="53">
    <w:p w14:paraId="27D6EB8B" w14:textId="1001B0D3" w:rsidR="009F4F5A" w:rsidRPr="00E50DC5" w:rsidRDefault="009F4F5A" w:rsidP="00E50DC5">
      <w:pPr>
        <w:pStyle w:val="ad"/>
        <w:rPr>
          <w:sz w:val="18"/>
          <w:szCs w:val="18"/>
        </w:rPr>
      </w:pPr>
      <w:r w:rsidRPr="00E50DC5">
        <w:rPr>
          <w:rStyle w:val="ae"/>
          <w:sz w:val="18"/>
          <w:szCs w:val="18"/>
        </w:rPr>
        <w:endnoteRef/>
      </w:r>
      <w:r w:rsidRPr="00E50DC5">
        <w:rPr>
          <w:sz w:val="18"/>
          <w:szCs w:val="18"/>
        </w:rPr>
        <w:t>（清）阮元校刻：《十三經注疏·春秋左傳正義》，3909頁。</w:t>
      </w:r>
    </w:p>
  </w:endnote>
  <w:endnote w:id="54">
    <w:p w14:paraId="5C269945" w14:textId="2BE943C7" w:rsidR="009F4F5A" w:rsidRPr="00E50DC5" w:rsidRDefault="009F4F5A" w:rsidP="00E50DC5">
      <w:pPr>
        <w:pStyle w:val="ad"/>
        <w:rPr>
          <w:sz w:val="18"/>
          <w:szCs w:val="18"/>
        </w:rPr>
      </w:pPr>
      <w:r w:rsidRPr="00E50DC5">
        <w:rPr>
          <w:rStyle w:val="ae"/>
          <w:sz w:val="18"/>
          <w:szCs w:val="18"/>
        </w:rPr>
        <w:endnoteRef/>
      </w:r>
      <w:r w:rsidRPr="00E50DC5">
        <w:rPr>
          <w:sz w:val="18"/>
          <w:szCs w:val="18"/>
        </w:rPr>
        <w:t>（清）阮元校刻：《十三經注疏·春秋榖梁傳注疏》，5241頁。</w:t>
      </w:r>
    </w:p>
  </w:endnote>
  <w:endnote w:id="55">
    <w:p w14:paraId="7F5178B8" w14:textId="2ED9FAD1" w:rsidR="009F4F5A" w:rsidRPr="00E50DC5" w:rsidRDefault="009F4F5A" w:rsidP="00E50DC5">
      <w:pPr>
        <w:pStyle w:val="ad"/>
        <w:rPr>
          <w:sz w:val="18"/>
          <w:szCs w:val="18"/>
        </w:rPr>
      </w:pPr>
      <w:r w:rsidRPr="00E50DC5">
        <w:rPr>
          <w:rStyle w:val="ae"/>
          <w:sz w:val="18"/>
          <w:szCs w:val="18"/>
        </w:rPr>
        <w:endnoteRef/>
      </w:r>
      <w:r w:rsidRPr="00E50DC5">
        <w:rPr>
          <w:sz w:val="18"/>
          <w:szCs w:val="18"/>
        </w:rPr>
        <w:t>裴學海：《古書虚字集釋》，277頁。</w:t>
      </w:r>
    </w:p>
  </w:endnote>
  <w:endnote w:id="56">
    <w:p w14:paraId="689C940B" w14:textId="7B77EF60" w:rsidR="009F4F5A" w:rsidRPr="00E50DC5" w:rsidRDefault="009F4F5A" w:rsidP="00E50DC5">
      <w:pPr>
        <w:pStyle w:val="ad"/>
        <w:rPr>
          <w:sz w:val="18"/>
          <w:szCs w:val="18"/>
        </w:rPr>
      </w:pPr>
      <w:r w:rsidRPr="00E50DC5">
        <w:rPr>
          <w:rStyle w:val="ae"/>
          <w:sz w:val="18"/>
          <w:szCs w:val="18"/>
        </w:rPr>
        <w:endnoteRef/>
      </w:r>
      <w:r w:rsidRPr="00E50DC5">
        <w:rPr>
          <w:sz w:val="18"/>
          <w:szCs w:val="18"/>
        </w:rPr>
        <w:t>參看黃德寬主編《清華大學藏戰國竹簡（玖）·廼命二》整理者《説明》，中西書局，2019年，170頁。</w:t>
      </w:r>
    </w:p>
  </w:endnote>
  <w:endnote w:id="57">
    <w:p w14:paraId="63B0A2FB" w14:textId="432732B5" w:rsidR="009F4F5A" w:rsidRPr="00E50DC5" w:rsidRDefault="009F4F5A" w:rsidP="00E50DC5">
      <w:pPr>
        <w:pStyle w:val="ad"/>
        <w:rPr>
          <w:sz w:val="18"/>
          <w:szCs w:val="18"/>
        </w:rPr>
      </w:pPr>
      <w:r w:rsidRPr="00E50DC5">
        <w:rPr>
          <w:rStyle w:val="ae"/>
          <w:sz w:val="18"/>
          <w:szCs w:val="18"/>
        </w:rPr>
        <w:endnoteRef/>
      </w:r>
      <w:r w:rsidRPr="00E50DC5">
        <w:rPr>
          <w:sz w:val="18"/>
          <w:szCs w:val="18"/>
        </w:rPr>
        <w:t>同上注，174頁注[二〇]。又，整理者謂：“相能，謂親善。”</w:t>
      </w:r>
    </w:p>
  </w:endnote>
  <w:endnote w:id="58">
    <w:p w14:paraId="2A608015" w14:textId="51D114E8" w:rsidR="009F4F5A" w:rsidRPr="00E50DC5" w:rsidRDefault="009F4F5A" w:rsidP="00E50DC5">
      <w:pPr>
        <w:pStyle w:val="ad"/>
        <w:rPr>
          <w:sz w:val="18"/>
          <w:szCs w:val="18"/>
        </w:rPr>
      </w:pPr>
      <w:r w:rsidRPr="00E50DC5">
        <w:rPr>
          <w:rStyle w:val="ae"/>
          <w:sz w:val="18"/>
          <w:szCs w:val="18"/>
        </w:rPr>
        <w:endnoteRef/>
      </w:r>
      <w:r w:rsidRPr="00E50DC5">
        <w:rPr>
          <w:sz w:val="18"/>
          <w:szCs w:val="18"/>
        </w:rPr>
        <w:t>參看屈萬里：《尚書集釋》，中西書局，2014年，156頁；顧頡剛、劉起釪：《尚書校釋譯論·康誥·今譯》，中華書局，2005年，1361頁。</w:t>
      </w:r>
    </w:p>
  </w:endnote>
  <w:endnote w:id="59">
    <w:p w14:paraId="7CE81CB7" w14:textId="5D1BE93D" w:rsidR="009F4F5A" w:rsidRPr="00E50DC5" w:rsidRDefault="009F4F5A" w:rsidP="00E50DC5">
      <w:pPr>
        <w:pStyle w:val="ad"/>
        <w:rPr>
          <w:sz w:val="18"/>
          <w:szCs w:val="18"/>
        </w:rPr>
      </w:pPr>
      <w:r w:rsidRPr="00E50DC5">
        <w:rPr>
          <w:rStyle w:val="ae"/>
          <w:sz w:val="18"/>
          <w:szCs w:val="18"/>
        </w:rPr>
        <w:endnoteRef/>
      </w:r>
      <w:r w:rsidRPr="00E50DC5">
        <w:rPr>
          <w:sz w:val="18"/>
          <w:szCs w:val="18"/>
        </w:rPr>
        <w:t>上注所引屈萬里、劉起釪之書都是同意訓“能”爲“善”的，但是，他們根據自己所理解的“善”的意義，將“能”輾轉解釋爲“化導”“教化”，似嫌迂曲。</w:t>
      </w:r>
    </w:p>
  </w:endnote>
  <w:endnote w:id="60">
    <w:p w14:paraId="5D590500" w14:textId="42EC45D4" w:rsidR="009F4F5A" w:rsidRPr="00E50DC5" w:rsidRDefault="009F4F5A" w:rsidP="00E50DC5">
      <w:pPr>
        <w:pStyle w:val="ad"/>
        <w:rPr>
          <w:sz w:val="18"/>
          <w:szCs w:val="18"/>
          <w:lang w:eastAsia="zh-TW"/>
        </w:rPr>
      </w:pPr>
      <w:r w:rsidRPr="00E50DC5">
        <w:rPr>
          <w:rStyle w:val="ae"/>
          <w:sz w:val="18"/>
          <w:szCs w:val="18"/>
        </w:rPr>
        <w:endnoteRef/>
      </w:r>
      <w:r w:rsidRPr="00E50DC5">
        <w:rPr>
          <w:sz w:val="18"/>
          <w:szCs w:val="18"/>
        </w:rPr>
        <w:t>“不弔”據段玉裁《古文尚書撰異》讀爲“不</w:t>
      </w:r>
      <w:r w:rsidRPr="00E50DC5">
        <w:rPr>
          <w:rFonts w:ascii="SimSun-ExtB" w:eastAsia="SimSun-ExtB" w:hAnsi="SimSun-ExtB" w:cs="SimSun-ExtB" w:hint="eastAsia"/>
          <w:sz w:val="18"/>
          <w:szCs w:val="18"/>
          <w:lang w:eastAsia="zh-TW"/>
        </w:rPr>
        <w:t>𨑩</w:t>
      </w:r>
      <w:r w:rsidRPr="00E50DC5">
        <w:rPr>
          <w:sz w:val="18"/>
          <w:szCs w:val="18"/>
        </w:rPr>
        <w:t>”：“</w:t>
      </w:r>
      <w:r w:rsidRPr="00E50DC5">
        <w:rPr>
          <w:rFonts w:ascii="SimSun-ExtB" w:eastAsia="SimSun-ExtB" w:hAnsi="SimSun-ExtB" w:cs="SimSun-ExtB" w:hint="eastAsia"/>
          <w:sz w:val="18"/>
          <w:szCs w:val="18"/>
          <w:lang w:eastAsia="zh-TW"/>
        </w:rPr>
        <w:t>𨑩</w:t>
      </w:r>
      <w:r w:rsidRPr="00E50DC5">
        <w:rPr>
          <w:sz w:val="18"/>
          <w:szCs w:val="18"/>
        </w:rPr>
        <w:t>，至也（引者按：此據《説文》）。至，緻也。”（段玉裁《古文尚書撰異》，上海古籍出版社，2002年，264頁下）依據段説，“弔</w:t>
      </w:r>
      <w:r w:rsidRPr="00E50DC5">
        <w:rPr>
          <w:rFonts w:hint="eastAsia"/>
          <w:sz w:val="18"/>
          <w:szCs w:val="18"/>
          <w:lang w:eastAsia="zh-TW"/>
        </w:rPr>
        <w:t>（</w:t>
      </w:r>
      <w:r w:rsidRPr="00E50DC5">
        <w:rPr>
          <w:rFonts w:ascii="SimSun-ExtB" w:eastAsia="SimSun-ExtB" w:hAnsi="SimSun-ExtB" w:cs="SimSun-ExtB" w:hint="eastAsia"/>
          <w:sz w:val="18"/>
          <w:szCs w:val="18"/>
          <w:lang w:eastAsia="zh-TW"/>
        </w:rPr>
        <w:t>𨑩</w:t>
      </w:r>
      <w:r w:rsidRPr="00E50DC5">
        <w:rPr>
          <w:rFonts w:cs="微软雅黑" w:hint="eastAsia"/>
          <w:sz w:val="18"/>
          <w:szCs w:val="18"/>
          <w:lang w:eastAsia="zh-TW"/>
        </w:rPr>
        <w:t>）</w:t>
      </w:r>
      <w:r w:rsidRPr="00E50DC5">
        <w:rPr>
          <w:sz w:val="18"/>
          <w:szCs w:val="18"/>
        </w:rPr>
        <w:t>”可引申爲“周到、精緻”之義。</w:t>
      </w:r>
    </w:p>
  </w:endnote>
  <w:endnote w:id="61">
    <w:p w14:paraId="5C840491" w14:textId="7D3FA177" w:rsidR="009F4F5A" w:rsidRPr="00E50DC5" w:rsidRDefault="009F4F5A" w:rsidP="00E50DC5">
      <w:pPr>
        <w:pStyle w:val="ad"/>
        <w:rPr>
          <w:sz w:val="18"/>
          <w:szCs w:val="18"/>
        </w:rPr>
      </w:pPr>
      <w:r w:rsidRPr="00E50DC5">
        <w:rPr>
          <w:rStyle w:val="ae"/>
          <w:sz w:val="18"/>
          <w:szCs w:val="18"/>
        </w:rPr>
        <w:endnoteRef/>
      </w:r>
      <w:r w:rsidRPr="00E50DC5">
        <w:rPr>
          <w:sz w:val="18"/>
          <w:szCs w:val="18"/>
        </w:rPr>
        <w:t>至遲在清代就已有人如此使用“善自爲謀”一語了，清王定安《湘軍記·平回下篇》記湘軍將領劉錦棠派人去向他所攻打的回族武裝領袖喊話説“死期將至，善自爲謀”（《湘軍記·平回下篇》，岳麓書社，2008年，648頁）。</w:t>
      </w:r>
    </w:p>
  </w:endnote>
  <w:endnote w:id="62">
    <w:p w14:paraId="0F11589A" w14:textId="6C25694F" w:rsidR="009F4F5A" w:rsidRPr="00E50DC5" w:rsidRDefault="009F4F5A" w:rsidP="00E50DC5">
      <w:pPr>
        <w:pStyle w:val="ad"/>
        <w:rPr>
          <w:sz w:val="18"/>
          <w:szCs w:val="18"/>
        </w:rPr>
      </w:pPr>
      <w:r w:rsidRPr="00E50DC5">
        <w:rPr>
          <w:rStyle w:val="ae"/>
          <w:sz w:val="18"/>
          <w:szCs w:val="18"/>
        </w:rPr>
        <w:endnoteRef/>
      </w:r>
      <w:r w:rsidRPr="00E50DC5">
        <w:rPr>
          <w:sz w:val="18"/>
          <w:szCs w:val="18"/>
        </w:rPr>
        <w:t>楊樹達《積微居金文說·</w:t>
      </w:r>
      <w:r w:rsidR="00AB1FCD">
        <w:rPr>
          <w:noProof/>
        </w:rPr>
        <w:drawing>
          <wp:inline distT="0" distB="0" distL="0" distR="0" wp14:anchorId="7245F468" wp14:editId="6AF9DF3A">
            <wp:extent cx="138113" cy="153459"/>
            <wp:effectExtent l="0" t="0" r="0" b="0"/>
            <wp:docPr id="74" name="图片 7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图片"/>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787" cy="157541"/>
                    </a:xfrm>
                    <a:prstGeom prst="rect">
                      <a:avLst/>
                    </a:prstGeom>
                    <a:noFill/>
                    <a:ln>
                      <a:noFill/>
                    </a:ln>
                  </pic:spPr>
                </pic:pic>
              </a:graphicData>
            </a:graphic>
          </wp:inline>
        </w:drawing>
      </w:r>
      <w:r w:rsidRPr="00E50DC5">
        <w:rPr>
          <w:rFonts w:hint="eastAsia"/>
          <w:sz w:val="18"/>
          <w:szCs w:val="18"/>
        </w:rPr>
        <w:t>盨跋》，臺灣大通書局，</w:t>
      </w:r>
      <w:r w:rsidRPr="00E50DC5">
        <w:rPr>
          <w:sz w:val="18"/>
          <w:szCs w:val="18"/>
        </w:rPr>
        <w:t>1974年，141頁。</w:t>
      </w:r>
    </w:p>
  </w:endnote>
  <w:endnote w:id="63">
    <w:p w14:paraId="60DD0BA4" w14:textId="783FE3F6" w:rsidR="009F4F5A" w:rsidRPr="00E50DC5" w:rsidRDefault="009F4F5A" w:rsidP="00E50DC5">
      <w:pPr>
        <w:pStyle w:val="ad"/>
        <w:rPr>
          <w:sz w:val="18"/>
          <w:szCs w:val="18"/>
        </w:rPr>
      </w:pPr>
      <w:r w:rsidRPr="00E50DC5">
        <w:rPr>
          <w:rStyle w:val="ae"/>
          <w:sz w:val="18"/>
          <w:szCs w:val="18"/>
        </w:rPr>
        <w:endnoteRef/>
      </w:r>
      <w:r w:rsidRPr="00E50DC5">
        <w:rPr>
          <w:sz w:val="18"/>
          <w:szCs w:val="18"/>
        </w:rPr>
        <w:t>（宋）朱熹：《四書章句集注•論語集注》，中華書局，1983年，82頁。</w:t>
      </w:r>
    </w:p>
  </w:endnote>
  <w:endnote w:id="64">
    <w:p w14:paraId="5921767D" w14:textId="46195BB0" w:rsidR="009F4F5A" w:rsidRPr="00E50DC5" w:rsidRDefault="009F4F5A" w:rsidP="00E50DC5">
      <w:pPr>
        <w:pStyle w:val="ad"/>
        <w:rPr>
          <w:sz w:val="18"/>
          <w:szCs w:val="18"/>
        </w:rPr>
      </w:pPr>
      <w:r w:rsidRPr="00E50DC5">
        <w:rPr>
          <w:rStyle w:val="ae"/>
          <w:sz w:val="18"/>
          <w:szCs w:val="18"/>
        </w:rPr>
        <w:endnoteRef/>
      </w:r>
      <w:r w:rsidRPr="00E50DC5">
        <w:rPr>
          <w:sz w:val="18"/>
          <w:szCs w:val="18"/>
        </w:rPr>
        <w:t>（清）簡朝亮：《論語集注補正述疏》，華東師範大學出版社，2013年，322頁。</w:t>
      </w:r>
    </w:p>
  </w:endnote>
  <w:endnote w:id="65">
    <w:p w14:paraId="1EED0D2C" w14:textId="55DF4A93" w:rsidR="009F4F5A" w:rsidRPr="00E50DC5" w:rsidRDefault="009F4F5A" w:rsidP="00E50DC5">
      <w:pPr>
        <w:pStyle w:val="ad"/>
        <w:rPr>
          <w:sz w:val="18"/>
          <w:szCs w:val="18"/>
          <w:lang w:eastAsia="zh-TW"/>
        </w:rPr>
      </w:pPr>
      <w:r w:rsidRPr="00E50DC5">
        <w:rPr>
          <w:rStyle w:val="ae"/>
          <w:sz w:val="18"/>
          <w:szCs w:val="18"/>
        </w:rPr>
        <w:endnoteRef/>
      </w:r>
      <w:r w:rsidRPr="00E50DC5">
        <w:rPr>
          <w:sz w:val="18"/>
          <w:szCs w:val="18"/>
        </w:rPr>
        <w:t>參看顧頡剛：《春秋時的孔子和漢代的孔子》（原載（厦大週刊）第160—163期，1926年）、《聖、賢觀念和字義的演變》（載《中國哲學》第一輯，1979年；又收入《顧頡剛全集1·顧頡剛古史論文集》，中華書局，2011年，626—639頁）。從古文字看，“聽”“聖”本由一字分化（參看拙著《文字學概要》修訂本，商務印書館，2018年，131—132頁），“聖”字較原始的意義應該是聽力好，引申而有“聰明、通達”的意思。《莊子·外物》：“目徹爲明，耳徹爲聰。”《書·洪範》“睿作聖”孔傳：“於事無所不通謂之聖。”《凱風》毛傳即訓“聖善”之“聖”爲“叡（同‘睿’）”，《正義》説：“此‘母氏聖善’、‘人之齊聖’（引者按：見《詩·小雅·小宛》）皆以明智言之。”[（清）阮元校刻：《十三經注疏·毛詩正義》，635頁]</w:t>
      </w:r>
    </w:p>
  </w:endnote>
  <w:endnote w:id="66">
    <w:p w14:paraId="22ED4D0F" w14:textId="4025DB85" w:rsidR="009F4F5A" w:rsidRPr="00E50DC5" w:rsidRDefault="009F4F5A" w:rsidP="00E50DC5">
      <w:pPr>
        <w:pStyle w:val="ad"/>
        <w:rPr>
          <w:sz w:val="18"/>
          <w:szCs w:val="18"/>
          <w:lang w:eastAsia="zh-TW"/>
        </w:rPr>
      </w:pPr>
      <w:r w:rsidRPr="00E50DC5">
        <w:rPr>
          <w:rStyle w:val="ae"/>
          <w:sz w:val="18"/>
          <w:szCs w:val="18"/>
        </w:rPr>
        <w:endnoteRef/>
      </w:r>
      <w:r w:rsidRPr="00E50DC5">
        <w:rPr>
          <w:rFonts w:hint="eastAsia"/>
          <w:sz w:val="18"/>
          <w:szCs w:val="18"/>
          <w:lang w:eastAsia="zh-TW"/>
        </w:rPr>
        <w:t>《集成》4</w:t>
      </w:r>
      <w:r w:rsidRPr="00E50DC5">
        <w:rPr>
          <w:sz w:val="18"/>
          <w:szCs w:val="18"/>
          <w:lang w:eastAsia="zh-TW"/>
        </w:rPr>
        <w:t>322</w:t>
      </w:r>
      <w:r w:rsidRPr="00E50DC5">
        <w:rPr>
          <w:rFonts w:hint="eastAsia"/>
          <w:sz w:val="18"/>
          <w:szCs w:val="18"/>
          <w:lang w:eastAsia="zh-TW"/>
        </w:rPr>
        <w:t>。銘文中“</w:t>
      </w:r>
      <w:r w:rsidRPr="00E50DC5">
        <w:rPr>
          <w:noProof/>
          <w:sz w:val="18"/>
          <w:szCs w:val="18"/>
        </w:rPr>
        <w:drawing>
          <wp:inline distT="0" distB="0" distL="0" distR="0" wp14:anchorId="04B1F405" wp14:editId="39EB26CE">
            <wp:extent cx="146685" cy="150495"/>
            <wp:effectExtent l="0" t="0" r="5715" b="1905"/>
            <wp:docPr id="1104780137" name="图片 1104780137" descr="C:\Users\Think\AppData\Local\Temp\WeChat Files\3462169054621949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 name="图片 479" descr="C:\Users\Think\AppData\Local\Temp\WeChat Files\34621690546219493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a:xfrm>
                      <a:off x="0" y="0"/>
                      <a:ext cx="157108" cy="160789"/>
                    </a:xfrm>
                    <a:prstGeom prst="rect">
                      <a:avLst/>
                    </a:prstGeom>
                    <a:noFill/>
                    <a:ln>
                      <a:noFill/>
                    </a:ln>
                  </pic:spPr>
                </pic:pic>
              </a:graphicData>
            </a:graphic>
          </wp:inline>
        </w:drawing>
      </w:r>
      <w:r w:rsidRPr="00E50DC5">
        <w:rPr>
          <w:rFonts w:hint="eastAsia"/>
          <w:sz w:val="18"/>
          <w:szCs w:val="18"/>
          <w:lang w:eastAsia="zh-TW"/>
        </w:rPr>
        <w:t>”究爲何字，學者意見尚未一致。承謝明文告知，黃盛璋《彔伯</w:t>
      </w:r>
      <w:r w:rsidR="00AB1FCD">
        <w:rPr>
          <w:noProof/>
        </w:rPr>
        <w:drawing>
          <wp:inline distT="0" distB="0" distL="0" distR="0" wp14:anchorId="3CB173BC" wp14:editId="4DC7B6CE">
            <wp:extent cx="109538" cy="142876"/>
            <wp:effectExtent l="0" t="0" r="5080" b="0"/>
            <wp:docPr id="62" name="图片 6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图片"/>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2604" cy="146875"/>
                    </a:xfrm>
                    <a:prstGeom prst="rect">
                      <a:avLst/>
                    </a:prstGeom>
                    <a:noFill/>
                    <a:ln>
                      <a:noFill/>
                    </a:ln>
                  </pic:spPr>
                </pic:pic>
              </a:graphicData>
            </a:graphic>
          </wp:inline>
        </w:drawing>
      </w:r>
      <w:r w:rsidRPr="00E50DC5">
        <w:rPr>
          <w:rFonts w:hint="eastAsia"/>
          <w:sz w:val="18"/>
          <w:szCs w:val="18"/>
          <w:lang w:eastAsia="zh-TW"/>
        </w:rPr>
        <w:t>銅器及其相關問題》認爲：“</w:t>
      </w:r>
      <w:r w:rsidRPr="00E50DC5">
        <w:rPr>
          <w:noProof/>
          <w:sz w:val="18"/>
          <w:szCs w:val="18"/>
        </w:rPr>
        <w:drawing>
          <wp:inline distT="0" distB="0" distL="0" distR="0" wp14:anchorId="0D3C6F27" wp14:editId="6280D520">
            <wp:extent cx="146685" cy="150495"/>
            <wp:effectExtent l="0" t="0" r="5715" b="1905"/>
            <wp:docPr id="297707651" name="图片 297707651" descr="C:\Users\Think\AppData\Local\Temp\WeChat Files\3462169054621949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 name="图片 480" descr="C:\Users\Think\AppData\Local\Temp\WeChat Files\346216905462194931.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a:xfrm>
                      <a:off x="0" y="0"/>
                      <a:ext cx="157108" cy="160789"/>
                    </a:xfrm>
                    <a:prstGeom prst="rect">
                      <a:avLst/>
                    </a:prstGeom>
                    <a:noFill/>
                    <a:ln>
                      <a:noFill/>
                    </a:ln>
                  </pic:spPr>
                </pic:pic>
              </a:graphicData>
            </a:graphic>
          </wp:inline>
        </w:drawing>
      </w:r>
      <w:r w:rsidRPr="00E50DC5">
        <w:rPr>
          <w:rFonts w:hint="eastAsia"/>
          <w:sz w:val="18"/>
          <w:szCs w:val="18"/>
          <w:lang w:eastAsia="zh-TW"/>
        </w:rPr>
        <w:t>”字是“啟”字繁文，《詩·出車》：‘元戎十乘，以先啟行’，即在先頭開路。”其文中將上面引出的</w:t>
      </w:r>
      <w:r w:rsidR="00AB1FCD">
        <w:rPr>
          <w:noProof/>
        </w:rPr>
        <w:drawing>
          <wp:inline distT="0" distB="0" distL="0" distR="0" wp14:anchorId="730D6034" wp14:editId="630D2636">
            <wp:extent cx="133350" cy="173935"/>
            <wp:effectExtent l="0" t="0" r="0" b="0"/>
            <wp:docPr id="64" name="图片 6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图片"/>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7628" cy="179516"/>
                    </a:xfrm>
                    <a:prstGeom prst="rect">
                      <a:avLst/>
                    </a:prstGeom>
                    <a:noFill/>
                    <a:ln>
                      <a:noFill/>
                    </a:ln>
                  </pic:spPr>
                </pic:pic>
              </a:graphicData>
            </a:graphic>
          </wp:inline>
        </w:drawing>
      </w:r>
      <w:r w:rsidRPr="00E50DC5">
        <w:rPr>
          <w:rFonts w:hint="eastAsia"/>
          <w:sz w:val="18"/>
          <w:szCs w:val="18"/>
          <w:lang w:eastAsia="zh-TW"/>
        </w:rPr>
        <w:t>簋銘文翻譯爲“賴母親在冥冥中啟行開路，很好地開拓</w:t>
      </w:r>
      <w:r w:rsidR="00AB1FCD">
        <w:rPr>
          <w:noProof/>
        </w:rPr>
        <w:drawing>
          <wp:inline distT="0" distB="0" distL="0" distR="0" wp14:anchorId="31C87467" wp14:editId="65DAB613">
            <wp:extent cx="119063" cy="155300"/>
            <wp:effectExtent l="0" t="0" r="0" b="0"/>
            <wp:docPr id="66" name="图片 66"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图片"/>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575" cy="159881"/>
                    </a:xfrm>
                    <a:prstGeom prst="rect">
                      <a:avLst/>
                    </a:prstGeom>
                    <a:noFill/>
                    <a:ln>
                      <a:noFill/>
                    </a:ln>
                  </pic:spPr>
                </pic:pic>
              </a:graphicData>
            </a:graphic>
          </wp:inline>
        </w:drawing>
      </w:r>
      <w:r w:rsidRPr="00E50DC5">
        <w:rPr>
          <w:rFonts w:cs="Malgun Gothic" w:hint="eastAsia"/>
          <w:sz w:val="18"/>
          <w:szCs w:val="18"/>
          <w:lang w:eastAsia="zh-TW"/>
        </w:rPr>
        <w:t>的</w:t>
      </w:r>
      <w:r w:rsidRPr="00E50DC5">
        <w:rPr>
          <w:rFonts w:hint="eastAsia"/>
          <w:sz w:val="18"/>
          <w:szCs w:val="18"/>
          <w:lang w:eastAsia="zh-TW"/>
        </w:rPr>
        <w:t>心懷，永遠地照護</w:t>
      </w:r>
      <w:r w:rsidR="00AB1FCD">
        <w:rPr>
          <w:noProof/>
        </w:rPr>
        <w:drawing>
          <wp:inline distT="0" distB="0" distL="0" distR="0" wp14:anchorId="52352E02" wp14:editId="76F6FE6A">
            <wp:extent cx="128588" cy="167723"/>
            <wp:effectExtent l="0" t="0" r="5080" b="3810"/>
            <wp:docPr id="67" name="图片 67"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图片"/>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0044" cy="169622"/>
                    </a:xfrm>
                    <a:prstGeom prst="rect">
                      <a:avLst/>
                    </a:prstGeom>
                    <a:noFill/>
                    <a:ln>
                      <a:noFill/>
                    </a:ln>
                  </pic:spPr>
                </pic:pic>
              </a:graphicData>
            </a:graphic>
          </wp:inline>
        </w:drawing>
      </w:r>
      <w:r w:rsidRPr="00E50DC5">
        <w:rPr>
          <w:rFonts w:cs="Malgun Gothic" w:hint="eastAsia"/>
          <w:sz w:val="18"/>
          <w:szCs w:val="18"/>
          <w:lang w:eastAsia="zh-TW"/>
        </w:rPr>
        <w:t>的身體</w:t>
      </w:r>
      <w:r w:rsidRPr="00E50DC5">
        <w:rPr>
          <w:rFonts w:hint="eastAsia"/>
          <w:sz w:val="18"/>
          <w:szCs w:val="18"/>
          <w:lang w:eastAsia="zh-TW"/>
        </w:rPr>
        <w:t>”。（載《考古與文物》，</w:t>
      </w:r>
      <w:r w:rsidRPr="00E50DC5">
        <w:rPr>
          <w:sz w:val="18"/>
          <w:szCs w:val="18"/>
          <w:lang w:eastAsia="zh-TW"/>
        </w:rPr>
        <w:t>1983</w:t>
      </w:r>
      <w:r w:rsidRPr="00E50DC5">
        <w:rPr>
          <w:rFonts w:hint="eastAsia"/>
          <w:sz w:val="18"/>
          <w:szCs w:val="18"/>
          <w:lang w:eastAsia="zh-TW"/>
        </w:rPr>
        <w:t>年第</w:t>
      </w:r>
      <w:r w:rsidRPr="00E50DC5">
        <w:rPr>
          <w:sz w:val="18"/>
          <w:szCs w:val="18"/>
          <w:lang w:eastAsia="zh-TW"/>
        </w:rPr>
        <w:t>5</w:t>
      </w:r>
      <w:r w:rsidRPr="00E50DC5">
        <w:rPr>
          <w:rFonts w:hint="eastAsia"/>
          <w:sz w:val="18"/>
          <w:szCs w:val="18"/>
          <w:lang w:eastAsia="zh-TW"/>
        </w:rPr>
        <w:t>期，4</w:t>
      </w:r>
      <w:r w:rsidRPr="00E50DC5">
        <w:rPr>
          <w:sz w:val="18"/>
          <w:szCs w:val="18"/>
          <w:lang w:eastAsia="zh-TW"/>
        </w:rPr>
        <w:t>4</w:t>
      </w:r>
      <w:r w:rsidRPr="00E50DC5">
        <w:rPr>
          <w:rFonts w:hint="eastAsia"/>
          <w:sz w:val="18"/>
          <w:szCs w:val="18"/>
          <w:lang w:eastAsia="zh-TW"/>
        </w:rPr>
        <w:t>頁）謝明文又指出，</w:t>
      </w:r>
      <w:r w:rsidRPr="00E50DC5">
        <w:rPr>
          <w:sz w:val="18"/>
          <w:szCs w:val="18"/>
          <w:lang w:eastAsia="zh-TW"/>
        </w:rPr>
        <w:t>清華簡</w:t>
      </w:r>
      <w:r w:rsidRPr="00E50DC5">
        <w:rPr>
          <w:rFonts w:hint="eastAsia"/>
          <w:sz w:val="18"/>
          <w:szCs w:val="18"/>
          <w:lang w:eastAsia="zh-TW"/>
        </w:rPr>
        <w:t>《攝命》簡3</w:t>
      </w:r>
      <w:r w:rsidRPr="00E50DC5">
        <w:rPr>
          <w:sz w:val="18"/>
          <w:szCs w:val="18"/>
          <w:lang w:eastAsia="zh-TW"/>
        </w:rPr>
        <w:t>0有</w:t>
      </w:r>
      <w:r w:rsidRPr="00E50DC5">
        <w:rPr>
          <w:rFonts w:hint="eastAsia"/>
          <w:sz w:val="18"/>
          <w:szCs w:val="18"/>
          <w:lang w:eastAsia="zh-TW"/>
        </w:rPr>
        <w:t>“</w:t>
      </w:r>
      <w:r w:rsidRPr="00E50DC5">
        <w:rPr>
          <w:rFonts w:cs="宋体-方正超大字符集"/>
          <w:noProof/>
          <w:sz w:val="18"/>
          <w:szCs w:val="18"/>
        </w:rPr>
        <w:drawing>
          <wp:inline distT="0" distB="0" distL="0" distR="0" wp14:anchorId="037D220B" wp14:editId="728FA54F">
            <wp:extent cx="186006" cy="238470"/>
            <wp:effectExtent l="0" t="0" r="5080" b="0"/>
            <wp:docPr id="2120158607" name="图片 2120158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8189" cy="254090"/>
                    </a:xfrm>
                    <a:prstGeom prst="rect">
                      <a:avLst/>
                    </a:prstGeom>
                    <a:noFill/>
                    <a:ln>
                      <a:noFill/>
                    </a:ln>
                  </pic:spPr>
                </pic:pic>
              </a:graphicData>
            </a:graphic>
          </wp:inline>
        </w:drawing>
      </w:r>
      <w:r w:rsidRPr="00E50DC5">
        <w:rPr>
          <w:rFonts w:hint="eastAsia"/>
          <w:sz w:val="18"/>
          <w:szCs w:val="18"/>
          <w:lang w:eastAsia="zh-TW"/>
        </w:rPr>
        <w:t>”字，整理者聯繫</w:t>
      </w:r>
      <w:r w:rsidR="00AB1FCD">
        <w:rPr>
          <w:noProof/>
        </w:rPr>
        <w:drawing>
          <wp:inline distT="0" distB="0" distL="0" distR="0" wp14:anchorId="2C91ABB7" wp14:editId="6B7561A5">
            <wp:extent cx="128588" cy="167723"/>
            <wp:effectExtent l="0" t="0" r="5080" b="3810"/>
            <wp:docPr id="68" name="图片 68"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图片"/>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0044" cy="169622"/>
                    </a:xfrm>
                    <a:prstGeom prst="rect">
                      <a:avLst/>
                    </a:prstGeom>
                    <a:noFill/>
                    <a:ln>
                      <a:noFill/>
                    </a:ln>
                  </pic:spPr>
                </pic:pic>
              </a:graphicData>
            </a:graphic>
          </wp:inline>
        </w:drawing>
      </w:r>
      <w:r w:rsidRPr="00E50DC5">
        <w:rPr>
          <w:rFonts w:hint="eastAsia"/>
          <w:sz w:val="18"/>
          <w:szCs w:val="18"/>
          <w:lang w:eastAsia="zh-TW"/>
        </w:rPr>
        <w:t>簋此字，讀爲“啟”。（李學勤主編《清華大學藏戰國竹書》[捌</w:t>
      </w:r>
      <w:r w:rsidRPr="00E50DC5">
        <w:rPr>
          <w:sz w:val="18"/>
          <w:szCs w:val="18"/>
          <w:lang w:eastAsia="zh-TW"/>
        </w:rPr>
        <w:t>]</w:t>
      </w:r>
      <w:r w:rsidRPr="00E50DC5">
        <w:rPr>
          <w:rFonts w:hint="eastAsia"/>
          <w:sz w:val="18"/>
          <w:szCs w:val="18"/>
          <w:lang w:eastAsia="zh-TW"/>
        </w:rPr>
        <w:t>，中西書局，2</w:t>
      </w:r>
      <w:r w:rsidRPr="00E50DC5">
        <w:rPr>
          <w:sz w:val="18"/>
          <w:szCs w:val="18"/>
          <w:lang w:eastAsia="zh-TW"/>
        </w:rPr>
        <w:t>018</w:t>
      </w:r>
      <w:r w:rsidRPr="00E50DC5">
        <w:rPr>
          <w:rFonts w:hint="eastAsia"/>
          <w:sz w:val="18"/>
          <w:szCs w:val="18"/>
          <w:lang w:eastAsia="zh-TW"/>
        </w:rPr>
        <w:t>年，1</w:t>
      </w:r>
      <w:r w:rsidRPr="00E50DC5">
        <w:rPr>
          <w:sz w:val="18"/>
          <w:szCs w:val="18"/>
          <w:lang w:eastAsia="zh-TW"/>
        </w:rPr>
        <w:t>19</w:t>
      </w:r>
      <w:r w:rsidRPr="00E50DC5">
        <w:rPr>
          <w:rFonts w:hint="eastAsia"/>
          <w:sz w:val="18"/>
          <w:szCs w:val="18"/>
          <w:lang w:eastAsia="zh-TW"/>
        </w:rPr>
        <w:t>頁注[五〇</w:t>
      </w:r>
      <w:r w:rsidRPr="00E50DC5">
        <w:rPr>
          <w:sz w:val="18"/>
          <w:szCs w:val="18"/>
          <w:lang w:eastAsia="zh-TW"/>
        </w:rPr>
        <w:t>]</w:t>
      </w:r>
      <w:r w:rsidRPr="00E50DC5">
        <w:rPr>
          <w:rFonts w:hint="eastAsia"/>
          <w:sz w:val="18"/>
          <w:szCs w:val="18"/>
          <w:lang w:eastAsia="zh-TW"/>
        </w:rPr>
        <w:t>）今按：黃氏之說似可從。</w:t>
      </w:r>
      <w:r w:rsidR="00AB1FCD">
        <w:rPr>
          <w:noProof/>
        </w:rPr>
        <w:drawing>
          <wp:inline distT="0" distB="0" distL="0" distR="0" wp14:anchorId="6493F97F" wp14:editId="1BD757CD">
            <wp:extent cx="128588" cy="167723"/>
            <wp:effectExtent l="0" t="0" r="5080" b="3810"/>
            <wp:docPr id="69" name="图片 69"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图片"/>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0044" cy="169622"/>
                    </a:xfrm>
                    <a:prstGeom prst="rect">
                      <a:avLst/>
                    </a:prstGeom>
                    <a:noFill/>
                    <a:ln>
                      <a:noFill/>
                    </a:ln>
                  </pic:spPr>
                </pic:pic>
              </a:graphicData>
            </a:graphic>
          </wp:inline>
        </w:drawing>
      </w:r>
      <w:r w:rsidRPr="00E50DC5">
        <w:rPr>
          <w:rFonts w:hint="eastAsia"/>
          <w:sz w:val="18"/>
          <w:szCs w:val="18"/>
          <w:lang w:eastAsia="zh-TW"/>
        </w:rPr>
        <w:t>簋此字字形，當象人在屋中啟戶向外眺望。眺望之“望”古字本作“</w:t>
      </w:r>
      <w:r w:rsidRPr="00E50DC5">
        <w:rPr>
          <w:rFonts w:hint="eastAsia"/>
          <w:noProof/>
          <w:sz w:val="18"/>
          <w:szCs w:val="18"/>
        </w:rPr>
        <w:drawing>
          <wp:inline distT="0" distB="0" distL="0" distR="0" wp14:anchorId="0BC5B313" wp14:editId="3A739E9E">
            <wp:extent cx="216291" cy="237833"/>
            <wp:effectExtent l="0" t="0" r="0" b="0"/>
            <wp:docPr id="1884252534" name="图片 1884252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633" cy="256903"/>
                    </a:xfrm>
                    <a:prstGeom prst="rect">
                      <a:avLst/>
                    </a:prstGeom>
                    <a:noFill/>
                    <a:ln>
                      <a:noFill/>
                    </a:ln>
                  </pic:spPr>
                </pic:pic>
              </a:graphicData>
            </a:graphic>
          </wp:inline>
        </w:drawing>
      </w:r>
      <w:r w:rsidRPr="00E50DC5">
        <w:rPr>
          <w:rFonts w:hint="eastAsia"/>
          <w:sz w:val="18"/>
          <w:szCs w:val="18"/>
          <w:lang w:eastAsia="zh-TW"/>
        </w:rPr>
        <w:t>”“</w:t>
      </w:r>
      <w:r w:rsidRPr="00E50DC5">
        <w:rPr>
          <w:noProof/>
          <w:sz w:val="18"/>
          <w:szCs w:val="18"/>
        </w:rPr>
        <w:drawing>
          <wp:inline distT="0" distB="0" distL="0" distR="0" wp14:anchorId="0098EE84" wp14:editId="0602ECA3">
            <wp:extent cx="316230" cy="228600"/>
            <wp:effectExtent l="0" t="0" r="7620" b="0"/>
            <wp:docPr id="1411784066" name="图片 1411784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biLevel thresh="50000"/>
                    </a:blip>
                    <a:stretch>
                      <a:fillRect/>
                    </a:stretch>
                  </pic:blipFill>
                  <pic:spPr>
                    <a:xfrm>
                      <a:off x="0" y="0"/>
                      <a:ext cx="440177" cy="318200"/>
                    </a:xfrm>
                    <a:prstGeom prst="rect">
                      <a:avLst/>
                    </a:prstGeom>
                  </pic:spPr>
                </pic:pic>
              </a:graphicData>
            </a:graphic>
          </wp:inline>
        </w:drawing>
      </w:r>
      <w:r w:rsidRPr="00E50DC5">
        <w:rPr>
          <w:rFonts w:hint="eastAsia"/>
          <w:sz w:val="18"/>
          <w:szCs w:val="18"/>
          <w:lang w:eastAsia="zh-TW"/>
        </w:rPr>
        <w:t>”，由於要避免字形過長，故將其“人”旁改置於“臣”的右側。清華簡“</w:t>
      </w:r>
      <w:r w:rsidRPr="00E50DC5">
        <w:rPr>
          <w:rFonts w:hint="eastAsia"/>
          <w:noProof/>
          <w:sz w:val="18"/>
          <w:szCs w:val="18"/>
        </w:rPr>
        <w:drawing>
          <wp:inline distT="0" distB="0" distL="0" distR="0" wp14:anchorId="393CE2E9" wp14:editId="6FD9E4BC">
            <wp:extent cx="204222" cy="256310"/>
            <wp:effectExtent l="0" t="0" r="5715" b="0"/>
            <wp:docPr id="596762980" name="图片 596762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554" cy="276808"/>
                    </a:xfrm>
                    <a:prstGeom prst="rect">
                      <a:avLst/>
                    </a:prstGeom>
                    <a:noFill/>
                    <a:ln>
                      <a:noFill/>
                    </a:ln>
                  </pic:spPr>
                </pic:pic>
              </a:graphicData>
            </a:graphic>
          </wp:inline>
        </w:drawing>
      </w:r>
      <w:r w:rsidRPr="00E50DC5">
        <w:rPr>
          <w:rFonts w:hint="eastAsia"/>
          <w:sz w:val="18"/>
          <w:szCs w:val="18"/>
          <w:lang w:eastAsia="zh-TW"/>
        </w:rPr>
        <w:t>”增“口”作“啟”，將“臥”置於“啟”上，似不如</w:t>
      </w:r>
      <w:r w:rsidR="00AB1FCD">
        <w:rPr>
          <w:noProof/>
        </w:rPr>
        <w:drawing>
          <wp:inline distT="0" distB="0" distL="0" distR="0" wp14:anchorId="07634E65" wp14:editId="07C31A57">
            <wp:extent cx="128588" cy="167723"/>
            <wp:effectExtent l="0" t="0" r="5080" b="3810"/>
            <wp:docPr id="70" name="图片 70"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图片"/>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0044" cy="169622"/>
                    </a:xfrm>
                    <a:prstGeom prst="rect">
                      <a:avLst/>
                    </a:prstGeom>
                    <a:noFill/>
                    <a:ln>
                      <a:noFill/>
                    </a:ln>
                  </pic:spPr>
                </pic:pic>
              </a:graphicData>
            </a:graphic>
          </wp:inline>
        </w:drawing>
      </w:r>
      <w:r w:rsidRPr="00E50DC5">
        <w:rPr>
          <w:rFonts w:hint="eastAsia"/>
          <w:sz w:val="18"/>
          <w:szCs w:val="18"/>
          <w:lang w:eastAsia="zh-TW"/>
        </w:rPr>
        <w:t>簋字形合理。“</w:t>
      </w:r>
      <w:r w:rsidRPr="00E50DC5">
        <w:rPr>
          <w:rFonts w:hint="eastAsia"/>
          <w:noProof/>
          <w:sz w:val="18"/>
          <w:szCs w:val="18"/>
        </w:rPr>
        <w:drawing>
          <wp:inline distT="0" distB="0" distL="0" distR="0" wp14:anchorId="1528E3F4" wp14:editId="5CBDD198">
            <wp:extent cx="204222" cy="256310"/>
            <wp:effectExtent l="0" t="0" r="5715" b="0"/>
            <wp:docPr id="1195763615" name="图片 1195763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554" cy="276808"/>
                    </a:xfrm>
                    <a:prstGeom prst="rect">
                      <a:avLst/>
                    </a:prstGeom>
                    <a:noFill/>
                    <a:ln>
                      <a:noFill/>
                    </a:ln>
                  </pic:spPr>
                </pic:pic>
              </a:graphicData>
            </a:graphic>
          </wp:inline>
        </w:drawing>
      </w:r>
      <w:r w:rsidRPr="00E50DC5">
        <w:rPr>
          <w:rFonts w:hint="eastAsia"/>
          <w:sz w:val="18"/>
          <w:szCs w:val="18"/>
          <w:lang w:eastAsia="zh-TW"/>
        </w:rPr>
        <w:t>”从戶从又，見於殷墟卜辭，本爲“啟闢”之“啟”的古字，“</w:t>
      </w:r>
      <w:r w:rsidRPr="00E50DC5">
        <w:rPr>
          <w:noProof/>
          <w:sz w:val="18"/>
          <w:szCs w:val="18"/>
        </w:rPr>
        <w:drawing>
          <wp:inline distT="0" distB="0" distL="0" distR="0" wp14:anchorId="791E98C5" wp14:editId="25D7B4A1">
            <wp:extent cx="179513" cy="179816"/>
            <wp:effectExtent l="0" t="0" r="0" b="0"/>
            <wp:docPr id="1135723825" name="图片 1135723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brightnessContrast bright="40000" contrast="-40000"/>
                              </a14:imgEffect>
                            </a14:imgLayer>
                          </a14:imgProps>
                        </a:ext>
                      </a:extLst>
                    </a:blip>
                    <a:stretch>
                      <a:fillRect/>
                    </a:stretch>
                  </pic:blipFill>
                  <pic:spPr>
                    <a:xfrm>
                      <a:off x="0" y="0"/>
                      <a:ext cx="185756" cy="186070"/>
                    </a:xfrm>
                    <a:prstGeom prst="rect">
                      <a:avLst/>
                    </a:prstGeom>
                  </pic:spPr>
                </pic:pic>
              </a:graphicData>
            </a:graphic>
          </wp:inline>
        </w:drawing>
      </w:r>
      <w:r w:rsidRPr="00E50DC5">
        <w:rPr>
          <w:rFonts w:hint="eastAsia"/>
          <w:sz w:val="18"/>
          <w:szCs w:val="18"/>
          <w:lang w:eastAsia="zh-TW"/>
        </w:rPr>
        <w:t>”當爲“啟”的孳生字。</w:t>
      </w:r>
    </w:p>
  </w:endnote>
  <w:endnote w:id="67">
    <w:p w14:paraId="58E24F6F" w14:textId="20F28980" w:rsidR="009F4F5A" w:rsidRPr="00E50DC5" w:rsidRDefault="009F4F5A" w:rsidP="00E50DC5">
      <w:pPr>
        <w:pStyle w:val="ad"/>
        <w:rPr>
          <w:sz w:val="18"/>
          <w:szCs w:val="18"/>
        </w:rPr>
      </w:pPr>
      <w:r w:rsidRPr="00E50DC5">
        <w:rPr>
          <w:rStyle w:val="ae"/>
          <w:sz w:val="18"/>
          <w:szCs w:val="18"/>
        </w:rPr>
        <w:endnoteRef/>
      </w:r>
      <w:r w:rsidRPr="00E50DC5">
        <w:rPr>
          <w:sz w:val="18"/>
          <w:szCs w:val="18"/>
        </w:rPr>
        <w:t>參看唐蘭：《用青銅器銘文來研究西周史——綜論寶雞市近年發現的一批青銅器的重要歷史價值》，《文物》1976年第6期，38頁。唐蘭《西周青銅器銘文分代史徵》，中華書局，1986年，408頁。參看上注所引黃盛彰説。</w:t>
      </w:r>
    </w:p>
  </w:endnote>
  <w:endnote w:id="68">
    <w:p w14:paraId="6C09FA7B" w14:textId="1391A46E" w:rsidR="009F4F5A" w:rsidRPr="00E50DC5" w:rsidRDefault="009F4F5A" w:rsidP="00E50DC5">
      <w:pPr>
        <w:pStyle w:val="ad"/>
        <w:rPr>
          <w:sz w:val="18"/>
          <w:szCs w:val="18"/>
        </w:rPr>
      </w:pPr>
      <w:r w:rsidRPr="00E50DC5">
        <w:rPr>
          <w:rStyle w:val="ae"/>
          <w:sz w:val="18"/>
          <w:szCs w:val="18"/>
        </w:rPr>
        <w:endnoteRef/>
      </w:r>
      <w:r w:rsidRPr="00E50DC5">
        <w:rPr>
          <w:sz w:val="18"/>
          <w:szCs w:val="18"/>
        </w:rPr>
        <w:t>段玉裁：《説文解字注》，上海古籍出版社，1981年，430頁下欄。</w:t>
      </w:r>
    </w:p>
  </w:endnote>
  <w:endnote w:id="69">
    <w:p w14:paraId="6DEDCD40" w14:textId="555DDAE3" w:rsidR="009F4F5A" w:rsidRPr="00E50DC5" w:rsidRDefault="009F4F5A" w:rsidP="00E50DC5">
      <w:pPr>
        <w:pStyle w:val="ad"/>
        <w:rPr>
          <w:sz w:val="18"/>
          <w:szCs w:val="18"/>
        </w:rPr>
      </w:pPr>
      <w:r w:rsidRPr="00E50DC5">
        <w:rPr>
          <w:rStyle w:val="ae"/>
          <w:sz w:val="18"/>
          <w:szCs w:val="18"/>
        </w:rPr>
        <w:endnoteRef/>
      </w:r>
      <w:r w:rsidRPr="00E50DC5">
        <w:rPr>
          <w:sz w:val="18"/>
          <w:szCs w:val="18"/>
        </w:rPr>
        <w:t>程俊英、蔣見元：《詩經注析·凱風》，中華書局，1991年，82頁。</w:t>
      </w:r>
    </w:p>
  </w:endnote>
  <w:endnote w:id="70">
    <w:p w14:paraId="22F8CA21" w14:textId="0CA328E2" w:rsidR="009F4F5A" w:rsidRPr="00E50DC5" w:rsidRDefault="009F4F5A" w:rsidP="00E50DC5">
      <w:pPr>
        <w:pStyle w:val="ad"/>
        <w:rPr>
          <w:sz w:val="18"/>
          <w:szCs w:val="18"/>
        </w:rPr>
      </w:pPr>
      <w:r w:rsidRPr="00E50DC5">
        <w:rPr>
          <w:rStyle w:val="ae"/>
          <w:sz w:val="18"/>
          <w:szCs w:val="18"/>
        </w:rPr>
        <w:endnoteRef/>
      </w:r>
      <w:r w:rsidRPr="00E50DC5">
        <w:rPr>
          <w:sz w:val="18"/>
          <w:szCs w:val="18"/>
        </w:rPr>
        <w:t>《莊子·天地》篇“大惑者，終身不解；大愚者，終身不靈”晋司馬彪注：“靈，曉也。”唐成玄英疏：“靈，知也。”張衡《東京賦》“神歆馨而顧德，祚靈主以元吉”，三國吴薛綜注“靈，明也”。</w:t>
      </w:r>
    </w:p>
  </w:endnote>
  <w:endnote w:id="71">
    <w:p w14:paraId="0502E6BD" w14:textId="6A642796" w:rsidR="009F4F5A" w:rsidRPr="00E50DC5" w:rsidRDefault="009F4F5A" w:rsidP="00E50DC5">
      <w:pPr>
        <w:pStyle w:val="ad"/>
        <w:rPr>
          <w:sz w:val="18"/>
          <w:szCs w:val="18"/>
        </w:rPr>
      </w:pPr>
      <w:r w:rsidRPr="00E50DC5">
        <w:rPr>
          <w:rStyle w:val="ae"/>
          <w:sz w:val="18"/>
          <w:szCs w:val="18"/>
        </w:rPr>
        <w:endnoteRef/>
      </w:r>
      <w:r w:rsidRPr="00E50DC5">
        <w:rPr>
          <w:sz w:val="18"/>
          <w:szCs w:val="18"/>
        </w:rPr>
        <w:t>參看顧頡剛：《聖、賢觀念和字義的演變》，載《中國哲學》第一輯，1979年，又收入《顧頡剛全集1·顧頡剛古史論文集》，中華書局，2011年，626—639頁。</w:t>
      </w:r>
    </w:p>
  </w:endnote>
  <w:endnote w:id="72">
    <w:p w14:paraId="34264596" w14:textId="1F4F9C41" w:rsidR="009F4F5A" w:rsidRPr="00E50DC5" w:rsidRDefault="009F4F5A" w:rsidP="00E50DC5">
      <w:pPr>
        <w:pStyle w:val="ad"/>
        <w:rPr>
          <w:sz w:val="18"/>
          <w:szCs w:val="18"/>
        </w:rPr>
      </w:pPr>
      <w:r w:rsidRPr="00E50DC5">
        <w:rPr>
          <w:rStyle w:val="ae"/>
          <w:sz w:val="18"/>
          <w:szCs w:val="18"/>
        </w:rPr>
        <w:endnoteRef/>
      </w:r>
      <w:r w:rsidRPr="00E50DC5">
        <w:rPr>
          <w:sz w:val="18"/>
          <w:szCs w:val="18"/>
        </w:rPr>
        <w:t>沈玉成：《左傳譯文》，中華書局，1981年，81頁。</w:t>
      </w:r>
    </w:p>
  </w:endnote>
  <w:endnote w:id="73">
    <w:p w14:paraId="383C80F6" w14:textId="4C2A3FA1" w:rsidR="009F4F5A" w:rsidRPr="00E50DC5" w:rsidRDefault="009F4F5A" w:rsidP="00E50DC5">
      <w:pPr>
        <w:pStyle w:val="ad"/>
        <w:rPr>
          <w:sz w:val="18"/>
          <w:szCs w:val="18"/>
          <w:lang w:eastAsia="zh-TW"/>
        </w:rPr>
      </w:pPr>
      <w:r w:rsidRPr="00E50DC5">
        <w:rPr>
          <w:rStyle w:val="ae"/>
          <w:sz w:val="18"/>
          <w:szCs w:val="18"/>
        </w:rPr>
        <w:endnoteRef/>
      </w:r>
      <w:r w:rsidRPr="00E50DC5">
        <w:rPr>
          <w:rFonts w:hint="eastAsia"/>
          <w:sz w:val="18"/>
          <w:szCs w:val="18"/>
          <w:lang w:eastAsia="zh-TW"/>
        </w:rPr>
        <w:t>陳劍《甲骨金文舊釋“</w:t>
      </w:r>
      <w:r w:rsidRPr="00E50DC5">
        <w:rPr>
          <w:rFonts w:hint="eastAsia"/>
          <w:noProof/>
          <w:sz w:val="18"/>
          <w:szCs w:val="18"/>
          <w:lang w:eastAsia="zh-TW"/>
        </w:rPr>
        <w:drawing>
          <wp:inline distT="0" distB="0" distL="0" distR="0" wp14:anchorId="042C25D4" wp14:editId="2CB3DBEE">
            <wp:extent cx="175895" cy="175895"/>
            <wp:effectExtent l="0" t="0" r="0" b="0"/>
            <wp:docPr id="825068273" name="图片 825068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lum bright="-24000" contrast="48000"/>
                      <a:extLst>
                        <a:ext uri="{28A0092B-C50C-407E-A947-70E740481C1C}">
                          <a14:useLocalDpi xmlns:a14="http://schemas.microsoft.com/office/drawing/2010/main" val="0"/>
                        </a:ext>
                      </a:extLst>
                    </a:blip>
                    <a:srcRect/>
                    <a:stretch>
                      <a:fillRect/>
                    </a:stretch>
                  </pic:blipFill>
                  <pic:spPr bwMode="auto">
                    <a:xfrm>
                      <a:off x="0" y="0"/>
                      <a:ext cx="175895" cy="175895"/>
                    </a:xfrm>
                    <a:prstGeom prst="rect">
                      <a:avLst/>
                    </a:prstGeom>
                    <a:noFill/>
                    <a:ln>
                      <a:noFill/>
                    </a:ln>
                  </pic:spPr>
                </pic:pic>
              </a:graphicData>
            </a:graphic>
          </wp:inline>
        </w:drawing>
      </w:r>
      <w:r w:rsidRPr="00E50DC5">
        <w:rPr>
          <w:rFonts w:hint="eastAsia"/>
          <w:sz w:val="18"/>
          <w:szCs w:val="18"/>
          <w:lang w:eastAsia="zh-TW"/>
        </w:rPr>
        <w:t>”之字及相關諸字新釋》，載復旦大學出土文獻與古文字研究中心編《出土文獻與古文字研究集刊》第二輯，復旦大學出版社，2008年，1</w:t>
      </w:r>
      <w:r w:rsidRPr="00E50DC5">
        <w:rPr>
          <w:sz w:val="18"/>
          <w:szCs w:val="18"/>
          <w:lang w:eastAsia="zh-TW"/>
        </w:rPr>
        <w:t>3</w:t>
      </w:r>
      <w:r w:rsidRPr="00E50DC5">
        <w:rPr>
          <w:rFonts w:hint="eastAsia"/>
          <w:sz w:val="18"/>
          <w:szCs w:val="18"/>
        </w:rPr>
        <w:t>—</w:t>
      </w:r>
      <w:r w:rsidRPr="00E50DC5">
        <w:rPr>
          <w:sz w:val="18"/>
          <w:szCs w:val="18"/>
          <w:lang w:eastAsia="zh-TW"/>
        </w:rPr>
        <w:t>47</w:t>
      </w:r>
      <w:r w:rsidRPr="00E50DC5">
        <w:rPr>
          <w:rFonts w:hint="eastAsia"/>
          <w:sz w:val="18"/>
          <w:szCs w:val="18"/>
          <w:lang w:eastAsia="zh-TW"/>
        </w:rPr>
        <w:t>頁。</w:t>
      </w:r>
    </w:p>
  </w:endnote>
  <w:endnote w:id="74">
    <w:p w14:paraId="0712C7FB" w14:textId="0BD7F169" w:rsidR="009F4F5A" w:rsidRPr="00E50DC5" w:rsidRDefault="009F4F5A" w:rsidP="00E50DC5">
      <w:pPr>
        <w:pStyle w:val="ad"/>
        <w:rPr>
          <w:sz w:val="18"/>
          <w:szCs w:val="18"/>
        </w:rPr>
      </w:pPr>
      <w:r w:rsidRPr="00E50DC5">
        <w:rPr>
          <w:rStyle w:val="ae"/>
          <w:sz w:val="18"/>
          <w:szCs w:val="18"/>
        </w:rPr>
        <w:endnoteRef/>
      </w:r>
      <w:r w:rsidRPr="00E50DC5">
        <w:rPr>
          <w:sz w:val="18"/>
          <w:szCs w:val="18"/>
        </w:rPr>
        <w:t>張世超、孫淩安、李國泰、馬如森等：《金文形義通解》，中文出版社，1996年，1471頁。</w:t>
      </w:r>
    </w:p>
  </w:endnote>
  <w:endnote w:id="75">
    <w:p w14:paraId="7C59BE9D" w14:textId="76550E86" w:rsidR="009F4F5A" w:rsidRPr="00E50DC5" w:rsidRDefault="009F4F5A" w:rsidP="00E50DC5">
      <w:pPr>
        <w:pStyle w:val="ad"/>
        <w:rPr>
          <w:sz w:val="18"/>
          <w:szCs w:val="18"/>
        </w:rPr>
      </w:pPr>
      <w:r w:rsidRPr="00E50DC5">
        <w:rPr>
          <w:rStyle w:val="ae"/>
          <w:sz w:val="18"/>
          <w:szCs w:val="18"/>
        </w:rPr>
        <w:endnoteRef/>
      </w:r>
      <w:r w:rsidRPr="00E50DC5">
        <w:rPr>
          <w:sz w:val="18"/>
          <w:szCs w:val="18"/>
        </w:rPr>
        <w:t>楊寬：《西周史》，上海人民出版社，1999年，156頁。</w:t>
      </w:r>
    </w:p>
  </w:endnote>
  <w:endnote w:id="76">
    <w:p w14:paraId="739436B1" w14:textId="381B3287" w:rsidR="009F4F5A" w:rsidRPr="00E50DC5" w:rsidRDefault="009F4F5A" w:rsidP="00E50DC5">
      <w:pPr>
        <w:pStyle w:val="ad"/>
        <w:rPr>
          <w:sz w:val="18"/>
          <w:szCs w:val="18"/>
          <w:lang w:eastAsia="zh-TW"/>
        </w:rPr>
      </w:pPr>
      <w:r w:rsidRPr="00E50DC5">
        <w:rPr>
          <w:rStyle w:val="ae"/>
          <w:sz w:val="18"/>
          <w:szCs w:val="18"/>
        </w:rPr>
        <w:endnoteRef/>
      </w:r>
      <w:r w:rsidRPr="00E50DC5">
        <w:rPr>
          <w:sz w:val="18"/>
          <w:szCs w:val="18"/>
        </w:rPr>
        <w:t>此句原銘文“又一”二字字形較小，二字間距也比其他諸字小得多，而且“一”下還有較大的空白，情況很不自然。謝明文認爲：“毋”與“不”之間可能本來只有一個“敢”字，“又一”本是其上端的殘存部分，結合拓本與照片看，“又一”與“不”之間可能有筆畫（似是“敢”字下部的“口”形與“又”形）。我們認爲，有可能在鑄器用的模範的銘文部分，“毋”和“不”之間本來確爲一個“敢”字，後來又加以挖改，留下上端部分，改成“又一”二字，所以形成了這種現象。故今仍從多數學者釋此句爲“汝毋又（有）一不聞”。</w:t>
      </w:r>
    </w:p>
  </w:endnote>
  <w:endnote w:id="77">
    <w:p w14:paraId="4AFA9781" w14:textId="066E24A9" w:rsidR="009F4F5A" w:rsidRPr="00E50DC5" w:rsidRDefault="009F4F5A" w:rsidP="00E50DC5">
      <w:pPr>
        <w:pStyle w:val="ad"/>
        <w:rPr>
          <w:sz w:val="18"/>
          <w:szCs w:val="18"/>
        </w:rPr>
      </w:pPr>
      <w:r w:rsidRPr="00E50DC5">
        <w:rPr>
          <w:rStyle w:val="ae"/>
          <w:sz w:val="18"/>
          <w:szCs w:val="18"/>
        </w:rPr>
        <w:endnoteRef/>
      </w:r>
      <w:r w:rsidRPr="00E50DC5">
        <w:rPr>
          <w:sz w:val="18"/>
          <w:szCs w:val="18"/>
        </w:rPr>
        <w:t>陳英傑：《讀金瑣記（一）》，復旦大學出土文獻與古文字研究中心網站，2008年6月10日。</w:t>
      </w:r>
    </w:p>
  </w:endnote>
  <w:endnote w:id="78">
    <w:p w14:paraId="23F187AC" w14:textId="25CA2A17" w:rsidR="009F4F5A" w:rsidRPr="00E50DC5" w:rsidRDefault="009F4F5A" w:rsidP="00E50DC5">
      <w:pPr>
        <w:pStyle w:val="ad"/>
        <w:rPr>
          <w:sz w:val="18"/>
          <w:szCs w:val="18"/>
          <w:lang w:eastAsia="zh-TW"/>
        </w:rPr>
      </w:pPr>
      <w:r w:rsidRPr="00E50DC5">
        <w:rPr>
          <w:rStyle w:val="ae"/>
          <w:sz w:val="18"/>
          <w:szCs w:val="18"/>
        </w:rPr>
        <w:endnoteRef/>
      </w:r>
      <w:r w:rsidRPr="00E50DC5">
        <w:rPr>
          <w:sz w:val="18"/>
          <w:szCs w:val="18"/>
          <w:lang w:eastAsia="zh-TW"/>
        </w:rPr>
        <w:t>郭沫若</w:t>
      </w:r>
      <w:r w:rsidRPr="00E50DC5">
        <w:rPr>
          <w:rFonts w:cs="宋体" w:hint="eastAsia"/>
          <w:sz w:val="18"/>
          <w:szCs w:val="18"/>
          <w:lang w:eastAsia="zh-TW"/>
        </w:rPr>
        <w:t>《輔師</w:t>
      </w:r>
      <w:r w:rsidR="00AB1FCD">
        <w:rPr>
          <w:noProof/>
        </w:rPr>
        <w:drawing>
          <wp:inline distT="0" distB="0" distL="0" distR="0" wp14:anchorId="57BD6941" wp14:editId="1F4441C0">
            <wp:extent cx="123825" cy="152401"/>
            <wp:effectExtent l="0" t="0" r="9525" b="0"/>
            <wp:docPr id="82" name="图片 8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图片"/>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845" cy="158579"/>
                    </a:xfrm>
                    <a:prstGeom prst="rect">
                      <a:avLst/>
                    </a:prstGeom>
                    <a:noFill/>
                    <a:ln>
                      <a:noFill/>
                    </a:ln>
                  </pic:spPr>
                </pic:pic>
              </a:graphicData>
            </a:graphic>
          </wp:inline>
        </w:drawing>
      </w:r>
      <w:r w:rsidRPr="00E50DC5">
        <w:rPr>
          <w:rFonts w:cs="宋体" w:hint="eastAsia"/>
          <w:sz w:val="18"/>
          <w:szCs w:val="18"/>
          <w:lang w:eastAsia="zh-TW"/>
        </w:rPr>
        <w:t>簋考釋》，收入《郭沫若全集·考古編》第6卷《金文叢考補錄》，科學出版社，2</w:t>
      </w:r>
      <w:r w:rsidRPr="00E50DC5">
        <w:rPr>
          <w:rFonts w:cs="宋体"/>
          <w:sz w:val="18"/>
          <w:szCs w:val="18"/>
          <w:lang w:eastAsia="zh-TW"/>
        </w:rPr>
        <w:t>002年</w:t>
      </w:r>
      <w:r w:rsidRPr="00E50DC5">
        <w:rPr>
          <w:rFonts w:cs="宋体" w:hint="eastAsia"/>
          <w:sz w:val="18"/>
          <w:szCs w:val="18"/>
          <w:lang w:eastAsia="zh-TW"/>
        </w:rPr>
        <w:t>，</w:t>
      </w:r>
      <w:r w:rsidRPr="00E50DC5">
        <w:rPr>
          <w:rFonts w:cs="宋体"/>
          <w:sz w:val="18"/>
          <w:szCs w:val="18"/>
          <w:lang w:eastAsia="zh-TW"/>
        </w:rPr>
        <w:t>207頁</w:t>
      </w:r>
      <w:r w:rsidRPr="00E50DC5">
        <w:rPr>
          <w:rFonts w:cs="宋体" w:hint="eastAsia"/>
          <w:sz w:val="18"/>
          <w:szCs w:val="18"/>
          <w:lang w:eastAsia="zh-TW"/>
        </w:rPr>
        <w:t>。</w:t>
      </w:r>
    </w:p>
  </w:endnote>
  <w:endnote w:id="79">
    <w:p w14:paraId="622C158A" w14:textId="572A0096" w:rsidR="009F4F5A" w:rsidRPr="00E50DC5" w:rsidRDefault="009F4F5A" w:rsidP="00E50DC5">
      <w:pPr>
        <w:pStyle w:val="ad"/>
        <w:rPr>
          <w:sz w:val="18"/>
          <w:szCs w:val="18"/>
        </w:rPr>
      </w:pPr>
      <w:r w:rsidRPr="00E50DC5">
        <w:rPr>
          <w:rStyle w:val="ae"/>
          <w:sz w:val="18"/>
          <w:szCs w:val="18"/>
        </w:rPr>
        <w:endnoteRef/>
      </w:r>
      <w:r w:rsidRPr="00E50DC5">
        <w:rPr>
          <w:sz w:val="18"/>
          <w:szCs w:val="18"/>
        </w:rPr>
        <w:t>黃天樹：《談談甲骨文中的程度副詞》，載宋鎮豪主編：《甲骨文與殷商史》新四輯，上海古籍出版社，2014年，180頁。</w:t>
      </w:r>
    </w:p>
  </w:endnote>
  <w:endnote w:id="80">
    <w:p w14:paraId="7EE66747" w14:textId="01655F0D" w:rsidR="009F4F5A" w:rsidRPr="00E50DC5" w:rsidRDefault="009F4F5A" w:rsidP="00E50DC5">
      <w:pPr>
        <w:pStyle w:val="ad"/>
        <w:rPr>
          <w:sz w:val="18"/>
          <w:szCs w:val="18"/>
        </w:rPr>
      </w:pPr>
      <w:r w:rsidRPr="00E50DC5">
        <w:rPr>
          <w:rStyle w:val="ae"/>
          <w:sz w:val="18"/>
          <w:szCs w:val="18"/>
        </w:rPr>
        <w:endnoteRef/>
      </w:r>
      <w:r w:rsidRPr="00E50DC5">
        <w:rPr>
          <w:sz w:val="18"/>
          <w:szCs w:val="18"/>
        </w:rPr>
        <w:t>蔣書紅：《聞尊銘文考釋》，《中國歷史文物》2010年第3期，68—73頁。</w:t>
      </w:r>
    </w:p>
  </w:endnote>
  <w:endnote w:id="81">
    <w:p w14:paraId="1C3E186C" w14:textId="28FC200F" w:rsidR="009F4F5A" w:rsidRPr="00E50DC5" w:rsidRDefault="009F4F5A" w:rsidP="00E50DC5">
      <w:pPr>
        <w:pStyle w:val="ad"/>
        <w:rPr>
          <w:sz w:val="18"/>
          <w:szCs w:val="18"/>
        </w:rPr>
      </w:pPr>
      <w:r w:rsidRPr="00E50DC5">
        <w:rPr>
          <w:rStyle w:val="ae"/>
          <w:sz w:val="18"/>
          <w:szCs w:val="18"/>
        </w:rPr>
        <w:endnoteRef/>
      </w:r>
      <w:r w:rsidRPr="00E50DC5">
        <w:rPr>
          <w:sz w:val="18"/>
          <w:szCs w:val="18"/>
        </w:rPr>
        <w:t>同上注，72頁。</w:t>
      </w:r>
    </w:p>
  </w:endnote>
  <w:endnote w:id="82">
    <w:p w14:paraId="0F3BB9D6" w14:textId="189B13C1" w:rsidR="009F4F5A" w:rsidRPr="00E50DC5" w:rsidRDefault="009F4F5A" w:rsidP="00E50DC5">
      <w:pPr>
        <w:pStyle w:val="ad"/>
        <w:rPr>
          <w:sz w:val="18"/>
          <w:szCs w:val="18"/>
          <w:lang w:eastAsia="zh-TW"/>
        </w:rPr>
      </w:pPr>
      <w:r w:rsidRPr="00E50DC5">
        <w:rPr>
          <w:rStyle w:val="ae"/>
          <w:sz w:val="18"/>
          <w:szCs w:val="18"/>
        </w:rPr>
        <w:endnoteRef/>
      </w:r>
      <w:r w:rsidRPr="00E50DC5">
        <w:rPr>
          <w:rFonts w:hint="eastAsia"/>
          <w:sz w:val="18"/>
          <w:szCs w:val="18"/>
          <w:lang w:eastAsia="zh-TW"/>
        </w:rPr>
        <w:t>張崇禮《釋聞尊銘文中的“</w:t>
      </w:r>
      <w:r w:rsidRPr="00E50DC5">
        <w:rPr>
          <w:rFonts w:hint="eastAsia"/>
          <w:noProof/>
          <w:sz w:val="18"/>
          <w:szCs w:val="18"/>
        </w:rPr>
        <w:drawing>
          <wp:inline distT="0" distB="0" distL="0" distR="0" wp14:anchorId="01551053" wp14:editId="5677345D">
            <wp:extent cx="152400" cy="152400"/>
            <wp:effectExtent l="0" t="0" r="0" b="0"/>
            <wp:docPr id="1928369810" name="图片 1928369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3019" cy="153019"/>
                    </a:xfrm>
                    <a:prstGeom prst="rect">
                      <a:avLst/>
                    </a:prstGeom>
                    <a:noFill/>
                    <a:ln>
                      <a:noFill/>
                    </a:ln>
                  </pic:spPr>
                </pic:pic>
              </a:graphicData>
            </a:graphic>
          </wp:inline>
        </w:drawing>
      </w:r>
      <w:r w:rsidRPr="00E50DC5">
        <w:rPr>
          <w:rFonts w:hint="eastAsia"/>
          <w:sz w:val="18"/>
          <w:szCs w:val="18"/>
          <w:lang w:eastAsia="zh-TW"/>
        </w:rPr>
        <w:t>”字》，</w:t>
      </w:r>
      <w:r w:rsidRPr="00E50DC5">
        <w:rPr>
          <w:sz w:val="18"/>
          <w:szCs w:val="18"/>
          <w:lang w:eastAsia="zh-TW"/>
        </w:rPr>
        <w:t>http://www.gwz.fudan.edu.cn/Web/Show/1799</w:t>
      </w:r>
      <w:r w:rsidRPr="00E50DC5">
        <w:rPr>
          <w:rFonts w:hint="eastAsia"/>
          <w:sz w:val="18"/>
          <w:szCs w:val="18"/>
          <w:lang w:eastAsia="zh-TW"/>
        </w:rPr>
        <w:t>。張氏認爲“</w:t>
      </w:r>
      <w:r w:rsidRPr="00E50DC5">
        <w:rPr>
          <w:rFonts w:hint="eastAsia"/>
          <w:noProof/>
          <w:sz w:val="18"/>
          <w:szCs w:val="18"/>
        </w:rPr>
        <w:drawing>
          <wp:inline distT="0" distB="0" distL="0" distR="0" wp14:anchorId="79346096" wp14:editId="696A55F9">
            <wp:extent cx="137160" cy="137160"/>
            <wp:effectExtent l="0" t="0" r="0" b="0"/>
            <wp:docPr id="1535050533" name="图片 1535050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160" cy="137160"/>
                    </a:xfrm>
                    <a:prstGeom prst="rect">
                      <a:avLst/>
                    </a:prstGeom>
                    <a:noFill/>
                    <a:ln>
                      <a:noFill/>
                    </a:ln>
                  </pic:spPr>
                </pic:pic>
              </a:graphicData>
            </a:graphic>
          </wp:inline>
        </w:drawing>
      </w:r>
      <w:r w:rsidRPr="00E50DC5">
        <w:rPr>
          <w:rFonts w:cs="宋体" w:hint="eastAsia"/>
          <w:sz w:val="18"/>
          <w:szCs w:val="18"/>
          <w:lang w:eastAsia="zh-TW"/>
        </w:rPr>
        <w:t>”可能是“獲得”之“獲”的本字，似不一定正確。</w:t>
      </w:r>
    </w:p>
  </w:endnote>
  <w:endnote w:id="83">
    <w:p w14:paraId="2C5F2849" w14:textId="5CBA21C2" w:rsidR="009F4F5A" w:rsidRPr="00E50DC5" w:rsidRDefault="009F4F5A" w:rsidP="00E50DC5">
      <w:pPr>
        <w:pStyle w:val="ad"/>
        <w:rPr>
          <w:sz w:val="18"/>
          <w:szCs w:val="18"/>
        </w:rPr>
      </w:pPr>
      <w:r w:rsidRPr="00E50DC5">
        <w:rPr>
          <w:rStyle w:val="ae"/>
          <w:sz w:val="18"/>
          <w:szCs w:val="18"/>
        </w:rPr>
        <w:endnoteRef/>
      </w:r>
      <w:r w:rsidRPr="00E50DC5">
        <w:rPr>
          <w:sz w:val="18"/>
          <w:szCs w:val="18"/>
        </w:rPr>
        <w:t>按：子蟜即公孫蠆之字。《左傳·襄公十四年》記晋帥諸侯之師伐秦，諸侯之師“及涇不濟”，公孫蠆與叔向規勸諸侯之師渡河。“秦人毒涇上流，師入，多死。鄭司馬子蟜帥鄭師以進，師皆從之……”。</w:t>
      </w:r>
    </w:p>
  </w:endnote>
  <w:endnote w:id="84">
    <w:p w14:paraId="08C61EB4" w14:textId="6BADE51E" w:rsidR="009F4F5A" w:rsidRPr="00E50DC5" w:rsidRDefault="009F4F5A" w:rsidP="00E50DC5">
      <w:pPr>
        <w:pStyle w:val="ad"/>
        <w:rPr>
          <w:sz w:val="18"/>
          <w:szCs w:val="18"/>
        </w:rPr>
      </w:pPr>
      <w:r w:rsidRPr="00E50DC5">
        <w:rPr>
          <w:rStyle w:val="ae"/>
          <w:sz w:val="18"/>
          <w:szCs w:val="18"/>
        </w:rPr>
        <w:endnoteRef/>
      </w:r>
      <w:r w:rsidRPr="00E50DC5">
        <w:rPr>
          <w:sz w:val="18"/>
          <w:szCs w:val="18"/>
        </w:rPr>
        <w:t>（清）孫希旦：《禮記集解》，中華書局，1989年，925頁。</w:t>
      </w:r>
    </w:p>
  </w:endnote>
  <w:endnote w:id="85">
    <w:p w14:paraId="2EB2EAF9" w14:textId="093BA158" w:rsidR="009F4F5A" w:rsidRPr="00E50DC5" w:rsidRDefault="009F4F5A" w:rsidP="00E50DC5">
      <w:pPr>
        <w:pStyle w:val="ad"/>
        <w:rPr>
          <w:sz w:val="18"/>
          <w:szCs w:val="18"/>
        </w:rPr>
      </w:pPr>
      <w:r w:rsidRPr="00E50DC5">
        <w:rPr>
          <w:rStyle w:val="ae"/>
          <w:sz w:val="18"/>
          <w:szCs w:val="18"/>
        </w:rPr>
        <w:endnoteRef/>
      </w:r>
      <w:r w:rsidRPr="00E50DC5">
        <w:rPr>
          <w:sz w:val="18"/>
          <w:szCs w:val="18"/>
        </w:rPr>
        <w:t>（清）王引之撰，虞思徵、馬濤、徐煒君校點：《經義述聞》，上海古籍出版社，2016年，第二册885頁。</w:t>
      </w:r>
    </w:p>
  </w:endnote>
  <w:endnote w:id="86">
    <w:p w14:paraId="303DDBA1" w14:textId="2FF14692" w:rsidR="009F4F5A" w:rsidRPr="00E50DC5" w:rsidRDefault="009F4F5A" w:rsidP="00E50DC5">
      <w:pPr>
        <w:pStyle w:val="ad"/>
        <w:rPr>
          <w:sz w:val="18"/>
          <w:szCs w:val="18"/>
        </w:rPr>
      </w:pPr>
      <w:r w:rsidRPr="00E50DC5">
        <w:rPr>
          <w:rStyle w:val="ae"/>
          <w:sz w:val="18"/>
          <w:szCs w:val="18"/>
        </w:rPr>
        <w:endnoteRef/>
      </w:r>
      <w:r w:rsidRPr="00E50DC5">
        <w:rPr>
          <w:sz w:val="18"/>
          <w:szCs w:val="18"/>
        </w:rPr>
        <w:t>王文錦：《禮記譯解》，中華書局，2016年，509頁。</w:t>
      </w:r>
    </w:p>
  </w:endnote>
  <w:endnote w:id="87">
    <w:p w14:paraId="1E5A5080" w14:textId="562D17F1" w:rsidR="009F4F5A" w:rsidRPr="00E50DC5" w:rsidRDefault="009F4F5A" w:rsidP="00E50DC5">
      <w:pPr>
        <w:pStyle w:val="ad"/>
        <w:rPr>
          <w:sz w:val="18"/>
          <w:szCs w:val="18"/>
        </w:rPr>
      </w:pPr>
      <w:r w:rsidRPr="00E50DC5">
        <w:rPr>
          <w:rStyle w:val="ae"/>
          <w:sz w:val="18"/>
          <w:szCs w:val="18"/>
        </w:rPr>
        <w:endnoteRef/>
      </w:r>
    </w:p>
    <w:p w14:paraId="2B50D7AB" w14:textId="2760E183" w:rsidR="009F4F5A" w:rsidRPr="00E50DC5" w:rsidRDefault="009F4F5A" w:rsidP="00E50DC5">
      <w:pPr>
        <w:pStyle w:val="ad"/>
        <w:rPr>
          <w:sz w:val="18"/>
          <w:szCs w:val="18"/>
          <w:lang w:eastAsia="zh-TW"/>
        </w:rPr>
      </w:pPr>
      <w:r w:rsidRPr="00E50DC5">
        <w:rPr>
          <w:sz w:val="18"/>
          <w:szCs w:val="18"/>
        </w:rPr>
        <w:t>此文中的兩處“善之善者”銀雀山漢簡本《孫子》作“善者”。今本《謀攻》篇還兩次出現“善之善者”，但簡本與《謀攻》篇相當之篇簡文殘缺得非常嚴重，與“善之善者”相當的文字已全不可見，似不能排除簡本此處原作“善之善者”的可能性。“善之善者”指“善者中的善者”，也就是最善者的意思。</w:t>
      </w:r>
    </w:p>
  </w:endnote>
  <w:endnote w:id="88">
    <w:p w14:paraId="430DDCFD" w14:textId="1AFC6EA4" w:rsidR="009F4F5A" w:rsidRPr="00E50DC5" w:rsidRDefault="009F4F5A" w:rsidP="00E50DC5">
      <w:pPr>
        <w:pStyle w:val="ad"/>
        <w:rPr>
          <w:sz w:val="18"/>
          <w:szCs w:val="18"/>
        </w:rPr>
      </w:pPr>
      <w:r w:rsidRPr="00E50DC5">
        <w:rPr>
          <w:rStyle w:val="ae"/>
          <w:sz w:val="18"/>
          <w:szCs w:val="18"/>
        </w:rPr>
        <w:endnoteRef/>
      </w:r>
      <w:r w:rsidRPr="00E50DC5">
        <w:rPr>
          <w:sz w:val="18"/>
          <w:szCs w:val="18"/>
        </w:rPr>
        <w:t>銀雀山漢簡本《孫子》有異文，但“戰勝而天下曰善”一句，簡本與傳本相同。</w:t>
      </w:r>
    </w:p>
  </w:endnote>
  <w:endnote w:id="89">
    <w:p w14:paraId="5F9632D9" w14:textId="612D473E" w:rsidR="009F4F5A" w:rsidRPr="00E50DC5" w:rsidRDefault="009F4F5A" w:rsidP="00E50DC5">
      <w:pPr>
        <w:pStyle w:val="ad"/>
        <w:rPr>
          <w:sz w:val="18"/>
          <w:szCs w:val="18"/>
        </w:rPr>
      </w:pPr>
      <w:r w:rsidRPr="00E50DC5">
        <w:rPr>
          <w:rStyle w:val="ae"/>
          <w:sz w:val="18"/>
          <w:szCs w:val="18"/>
        </w:rPr>
        <w:endnoteRef/>
      </w:r>
      <w:r w:rsidRPr="00E50DC5">
        <w:rPr>
          <w:sz w:val="18"/>
          <w:szCs w:val="18"/>
        </w:rPr>
        <w:t>楊伯峻：《論語譯注》，中華書局，1980年，130頁。</w:t>
      </w:r>
    </w:p>
  </w:endnote>
  <w:endnote w:id="90">
    <w:p w14:paraId="24A86956" w14:textId="2113022C" w:rsidR="009F4F5A" w:rsidRPr="00E50DC5" w:rsidRDefault="009F4F5A" w:rsidP="00E50DC5">
      <w:pPr>
        <w:pStyle w:val="ad"/>
        <w:rPr>
          <w:sz w:val="18"/>
          <w:szCs w:val="18"/>
        </w:rPr>
      </w:pPr>
      <w:r w:rsidRPr="00E50DC5">
        <w:rPr>
          <w:rStyle w:val="ae"/>
          <w:sz w:val="18"/>
          <w:szCs w:val="18"/>
        </w:rPr>
        <w:endnoteRef/>
      </w:r>
      <w:r w:rsidRPr="00E50DC5">
        <w:rPr>
          <w:sz w:val="18"/>
          <w:szCs w:val="18"/>
        </w:rPr>
        <w:t>參看裴學海：《古書虚字集釋》，580—581頁。</w:t>
      </w:r>
    </w:p>
  </w:endnote>
  <w:endnote w:id="91">
    <w:p w14:paraId="767ED97D" w14:textId="714713FE" w:rsidR="009F4F5A" w:rsidRPr="00E50DC5" w:rsidRDefault="009F4F5A" w:rsidP="00E50DC5">
      <w:pPr>
        <w:pStyle w:val="ad"/>
        <w:rPr>
          <w:sz w:val="18"/>
          <w:szCs w:val="18"/>
        </w:rPr>
      </w:pPr>
      <w:r w:rsidRPr="00E50DC5">
        <w:rPr>
          <w:rStyle w:val="ae"/>
          <w:sz w:val="18"/>
          <w:szCs w:val="18"/>
        </w:rPr>
        <w:endnoteRef/>
      </w:r>
      <w:r w:rsidRPr="00E50DC5">
        <w:rPr>
          <w:sz w:val="18"/>
          <w:szCs w:val="18"/>
        </w:rPr>
        <w:t>參看郭靄春譯文“脾的正常與否，可以看得出來嗎”（郭靄春：《黃帝内經素問白話解》，中國中醫藥出版社，2012年，124頁）。</w:t>
      </w:r>
    </w:p>
  </w:endnote>
  <w:endnote w:id="92">
    <w:p w14:paraId="43BCB039" w14:textId="28063350" w:rsidR="009F4F5A" w:rsidRPr="00E50DC5" w:rsidRDefault="009F4F5A" w:rsidP="00E50DC5">
      <w:pPr>
        <w:pStyle w:val="ad"/>
        <w:rPr>
          <w:sz w:val="18"/>
          <w:szCs w:val="18"/>
        </w:rPr>
      </w:pPr>
      <w:r w:rsidRPr="00E50DC5">
        <w:rPr>
          <w:rStyle w:val="ae"/>
          <w:sz w:val="18"/>
          <w:szCs w:val="18"/>
        </w:rPr>
        <w:endnoteRef/>
      </w:r>
      <w:r w:rsidRPr="00E50DC5">
        <w:rPr>
          <w:sz w:val="18"/>
          <w:szCs w:val="18"/>
        </w:rPr>
        <w:t>（宋）朱熹：《四書章句集注論語集注》，68頁。</w:t>
      </w:r>
    </w:p>
  </w:endnote>
  <w:endnote w:id="93">
    <w:p w14:paraId="74A3C004" w14:textId="10EB4E3F" w:rsidR="009F4F5A" w:rsidRPr="00E50DC5" w:rsidRDefault="009F4F5A" w:rsidP="00E50DC5">
      <w:pPr>
        <w:pStyle w:val="ad"/>
        <w:rPr>
          <w:sz w:val="18"/>
          <w:szCs w:val="18"/>
        </w:rPr>
      </w:pPr>
      <w:r w:rsidRPr="00E50DC5">
        <w:rPr>
          <w:rStyle w:val="ae"/>
          <w:sz w:val="18"/>
          <w:szCs w:val="18"/>
        </w:rPr>
        <w:endnoteRef/>
      </w:r>
      <w:r w:rsidRPr="00E50DC5">
        <w:rPr>
          <w:sz w:val="18"/>
          <w:szCs w:val="18"/>
        </w:rPr>
        <w:t>程樹德：《論語集釋》，中華書局，1990年，223頁。</w:t>
      </w:r>
    </w:p>
  </w:endnote>
  <w:endnote w:id="94">
    <w:p w14:paraId="72E921D8" w14:textId="2E25739F" w:rsidR="009F4F5A" w:rsidRPr="00E50DC5" w:rsidRDefault="009F4F5A" w:rsidP="00E50DC5">
      <w:pPr>
        <w:pStyle w:val="ad"/>
        <w:rPr>
          <w:sz w:val="18"/>
          <w:szCs w:val="18"/>
        </w:rPr>
      </w:pPr>
      <w:r w:rsidRPr="00E50DC5">
        <w:rPr>
          <w:rStyle w:val="ae"/>
          <w:sz w:val="18"/>
          <w:szCs w:val="18"/>
        </w:rPr>
        <w:endnoteRef/>
      </w:r>
      <w:r w:rsidRPr="00E50DC5">
        <w:rPr>
          <w:sz w:val="18"/>
          <w:szCs w:val="18"/>
        </w:rPr>
        <w:t>劉釗：《郭店楚簡校釋》，福建人民出版社，2005年，185頁。</w:t>
      </w:r>
    </w:p>
  </w:endnote>
  <w:endnote w:id="95">
    <w:p w14:paraId="6488186E" w14:textId="6DD15F18" w:rsidR="009F4F5A" w:rsidRPr="00E50DC5" w:rsidRDefault="009F4F5A" w:rsidP="00E50DC5">
      <w:pPr>
        <w:pStyle w:val="ad"/>
        <w:rPr>
          <w:sz w:val="18"/>
          <w:szCs w:val="18"/>
        </w:rPr>
      </w:pPr>
      <w:r w:rsidRPr="00E50DC5">
        <w:rPr>
          <w:rStyle w:val="ae"/>
          <w:sz w:val="18"/>
          <w:szCs w:val="18"/>
        </w:rPr>
        <w:endnoteRef/>
      </w:r>
      <w:r w:rsidRPr="00E50DC5">
        <w:rPr>
          <w:sz w:val="18"/>
          <w:szCs w:val="18"/>
        </w:rPr>
        <w:t>（清）阮元：《十三經注疏·禮記正義》，3326頁。</w:t>
      </w:r>
    </w:p>
  </w:endnote>
  <w:endnote w:id="96">
    <w:p w14:paraId="717DB6B2" w14:textId="143A0EBD" w:rsidR="009F4F5A" w:rsidRPr="00E50DC5" w:rsidRDefault="009F4F5A" w:rsidP="00E50DC5">
      <w:pPr>
        <w:pStyle w:val="ad"/>
        <w:rPr>
          <w:sz w:val="18"/>
          <w:szCs w:val="18"/>
        </w:rPr>
      </w:pPr>
      <w:r w:rsidRPr="00E50DC5">
        <w:rPr>
          <w:rStyle w:val="ae"/>
          <w:sz w:val="18"/>
          <w:szCs w:val="18"/>
        </w:rPr>
        <w:endnoteRef/>
      </w:r>
      <w:r w:rsidRPr="00E50DC5">
        <w:rPr>
          <w:sz w:val="18"/>
          <w:szCs w:val="18"/>
        </w:rPr>
        <w:t>王文錦：《禮記譯解》，557頁。</w:t>
      </w:r>
    </w:p>
  </w:endnote>
  <w:endnote w:id="97">
    <w:p w14:paraId="35F300C4" w14:textId="1254153F" w:rsidR="009F4F5A" w:rsidRPr="00E50DC5" w:rsidRDefault="009F4F5A" w:rsidP="00E50DC5">
      <w:pPr>
        <w:pStyle w:val="ad"/>
        <w:rPr>
          <w:sz w:val="18"/>
          <w:szCs w:val="18"/>
        </w:rPr>
      </w:pPr>
      <w:r w:rsidRPr="00E50DC5">
        <w:rPr>
          <w:rStyle w:val="ae"/>
          <w:sz w:val="18"/>
          <w:szCs w:val="18"/>
        </w:rPr>
        <w:endnoteRef/>
      </w:r>
      <w:r w:rsidRPr="00E50DC5">
        <w:rPr>
          <w:sz w:val="18"/>
          <w:szCs w:val="18"/>
        </w:rPr>
        <w:t>（清）鍾文烝：《春秋穀梁經傳補注•宣公十五年》，中華書局，2009年，459頁。</w:t>
      </w:r>
    </w:p>
  </w:endnote>
  <w:endnote w:id="98">
    <w:p w14:paraId="30EF45D1" w14:textId="3EBFC849" w:rsidR="009F4F5A" w:rsidRPr="00E50DC5" w:rsidRDefault="009F4F5A" w:rsidP="00E50DC5">
      <w:pPr>
        <w:pStyle w:val="ad"/>
        <w:rPr>
          <w:sz w:val="18"/>
          <w:szCs w:val="18"/>
        </w:rPr>
      </w:pPr>
      <w:r w:rsidRPr="00E50DC5">
        <w:rPr>
          <w:rStyle w:val="ae"/>
          <w:sz w:val="18"/>
          <w:szCs w:val="18"/>
        </w:rPr>
        <w:endnoteRef/>
      </w:r>
      <w:r w:rsidRPr="00E50DC5">
        <w:rPr>
          <w:sz w:val="18"/>
          <w:szCs w:val="18"/>
        </w:rPr>
        <w:t>李學勤主編：《清華大學藏戰國竹簡》［陸］，中西書局，2016年，143頁注［七六］。</w:t>
      </w:r>
    </w:p>
  </w:endnote>
  <w:endnote w:id="99">
    <w:p w14:paraId="7EB01CF2" w14:textId="5E736D69" w:rsidR="009F4F5A" w:rsidRPr="00E50DC5" w:rsidRDefault="009F4F5A" w:rsidP="00E50DC5">
      <w:pPr>
        <w:pStyle w:val="ad"/>
        <w:rPr>
          <w:sz w:val="18"/>
          <w:szCs w:val="18"/>
        </w:rPr>
      </w:pPr>
      <w:r w:rsidRPr="00E50DC5">
        <w:rPr>
          <w:rStyle w:val="ae"/>
          <w:sz w:val="18"/>
          <w:szCs w:val="18"/>
        </w:rPr>
        <w:endnoteRef/>
      </w:r>
      <w:r w:rsidRPr="00E50DC5">
        <w:rPr>
          <w:sz w:val="18"/>
          <w:szCs w:val="18"/>
        </w:rPr>
        <w:t>孫欽善：《論語新注》，中華書局，2018年，33頁【辨證】。</w:t>
      </w:r>
    </w:p>
  </w:endnote>
  <w:endnote w:id="100">
    <w:p w14:paraId="725253C6" w14:textId="0D394DA2" w:rsidR="009F4F5A" w:rsidRPr="00E50DC5" w:rsidRDefault="009F4F5A" w:rsidP="00E50DC5">
      <w:pPr>
        <w:pStyle w:val="ad"/>
        <w:rPr>
          <w:sz w:val="18"/>
          <w:szCs w:val="18"/>
        </w:rPr>
      </w:pPr>
      <w:r w:rsidRPr="00E50DC5">
        <w:rPr>
          <w:rStyle w:val="ae"/>
          <w:sz w:val="18"/>
          <w:szCs w:val="18"/>
        </w:rPr>
        <w:endnoteRef/>
      </w:r>
      <w:r w:rsidRPr="00E50DC5">
        <w:rPr>
          <w:sz w:val="18"/>
          <w:szCs w:val="18"/>
        </w:rPr>
        <w:t>孫欽善：《論語新注》，428頁【校注】。</w:t>
      </w:r>
    </w:p>
  </w:endnote>
  <w:endnote w:id="101">
    <w:p w14:paraId="21FAD010" w14:textId="6A63F652" w:rsidR="009F4F5A" w:rsidRPr="00E50DC5" w:rsidRDefault="009F4F5A" w:rsidP="00E50DC5">
      <w:pPr>
        <w:pStyle w:val="ad"/>
        <w:rPr>
          <w:sz w:val="18"/>
          <w:szCs w:val="18"/>
        </w:rPr>
      </w:pPr>
      <w:r w:rsidRPr="00E50DC5">
        <w:rPr>
          <w:rStyle w:val="ae"/>
          <w:sz w:val="18"/>
          <w:szCs w:val="18"/>
        </w:rPr>
        <w:endnoteRef/>
      </w:r>
      <w:r w:rsidRPr="00E50DC5">
        <w:rPr>
          <w:sz w:val="18"/>
          <w:szCs w:val="18"/>
        </w:rPr>
        <w:t>楊朝明：《論語詮解》，山东友谊出版社，2018年，175頁。</w:t>
      </w:r>
    </w:p>
  </w:endnote>
  <w:endnote w:id="102">
    <w:p w14:paraId="0EC1204A" w14:textId="17EDAA04" w:rsidR="009F4F5A" w:rsidRPr="00E50DC5" w:rsidRDefault="009F4F5A" w:rsidP="00E50DC5">
      <w:pPr>
        <w:pStyle w:val="ad"/>
        <w:rPr>
          <w:sz w:val="18"/>
          <w:szCs w:val="18"/>
        </w:rPr>
      </w:pPr>
      <w:r w:rsidRPr="00E50DC5">
        <w:rPr>
          <w:rStyle w:val="ae"/>
          <w:sz w:val="18"/>
          <w:szCs w:val="18"/>
        </w:rPr>
        <w:endnoteRef/>
      </w:r>
      <w:r w:rsidRPr="00E50DC5">
        <w:rPr>
          <w:sz w:val="18"/>
          <w:szCs w:val="18"/>
        </w:rPr>
        <w:t>楊朝明：《論語詮解》，14頁。</w:t>
      </w:r>
    </w:p>
  </w:endnote>
  <w:endnote w:id="103">
    <w:p w14:paraId="63AC9A43" w14:textId="13A02975" w:rsidR="009F4F5A" w:rsidRPr="00E50DC5" w:rsidRDefault="009F4F5A" w:rsidP="00E50DC5">
      <w:pPr>
        <w:pStyle w:val="ad"/>
        <w:rPr>
          <w:sz w:val="18"/>
          <w:szCs w:val="18"/>
        </w:rPr>
      </w:pPr>
      <w:r w:rsidRPr="00E50DC5">
        <w:rPr>
          <w:rStyle w:val="ae"/>
          <w:sz w:val="18"/>
          <w:szCs w:val="18"/>
        </w:rPr>
        <w:endnoteRef/>
      </w:r>
      <w:r w:rsidRPr="00E50DC5">
        <w:rPr>
          <w:sz w:val="18"/>
          <w:szCs w:val="18"/>
        </w:rPr>
        <w:t>王叔岷：《史記斠證》，3035頁。</w:t>
      </w:r>
    </w:p>
  </w:endnote>
  <w:endnote w:id="104">
    <w:p w14:paraId="77C3FADE" w14:textId="3C319E43" w:rsidR="009F4F5A" w:rsidRPr="00E50DC5" w:rsidRDefault="009F4F5A" w:rsidP="00E50DC5">
      <w:pPr>
        <w:pStyle w:val="ad"/>
        <w:rPr>
          <w:sz w:val="18"/>
          <w:szCs w:val="18"/>
        </w:rPr>
      </w:pPr>
      <w:r w:rsidRPr="00E50DC5">
        <w:rPr>
          <w:rStyle w:val="ae"/>
          <w:sz w:val="18"/>
          <w:szCs w:val="18"/>
        </w:rPr>
        <w:endnoteRef/>
      </w:r>
      <w:r w:rsidRPr="00E50DC5">
        <w:rPr>
          <w:sz w:val="18"/>
          <w:szCs w:val="18"/>
        </w:rPr>
        <w:t>高誘在《蕩兵》篇此句下注“《傳》曰：‘能者養之以求福，不能者敗之以取禍’”，所引見《左傳·成公十三年》，作“能者養之以福，不能者敗以取禍”。今本上句“福”上無“求”字，竹添光鴻《左傳會箋》據《漢書·律曆志》引文指出此句古本原作“能者養以之福”，今本“之”“以”二字誤倒（［日］竹添光鴻著，于景祥、柳海松整理：《左傳會箋》，遼海出版社，2008年，267頁）。</w:t>
      </w:r>
    </w:p>
  </w:endnote>
  <w:endnote w:id="105">
    <w:p w14:paraId="0A3C2AEB" w14:textId="0263245B" w:rsidR="009F4F5A" w:rsidRPr="00E50DC5" w:rsidRDefault="009F4F5A" w:rsidP="00E50DC5">
      <w:pPr>
        <w:pStyle w:val="ad"/>
        <w:rPr>
          <w:sz w:val="18"/>
          <w:szCs w:val="18"/>
        </w:rPr>
      </w:pPr>
      <w:r w:rsidRPr="00E50DC5">
        <w:rPr>
          <w:rStyle w:val="ae"/>
          <w:sz w:val="18"/>
          <w:szCs w:val="18"/>
        </w:rPr>
        <w:endnoteRef/>
      </w:r>
      <w:r w:rsidRPr="00E50DC5">
        <w:rPr>
          <w:sz w:val="18"/>
          <w:szCs w:val="18"/>
        </w:rPr>
        <w:t>王叔岷：《史記斠證》，1885頁。</w:t>
      </w:r>
    </w:p>
  </w:endnote>
  <w:endnote w:id="106">
    <w:p w14:paraId="3BFB1ED5" w14:textId="30766909" w:rsidR="009F4F5A" w:rsidRPr="00E50DC5" w:rsidRDefault="009F4F5A" w:rsidP="00E50DC5">
      <w:pPr>
        <w:pStyle w:val="ad"/>
        <w:rPr>
          <w:sz w:val="18"/>
          <w:szCs w:val="18"/>
        </w:rPr>
      </w:pPr>
      <w:r w:rsidRPr="00E50DC5">
        <w:rPr>
          <w:rStyle w:val="ae"/>
          <w:sz w:val="18"/>
          <w:szCs w:val="18"/>
        </w:rPr>
        <w:endnoteRef/>
      </w:r>
      <w:r w:rsidRPr="00E50DC5">
        <w:rPr>
          <w:sz w:val="18"/>
          <w:szCs w:val="18"/>
        </w:rPr>
        <w:t>王叔岷：《史記斠證》，2366頁，2730頁。</w:t>
      </w:r>
    </w:p>
  </w:endnote>
  <w:endnote w:id="107">
    <w:p w14:paraId="7762A853" w14:textId="49A85E08" w:rsidR="009F4F5A" w:rsidRPr="00E50DC5" w:rsidRDefault="009F4F5A" w:rsidP="00E50DC5">
      <w:pPr>
        <w:pStyle w:val="ad"/>
        <w:rPr>
          <w:sz w:val="18"/>
          <w:szCs w:val="18"/>
        </w:rPr>
      </w:pPr>
      <w:r w:rsidRPr="00E50DC5">
        <w:rPr>
          <w:rStyle w:val="ae"/>
          <w:sz w:val="18"/>
          <w:szCs w:val="18"/>
        </w:rPr>
        <w:endnoteRef/>
      </w:r>
      <w:r w:rsidRPr="00E50DC5">
        <w:rPr>
          <w:sz w:val="18"/>
          <w:szCs w:val="18"/>
        </w:rPr>
        <w:t>銀雀山漢墓竹簡整理小組編：《銀雀山漢墓竹簡［壹］》，文物出版社，1985年，10頁注［二］。</w:t>
      </w:r>
    </w:p>
  </w:endnote>
  <w:endnote w:id="108">
    <w:p w14:paraId="1A581A3A" w14:textId="5B2C28A1" w:rsidR="009F4F5A" w:rsidRPr="00E50DC5" w:rsidRDefault="009F4F5A" w:rsidP="00E50DC5">
      <w:pPr>
        <w:pStyle w:val="ad"/>
        <w:rPr>
          <w:sz w:val="18"/>
          <w:szCs w:val="18"/>
        </w:rPr>
      </w:pPr>
      <w:r w:rsidRPr="00E50DC5">
        <w:rPr>
          <w:rStyle w:val="ae"/>
          <w:sz w:val="18"/>
          <w:szCs w:val="18"/>
        </w:rPr>
        <w:endnoteRef/>
      </w:r>
      <w:r w:rsidRPr="00E50DC5">
        <w:rPr>
          <w:sz w:val="18"/>
          <w:szCs w:val="18"/>
        </w:rPr>
        <w:t>《銀雀山漢墓竹簡［壹］》，53頁注［三一］。</w:t>
      </w:r>
    </w:p>
  </w:endnote>
  <w:endnote w:id="109">
    <w:p w14:paraId="55599C1B" w14:textId="481F8C84" w:rsidR="009F4F5A" w:rsidRPr="00E50DC5" w:rsidRDefault="009F4F5A" w:rsidP="00E50DC5">
      <w:pPr>
        <w:pStyle w:val="ad"/>
        <w:rPr>
          <w:sz w:val="18"/>
          <w:szCs w:val="18"/>
          <w:lang w:eastAsia="zh-TW"/>
        </w:rPr>
      </w:pPr>
      <w:r w:rsidRPr="00E50DC5">
        <w:rPr>
          <w:rStyle w:val="ae"/>
          <w:sz w:val="18"/>
          <w:szCs w:val="18"/>
        </w:rPr>
        <w:endnoteRef/>
      </w:r>
      <w:r w:rsidRPr="00E50DC5">
        <w:rPr>
          <w:sz w:val="18"/>
          <w:szCs w:val="18"/>
        </w:rPr>
        <w:t>網上流傳一種稱爲《孫子略解》的曹注本，凡簡本作“善者”而傳本作“善戰者”、“善用兵者”之處，該本皆作“善者”。此本是今人將簡本與傳本拼合而成的，並無版本價值。</w:t>
      </w:r>
    </w:p>
  </w:endnote>
  <w:endnote w:id="110">
    <w:p w14:paraId="61E7B202" w14:textId="7D5E9099" w:rsidR="009F4F5A" w:rsidRPr="00E50DC5" w:rsidRDefault="009F4F5A" w:rsidP="00E50DC5">
      <w:pPr>
        <w:pStyle w:val="ad"/>
        <w:rPr>
          <w:sz w:val="18"/>
          <w:szCs w:val="18"/>
        </w:rPr>
      </w:pPr>
      <w:r w:rsidRPr="00E50DC5">
        <w:rPr>
          <w:rStyle w:val="ae"/>
          <w:sz w:val="18"/>
          <w:szCs w:val="18"/>
        </w:rPr>
        <w:endnoteRef/>
      </w:r>
      <w:r w:rsidRPr="00E50DC5">
        <w:rPr>
          <w:sz w:val="18"/>
          <w:szCs w:val="18"/>
        </w:rPr>
        <w:t>銀雀山漢墓竹簡整理小組編：《銀雀山漢墓竹簡［貳］》，文物出版社，2010年，152頁注［一］。</w:t>
      </w:r>
    </w:p>
  </w:endnote>
  <w:endnote w:id="111">
    <w:p w14:paraId="6C9D3A4C" w14:textId="2FDE25F5" w:rsidR="009F4F5A" w:rsidRPr="00E50DC5" w:rsidRDefault="009F4F5A" w:rsidP="00E50DC5">
      <w:pPr>
        <w:pStyle w:val="ad"/>
        <w:rPr>
          <w:sz w:val="18"/>
          <w:szCs w:val="18"/>
        </w:rPr>
      </w:pPr>
      <w:r w:rsidRPr="00E50DC5">
        <w:rPr>
          <w:rStyle w:val="ae"/>
          <w:sz w:val="18"/>
          <w:szCs w:val="18"/>
        </w:rPr>
        <w:endnoteRef/>
      </w:r>
      <w:r w:rsidRPr="00E50DC5">
        <w:rPr>
          <w:sz w:val="18"/>
          <w:szCs w:val="18"/>
        </w:rPr>
        <w:t>（清）王引之撰《經義述聞》，第四册1563—1564頁。</w:t>
      </w:r>
    </w:p>
  </w:endnote>
  <w:endnote w:id="112">
    <w:p w14:paraId="2E718B45" w14:textId="786302E4" w:rsidR="009F4F5A" w:rsidRPr="00E50DC5" w:rsidRDefault="009F4F5A" w:rsidP="00E50DC5">
      <w:pPr>
        <w:pStyle w:val="ad"/>
        <w:rPr>
          <w:sz w:val="18"/>
          <w:szCs w:val="18"/>
        </w:rPr>
      </w:pPr>
      <w:r w:rsidRPr="00E50DC5">
        <w:rPr>
          <w:rStyle w:val="ae"/>
          <w:sz w:val="18"/>
          <w:szCs w:val="18"/>
        </w:rPr>
        <w:endnoteRef/>
      </w:r>
      <w:r w:rsidRPr="00E50DC5">
        <w:rPr>
          <w:sz w:val="18"/>
          <w:szCs w:val="18"/>
        </w:rPr>
        <w:t>蕭旭：《群書校補•〈國語〉校補》，廣陵書社，2011年，122頁。</w:t>
      </w:r>
    </w:p>
  </w:endnote>
  <w:endnote w:id="113">
    <w:p w14:paraId="4F521719" w14:textId="0972CB55" w:rsidR="009F4F5A" w:rsidRPr="00E50DC5" w:rsidRDefault="009F4F5A" w:rsidP="00E50DC5">
      <w:pPr>
        <w:pStyle w:val="ad"/>
        <w:rPr>
          <w:sz w:val="18"/>
          <w:szCs w:val="18"/>
        </w:rPr>
      </w:pPr>
      <w:r w:rsidRPr="00E50DC5">
        <w:rPr>
          <w:rStyle w:val="ae"/>
          <w:sz w:val="18"/>
          <w:szCs w:val="18"/>
        </w:rPr>
        <w:endnoteRef/>
      </w:r>
      <w:r w:rsidRPr="00E50DC5">
        <w:rPr>
          <w:sz w:val="18"/>
          <w:szCs w:val="18"/>
        </w:rPr>
        <w:t>楊伯峻：《論語譯注》，72頁。</w:t>
      </w:r>
    </w:p>
  </w:endnote>
  <w:endnote w:id="114">
    <w:p w14:paraId="0B686086" w14:textId="13EF41F1" w:rsidR="009F4F5A" w:rsidRPr="00E50DC5" w:rsidRDefault="009F4F5A" w:rsidP="00E50DC5">
      <w:pPr>
        <w:pStyle w:val="ad"/>
        <w:rPr>
          <w:sz w:val="18"/>
          <w:szCs w:val="18"/>
        </w:rPr>
      </w:pPr>
      <w:r w:rsidRPr="00E50DC5">
        <w:rPr>
          <w:rStyle w:val="ae"/>
          <w:sz w:val="18"/>
          <w:szCs w:val="18"/>
        </w:rPr>
        <w:endnoteRef/>
      </w:r>
      <w:r w:rsidRPr="00E50DC5">
        <w:rPr>
          <w:sz w:val="18"/>
          <w:szCs w:val="18"/>
        </w:rPr>
        <w:t>楊伯峻：《論語譯注》，67頁。</w:t>
      </w:r>
    </w:p>
  </w:endnote>
  <w:endnote w:id="115">
    <w:p w14:paraId="57E69582" w14:textId="5CC167A8" w:rsidR="009F4F5A" w:rsidRPr="00E50DC5" w:rsidRDefault="009F4F5A" w:rsidP="00E50DC5">
      <w:pPr>
        <w:pStyle w:val="ad"/>
        <w:rPr>
          <w:sz w:val="18"/>
          <w:szCs w:val="18"/>
        </w:rPr>
      </w:pPr>
      <w:r w:rsidRPr="00E50DC5">
        <w:rPr>
          <w:rStyle w:val="ae"/>
          <w:sz w:val="18"/>
          <w:szCs w:val="18"/>
        </w:rPr>
        <w:endnoteRef/>
      </w:r>
      <w:r w:rsidRPr="00E50DC5">
        <w:rPr>
          <w:sz w:val="18"/>
          <w:szCs w:val="18"/>
        </w:rPr>
        <w:t>（清）阮元校刻：《十三經注疏·春秋左傳正義》，3760頁。</w:t>
      </w:r>
    </w:p>
  </w:endnote>
  <w:endnote w:id="116">
    <w:p w14:paraId="35F7B4FE" w14:textId="02B27F36" w:rsidR="009F4F5A" w:rsidRPr="00E50DC5" w:rsidRDefault="009F4F5A" w:rsidP="00E50DC5">
      <w:pPr>
        <w:pStyle w:val="ad"/>
        <w:rPr>
          <w:sz w:val="18"/>
          <w:szCs w:val="18"/>
        </w:rPr>
      </w:pPr>
      <w:r w:rsidRPr="00E50DC5">
        <w:rPr>
          <w:rStyle w:val="ae"/>
          <w:sz w:val="18"/>
          <w:szCs w:val="18"/>
        </w:rPr>
        <w:endnoteRef/>
      </w:r>
      <w:r w:rsidRPr="00E50DC5">
        <w:rPr>
          <w:sz w:val="18"/>
          <w:szCs w:val="18"/>
        </w:rPr>
        <w:t>［日］竹添光鴻著，于景祥、柳海松整理：《左傳會箋》，21頁。</w:t>
      </w:r>
    </w:p>
  </w:endnote>
  <w:endnote w:id="117">
    <w:p w14:paraId="04D9BA6D" w14:textId="14C6F2AB" w:rsidR="009F4F5A" w:rsidRPr="00E50DC5" w:rsidRDefault="009F4F5A" w:rsidP="00E50DC5">
      <w:pPr>
        <w:pStyle w:val="ad"/>
        <w:rPr>
          <w:sz w:val="18"/>
          <w:szCs w:val="18"/>
        </w:rPr>
      </w:pPr>
      <w:r w:rsidRPr="00E50DC5">
        <w:rPr>
          <w:rStyle w:val="ae"/>
          <w:sz w:val="18"/>
          <w:szCs w:val="18"/>
        </w:rPr>
        <w:endnoteRef/>
      </w:r>
      <w:r w:rsidRPr="00E50DC5">
        <w:rPr>
          <w:sz w:val="18"/>
          <w:szCs w:val="18"/>
        </w:rPr>
        <w:t>楊伯峻：《春秋左傳注》，中華書局，1990年，50—51頁。</w:t>
      </w:r>
    </w:p>
  </w:endnote>
  <w:endnote w:id="118">
    <w:p w14:paraId="0576AD4A" w14:textId="2F583881" w:rsidR="009F4F5A" w:rsidRPr="00E50DC5" w:rsidRDefault="009F4F5A" w:rsidP="00E50DC5">
      <w:pPr>
        <w:pStyle w:val="ad"/>
        <w:rPr>
          <w:sz w:val="18"/>
          <w:szCs w:val="18"/>
        </w:rPr>
      </w:pPr>
      <w:r w:rsidRPr="00E50DC5">
        <w:rPr>
          <w:rStyle w:val="ae"/>
          <w:sz w:val="18"/>
          <w:szCs w:val="18"/>
        </w:rPr>
        <w:endnoteRef/>
      </w:r>
      <w:r w:rsidRPr="00E50DC5">
        <w:rPr>
          <w:sz w:val="18"/>
          <w:szCs w:val="18"/>
        </w:rPr>
        <w:t>高亨：《詩經今注》，上海古籍出版社，1980年，424頁。</w:t>
      </w:r>
    </w:p>
  </w:endnote>
  <w:endnote w:id="119">
    <w:p w14:paraId="02D044C2" w14:textId="667C880D" w:rsidR="009F4F5A" w:rsidRPr="00E50DC5" w:rsidRDefault="009F4F5A" w:rsidP="00E50DC5">
      <w:pPr>
        <w:pStyle w:val="ad"/>
        <w:rPr>
          <w:sz w:val="18"/>
          <w:szCs w:val="18"/>
        </w:rPr>
      </w:pPr>
      <w:r w:rsidRPr="00E50DC5">
        <w:rPr>
          <w:rStyle w:val="ae"/>
          <w:sz w:val="18"/>
          <w:szCs w:val="18"/>
        </w:rPr>
        <w:endnoteRef/>
      </w:r>
      <w:r w:rsidRPr="00E50DC5">
        <w:rPr>
          <w:sz w:val="18"/>
          <w:szCs w:val="18"/>
        </w:rPr>
        <w:t>（清）阮元校刻：《十三經注疏·毛詩正義》，1184頁。</w:t>
      </w:r>
    </w:p>
  </w:endnote>
  <w:endnote w:id="120">
    <w:p w14:paraId="28AB7309" w14:textId="527C36BC" w:rsidR="009F4F5A" w:rsidRPr="00E50DC5" w:rsidRDefault="009F4F5A" w:rsidP="00E50DC5">
      <w:pPr>
        <w:pStyle w:val="ad"/>
        <w:rPr>
          <w:sz w:val="18"/>
          <w:szCs w:val="18"/>
        </w:rPr>
      </w:pPr>
      <w:r w:rsidRPr="00E50DC5">
        <w:rPr>
          <w:rStyle w:val="ae"/>
          <w:sz w:val="18"/>
          <w:szCs w:val="18"/>
        </w:rPr>
        <w:endnoteRef/>
      </w:r>
      <w:r w:rsidRPr="00E50DC5">
        <w:rPr>
          <w:sz w:val="18"/>
          <w:szCs w:val="18"/>
        </w:rPr>
        <w:t>《論語·堯曰》篇在我們所引的兩句下尚有“雖有周親，不如仁人。百姓有過，在予一人”四句，所言皆爲周事，但前二句與後四句一般都認爲各有不同來源，這應該是對的。從用韻看，一二兩句叶韻，用之部去聲韻，後四句一、二、四句叶韻，用真部平聲韻，似也可證明這一點。所以，解釋此二句時不必與第三、四句牽合。</w:t>
      </w:r>
    </w:p>
  </w:endnote>
  <w:endnote w:id="121">
    <w:p w14:paraId="5FF229AF" w14:textId="024CA63D" w:rsidR="009F4F5A" w:rsidRPr="00E50DC5" w:rsidRDefault="009F4F5A" w:rsidP="00E50DC5">
      <w:pPr>
        <w:pStyle w:val="ad"/>
        <w:rPr>
          <w:sz w:val="18"/>
          <w:szCs w:val="18"/>
        </w:rPr>
      </w:pPr>
      <w:r w:rsidRPr="00E50DC5">
        <w:rPr>
          <w:rStyle w:val="ae"/>
          <w:sz w:val="18"/>
          <w:szCs w:val="18"/>
        </w:rPr>
        <w:endnoteRef/>
      </w:r>
      <w:r w:rsidRPr="00E50DC5">
        <w:rPr>
          <w:sz w:val="18"/>
          <w:szCs w:val="18"/>
        </w:rPr>
        <w:t>（宋）朱熹：《四書章句集注·論語集注》，962—963頁。</w:t>
      </w:r>
    </w:p>
  </w:endnote>
  <w:endnote w:id="122">
    <w:p w14:paraId="5F141434" w14:textId="519220C4" w:rsidR="009F4F5A" w:rsidRPr="00E50DC5" w:rsidRDefault="009F4F5A" w:rsidP="00E50DC5">
      <w:pPr>
        <w:pStyle w:val="ad"/>
        <w:rPr>
          <w:sz w:val="18"/>
          <w:szCs w:val="18"/>
        </w:rPr>
      </w:pPr>
      <w:r w:rsidRPr="00E50DC5">
        <w:rPr>
          <w:rStyle w:val="ae"/>
          <w:sz w:val="18"/>
          <w:szCs w:val="18"/>
        </w:rPr>
        <w:endnoteRef/>
      </w:r>
      <w:r w:rsidRPr="00E50DC5">
        <w:rPr>
          <w:sz w:val="18"/>
          <w:szCs w:val="18"/>
        </w:rPr>
        <w:t>參看程樹德：《論語集釋》，中華書局，1990年，875頁。</w:t>
      </w:r>
    </w:p>
  </w:endnote>
  <w:endnote w:id="123">
    <w:p w14:paraId="3FF2EFB2" w14:textId="6DFFD84B" w:rsidR="009F4F5A" w:rsidRPr="00E50DC5" w:rsidRDefault="009F4F5A" w:rsidP="00E50DC5">
      <w:pPr>
        <w:pStyle w:val="ad"/>
        <w:rPr>
          <w:sz w:val="18"/>
          <w:szCs w:val="18"/>
        </w:rPr>
      </w:pPr>
      <w:r w:rsidRPr="00E50DC5">
        <w:rPr>
          <w:rStyle w:val="ae"/>
          <w:sz w:val="18"/>
          <w:szCs w:val="18"/>
        </w:rPr>
        <w:endnoteRef/>
      </w:r>
      <w:r w:rsidRPr="00E50DC5">
        <w:rPr>
          <w:sz w:val="18"/>
          <w:szCs w:val="18"/>
        </w:rPr>
        <w:t>徐元誥集解，王樹民、沈長雲點校：《國語集解》，中華書局，2002年，327頁。</w:t>
      </w:r>
    </w:p>
  </w:endnote>
  <w:endnote w:id="124">
    <w:p w14:paraId="7E9A49A9" w14:textId="0B19A4F8" w:rsidR="009F4F5A" w:rsidRPr="00E50DC5" w:rsidRDefault="009F4F5A" w:rsidP="00E50DC5">
      <w:pPr>
        <w:pStyle w:val="ad"/>
        <w:rPr>
          <w:sz w:val="18"/>
          <w:szCs w:val="18"/>
          <w:lang w:eastAsia="zh-TW"/>
        </w:rPr>
      </w:pPr>
      <w:r w:rsidRPr="00E50DC5">
        <w:rPr>
          <w:rStyle w:val="ae"/>
          <w:sz w:val="18"/>
          <w:szCs w:val="18"/>
        </w:rPr>
        <w:endnoteRef/>
      </w:r>
      <w:r w:rsidRPr="00E50DC5">
        <w:rPr>
          <w:sz w:val="18"/>
          <w:szCs w:val="18"/>
        </w:rPr>
        <w:t>參看程樹德：《論語集釋》，488頁。但程樹德承何晏《集解》之説似認爲“善人”主要指國君，則是不妥當的。</w:t>
      </w:r>
    </w:p>
  </w:endnote>
  <w:endnote w:id="125">
    <w:p w14:paraId="6272E7CF" w14:textId="71DA6AF9" w:rsidR="009F4F5A" w:rsidRPr="00E50DC5" w:rsidRDefault="009F4F5A" w:rsidP="00E50DC5">
      <w:pPr>
        <w:pStyle w:val="ad"/>
        <w:rPr>
          <w:sz w:val="18"/>
          <w:szCs w:val="18"/>
        </w:rPr>
      </w:pPr>
      <w:r w:rsidRPr="00E50DC5">
        <w:rPr>
          <w:rStyle w:val="ae"/>
          <w:sz w:val="18"/>
          <w:szCs w:val="18"/>
        </w:rPr>
        <w:endnoteRef/>
      </w:r>
      <w:r w:rsidRPr="00E50DC5">
        <w:rPr>
          <w:sz w:val="18"/>
          <w:szCs w:val="18"/>
        </w:rPr>
        <w:t>（梁）皇侃撰，高尚榘校點：《論語義疏》，中華書局，2013年，282頁。</w:t>
      </w:r>
    </w:p>
  </w:endnote>
  <w:endnote w:id="126">
    <w:p w14:paraId="20A9C43D" w14:textId="6346CB17" w:rsidR="009F4F5A" w:rsidRPr="00E50DC5" w:rsidRDefault="009F4F5A" w:rsidP="00E50DC5">
      <w:pPr>
        <w:pStyle w:val="ad"/>
        <w:rPr>
          <w:sz w:val="18"/>
          <w:szCs w:val="18"/>
        </w:rPr>
      </w:pPr>
      <w:r w:rsidRPr="00E50DC5">
        <w:rPr>
          <w:rStyle w:val="ae"/>
          <w:sz w:val="18"/>
          <w:szCs w:val="18"/>
        </w:rPr>
        <w:endnoteRef/>
      </w:r>
      <w:r w:rsidRPr="00E50DC5">
        <w:rPr>
          <w:sz w:val="18"/>
          <w:szCs w:val="18"/>
        </w:rPr>
        <w:t>關於“君子”詞義的演變，參看顧頡剛：《春秋時的孔子和漢代的孔子》、蕭公權：《中國政治思想史》（1945年商務印書館初版，新星出版社2005年增訂版，47頁）、葛志毅：《〈左傳〉“君子曰”與儒家君子之學》（《河北學刊》，2010年第6期，27頁）、張毅：《論〈左傳〉史料系統與先秦君子問題——〈左傳〉“君子”用法詳析》（《北京社會科學》，2016年第12期，113—117頁）。</w:t>
      </w:r>
    </w:p>
  </w:endnote>
  <w:endnote w:id="127">
    <w:p w14:paraId="6ABEAD57" w14:textId="2DEA1C48" w:rsidR="009F4F5A" w:rsidRPr="00E50DC5" w:rsidRDefault="009F4F5A" w:rsidP="00E50DC5">
      <w:pPr>
        <w:pStyle w:val="ad"/>
        <w:rPr>
          <w:sz w:val="18"/>
          <w:szCs w:val="18"/>
        </w:rPr>
      </w:pPr>
      <w:r w:rsidRPr="00E50DC5">
        <w:rPr>
          <w:rStyle w:val="ae"/>
          <w:sz w:val="18"/>
          <w:szCs w:val="18"/>
        </w:rPr>
        <w:endnoteRef/>
      </w:r>
      <w:r w:rsidRPr="00E50DC5">
        <w:rPr>
          <w:sz w:val="18"/>
          <w:szCs w:val="18"/>
        </w:rPr>
        <w:t>參看顧頡剛：《春秋時的孔子和漢代的孔子》、《聖、賢觀念和字義的演變》。</w:t>
      </w:r>
    </w:p>
  </w:endnote>
  <w:endnote w:id="128">
    <w:p w14:paraId="0C834AF0" w14:textId="094BB15A" w:rsidR="009F4F5A" w:rsidRPr="00E50DC5" w:rsidRDefault="009F4F5A" w:rsidP="00E50DC5">
      <w:pPr>
        <w:pStyle w:val="ad"/>
        <w:rPr>
          <w:sz w:val="18"/>
          <w:szCs w:val="18"/>
        </w:rPr>
      </w:pPr>
      <w:r w:rsidRPr="00E50DC5">
        <w:rPr>
          <w:rStyle w:val="ae"/>
          <w:sz w:val="18"/>
          <w:szCs w:val="18"/>
        </w:rPr>
        <w:endnoteRef/>
      </w:r>
      <w:r w:rsidRPr="00E50DC5">
        <w:rPr>
          <w:sz w:val="18"/>
          <w:szCs w:val="18"/>
        </w:rPr>
        <w:t>張毅：《論〈左傳〉史料系統與先秦君子問題——〈左傳〉“君子”用法詳析》，116頁。</w:t>
      </w:r>
    </w:p>
  </w:endnote>
  <w:endnote w:id="129">
    <w:p w14:paraId="4AFD47EB" w14:textId="37DF9034" w:rsidR="009F4F5A" w:rsidRPr="00E50DC5" w:rsidRDefault="009F4F5A" w:rsidP="00E50DC5">
      <w:pPr>
        <w:pStyle w:val="ad"/>
        <w:rPr>
          <w:sz w:val="18"/>
          <w:szCs w:val="18"/>
        </w:rPr>
      </w:pPr>
      <w:r w:rsidRPr="00E50DC5">
        <w:rPr>
          <w:rStyle w:val="ae"/>
          <w:sz w:val="18"/>
          <w:szCs w:val="18"/>
        </w:rPr>
        <w:endnoteRef/>
      </w:r>
      <w:r w:rsidRPr="00E50DC5">
        <w:rPr>
          <w:sz w:val="18"/>
          <w:szCs w:val="18"/>
        </w:rPr>
        <w:t>清代閻若璩已言此意，見閻若璩撰，黃懷信、吕翊欣校點：《尚書古文疏證》，上海古籍出版社，2010年，655—656頁。</w:t>
      </w:r>
    </w:p>
  </w:endnote>
  <w:endnote w:id="130">
    <w:p w14:paraId="4C54DCD7" w14:textId="5D6860A6" w:rsidR="009F4F5A" w:rsidRPr="00E50DC5" w:rsidRDefault="009F4F5A" w:rsidP="00E50DC5">
      <w:pPr>
        <w:pStyle w:val="ad"/>
        <w:rPr>
          <w:sz w:val="18"/>
          <w:szCs w:val="18"/>
        </w:rPr>
      </w:pPr>
      <w:r w:rsidRPr="00E50DC5">
        <w:rPr>
          <w:rStyle w:val="ae"/>
          <w:sz w:val="18"/>
          <w:szCs w:val="18"/>
        </w:rPr>
        <w:endnoteRef/>
      </w:r>
      <w:r w:rsidRPr="00E50DC5">
        <w:rPr>
          <w:sz w:val="18"/>
          <w:szCs w:val="18"/>
        </w:rPr>
        <w:t>上引《左傳·昭公七年》文中的“聖人”，《史記·孔子世家》、《左傳》服虔注、王肅《孔子家語·觀周》注、《左傳》杜預注皆以爲指商湯，把“聖人有明德者，若不當世，其後必有達人”曲解爲“聖人之後，雖不當世，必有達者”（《史記·孔子世家》）或“聖人之後，若不當世，則必有明德而達者焉”（《孔子家語·觀周》）。據《左傳》原文，“聖人有明德者”顯然應該指弗父何、正考父。關於這一點，王引之在《經義述聞·春秋左傳下·聖人之後聖人有明德者》中已有明辨（第三册1110—1111頁）。王氏文中還説：“聖爲明德之通稱，不專指大聖（引者按：所謂大聖，應指堯舜至周文王等古聖王）。弗父之讓，考父之共，其有明德如是，得不謂之聖人乎？固不必商湯而後爲聖也。”王氏在上引一段文字之前還説：“聖人即是有明德者，古人自有複語耳。襄二十四年《傳》‘僑聞君子長國家者’，君子即是長國家者也。”（引者按：此段見於小字注文）王氏指出古書中的“聖”“不專指大聖”是正確的，但認爲“聖”就是“明德之通稱”，“聖人有明德者”與“君子長國家者”一樣都是同義“複語”，則是有問題的。王氏在“聖爲明德之通稱，不專指大聖”句下的小字注文中先舉了“聖”字的十一條用例，以説明“聖爲明德之通稱”，接著又引了《左傳·襄公二十二年》“臧武仲如晋，雨，過御叔。御叔在其邑，將飲酒，曰：焉用聖人”之文的《正義》：“《周禮·大司徒》‘以鄉三物教萬民，一曰六德，知仁聖義中和’鄭玄云‘聖，通而先識也’，《尚書·洪范》云‘睿作聖’者，通識之名（王氏在此文下略去了《正義》‘時人見其多知，故以聖人言之，非爲武仲實是大聖也’一句）。《尚書》又稱‘惟狂克念作聖，惟聖罔念作狂’，《詩》稱‘人之齊聖’‘皇父孔聖’‘母氏聖善’，皆非大聖也。”</w:t>
      </w:r>
    </w:p>
    <w:p w14:paraId="2B8ECBE4" w14:textId="6EA90C1A" w:rsidR="009F4F5A" w:rsidRPr="00E50DC5" w:rsidRDefault="009F4F5A" w:rsidP="00E50DC5">
      <w:pPr>
        <w:pStyle w:val="ad"/>
        <w:rPr>
          <w:sz w:val="18"/>
          <w:szCs w:val="18"/>
          <w:lang w:eastAsia="zh-TW"/>
        </w:rPr>
      </w:pPr>
      <w:r w:rsidRPr="00E50DC5">
        <w:rPr>
          <w:sz w:val="18"/>
          <w:szCs w:val="18"/>
        </w:rPr>
        <w:t>王氏和《左傳》正義所引之例，從我們今天的認識來看，其中的“聖”都應該當聰明通達一類意思來理解，並不能作爲有德之人可以通稱爲“聖”的證據，王氏和《左傳》正義作者無疑都尚不能認識到這一點。他們所舉用例中的有些“聖”字應理解爲聰明通達一類意思是很明顯的，如《左傳·襄公二十二年》稱臧武仲爲“聖人”一例，王氏顯然因爲《周禮·大司徒》“六德”中除“仁”“義”等外還包括鄭玄注爲“明於事”的“知（智）”和注爲“通而先識”的“聖”，就認爲稱聰明通達之人爲聖人也在“聖人即是有明德者”的範圍之内。至於那些確實含義不够明顯的“聖”，當然就被王氏誤解爲指仁義等一般的“德”了，他説“弗父之讓，考父之共，其有明德如是，得不謂之聖人乎”，其實是以被他誤解的一些“聖”字用例爲依據的。王氏没有解釋“明德”的“明”字，從他的有關論述來看，他只是囿於《左傳·昭公七年》“聖人有明德者”的原文而不得不用“明德”來表示一般的“德”的意義。王氏認爲“聖人有明德者”與“君子長國家者”一樣都是同義“複語”，也是不正確的。據《左傳·襄公二十四年》文，所謂“長國家者”指國家的主要執政者，“君子長國家者”猶言“君子之長國家者”，在一般情況下，“君子”與“長國家者”的意義並不相同。“聖人有明德者”猶言“聖人之有明德者”，“聖人”和“有明德者”不能視爲同義“複語”。總之，王氏關於“聖人有明德者”的意見是不能接受的。顧頡剛晚年根據王煦華代作稿修改而成的《聖、賢觀念和字義的演變》對《左傳·昭公七年》“聖人有明德者”的解釋襲用了王引之的意見（《顧頡剛全集1·顧頡剛古史論文集》，630頁），不妥。</w:t>
      </w:r>
    </w:p>
  </w:endnote>
  <w:endnote w:id="131">
    <w:p w14:paraId="6D947B90" w14:textId="183BE359" w:rsidR="009F4F5A" w:rsidRPr="00E50DC5" w:rsidRDefault="009F4F5A" w:rsidP="00E50DC5">
      <w:pPr>
        <w:pStyle w:val="ad"/>
        <w:rPr>
          <w:sz w:val="18"/>
          <w:szCs w:val="18"/>
        </w:rPr>
      </w:pPr>
      <w:r w:rsidRPr="00E50DC5">
        <w:rPr>
          <w:rStyle w:val="ae"/>
          <w:sz w:val="18"/>
          <w:szCs w:val="18"/>
        </w:rPr>
        <w:endnoteRef/>
      </w:r>
      <w:r w:rsidRPr="00E50DC5">
        <w:rPr>
          <w:sz w:val="18"/>
          <w:szCs w:val="18"/>
        </w:rPr>
        <w:t>參看拙文《説〈老子〉中的“無爲”和“爲”》，《中華文史論叢》，2019年第4期，28—31頁。</w:t>
      </w:r>
    </w:p>
  </w:endnote>
  <w:endnote w:id="132">
    <w:p w14:paraId="7901BF85" w14:textId="4C8D88F9" w:rsidR="009F4F5A" w:rsidRPr="00E50DC5" w:rsidRDefault="009F4F5A" w:rsidP="00E50DC5">
      <w:pPr>
        <w:pStyle w:val="ad"/>
        <w:rPr>
          <w:sz w:val="18"/>
          <w:szCs w:val="18"/>
          <w:lang w:eastAsia="zh-TW"/>
        </w:rPr>
      </w:pPr>
      <w:r w:rsidRPr="00E50DC5">
        <w:rPr>
          <w:rStyle w:val="ae"/>
          <w:sz w:val="18"/>
          <w:szCs w:val="18"/>
        </w:rPr>
        <w:endnoteRef/>
      </w:r>
      <w:r w:rsidRPr="00E50DC5">
        <w:rPr>
          <w:sz w:val="18"/>
          <w:szCs w:val="18"/>
        </w:rPr>
        <w:t>《莊子·天下》“以巨子爲聖人。皆願爲之尸，冀得爲其後世”，參看馮友蘭：《中國哲學史》，商務印書館，1944年，113—114頁。</w:t>
      </w:r>
    </w:p>
  </w:endnote>
  <w:endnote w:id="133">
    <w:p w14:paraId="30DB3A9F" w14:textId="6CCCA8C6" w:rsidR="009F4F5A" w:rsidRPr="00E50DC5" w:rsidRDefault="009F4F5A" w:rsidP="00E50DC5">
      <w:pPr>
        <w:pStyle w:val="ad"/>
        <w:rPr>
          <w:sz w:val="18"/>
          <w:szCs w:val="18"/>
        </w:rPr>
      </w:pPr>
      <w:r w:rsidRPr="00E50DC5">
        <w:rPr>
          <w:rStyle w:val="ae"/>
          <w:sz w:val="18"/>
          <w:szCs w:val="18"/>
        </w:rPr>
        <w:endnoteRef/>
      </w:r>
      <w:r w:rsidRPr="00E50DC5">
        <w:rPr>
          <w:sz w:val="18"/>
          <w:szCs w:val="18"/>
        </w:rPr>
        <w:t>亦見馬王堆帛書，但帛書《五行》的文字除見於郭店簡《五行》者外，尚有對此文進行解説的部分，研究者多稱前者爲“經”，後者爲“説”。</w:t>
      </w:r>
    </w:p>
  </w:endnote>
  <w:endnote w:id="134">
    <w:p w14:paraId="6394392E" w14:textId="0273987D" w:rsidR="009F4F5A" w:rsidRPr="00E50DC5" w:rsidRDefault="009F4F5A" w:rsidP="00E50DC5">
      <w:pPr>
        <w:pStyle w:val="ad"/>
        <w:rPr>
          <w:sz w:val="18"/>
          <w:szCs w:val="18"/>
        </w:rPr>
      </w:pPr>
      <w:r w:rsidRPr="00E50DC5">
        <w:rPr>
          <w:rStyle w:val="ae"/>
          <w:sz w:val="18"/>
          <w:szCs w:val="18"/>
        </w:rPr>
        <w:endnoteRef/>
      </w:r>
      <w:r w:rsidRPr="00E50DC5">
        <w:rPr>
          <w:sz w:val="18"/>
          <w:szCs w:val="18"/>
        </w:rPr>
        <w:t>（宋）朱熹：《四書章句集注•孟子集注》，370頁。</w:t>
      </w:r>
    </w:p>
  </w:endnote>
  <w:endnote w:id="135">
    <w:p w14:paraId="4481CB78" w14:textId="27AD9DE5" w:rsidR="009F4F5A" w:rsidRPr="00E50DC5" w:rsidRDefault="009F4F5A" w:rsidP="00E50DC5">
      <w:pPr>
        <w:pStyle w:val="ad"/>
        <w:rPr>
          <w:sz w:val="18"/>
          <w:szCs w:val="18"/>
        </w:rPr>
      </w:pPr>
      <w:r w:rsidRPr="00E50DC5">
        <w:rPr>
          <w:rStyle w:val="ae"/>
          <w:sz w:val="18"/>
          <w:szCs w:val="18"/>
        </w:rPr>
        <w:endnoteRef/>
      </w:r>
      <w:r w:rsidRPr="00E50DC5">
        <w:rPr>
          <w:sz w:val="18"/>
          <w:szCs w:val="18"/>
        </w:rPr>
        <w:t>（宋）朱熹：《四書章句集注•孟子集注》，351頁。</w:t>
      </w:r>
    </w:p>
  </w:endnote>
  <w:endnote w:id="136">
    <w:p w14:paraId="304ED568" w14:textId="4A8F33A8" w:rsidR="009F4F5A" w:rsidRPr="00E50DC5" w:rsidRDefault="009F4F5A" w:rsidP="00E50DC5">
      <w:pPr>
        <w:pStyle w:val="ad"/>
        <w:rPr>
          <w:sz w:val="18"/>
          <w:szCs w:val="18"/>
          <w:lang w:eastAsia="zh-TW"/>
        </w:rPr>
      </w:pPr>
      <w:r w:rsidRPr="00E50DC5">
        <w:rPr>
          <w:rStyle w:val="ae"/>
          <w:sz w:val="18"/>
          <w:szCs w:val="18"/>
        </w:rPr>
        <w:endnoteRef/>
      </w:r>
      <w:r w:rsidRPr="00E50DC5">
        <w:rPr>
          <w:sz w:val="18"/>
          <w:szCs w:val="18"/>
        </w:rPr>
        <w:t>趙岐在“古之賢王好善而忘勢”句下注：“樂善而自卑，若高宗得傅説而稟命。”［（清）阮元校刻：《十三經注疏·孟子注疏》，中華書局，2009年，6016頁］他對所注之文意義的理解顯然是正確的，但用高宗稟命於傅説作爲“賢王好善而忘勢”的實例，則是不妥當的。趙岐之時《説命》篇已亡佚，他只能見到《書序》中的《説命序》，此序説：“高宗夢得説，使百工營求諸野，得諸傅巖，作《説命》三篇。”作《説命》三篇的主事者應該就是高宗（武丁），趙岐蓋誤解《書序》之意認爲高宗得傅説後，傅説作《説命》三篇。與趙岐同時的鄭玄，從其《禮記注》看，也犯了同樣的錯誤。這大概跟《禮記》的《緇衣》《文王世子》等篇所引的《説命》之文看起來很像是傅説告誡武丁的話有關。從清華簡《傅説之命》三篇看，全篇中只有高宗武丁命傅説之言，而無傅説命王之言，趙岐“稟命”之説是錯誤的。參看《〈中國古典學的重建叢書〉序》，見裘錫圭：《老子今研》，中西書局，2021年，23頁。</w:t>
      </w:r>
    </w:p>
  </w:endnote>
  <w:endnote w:id="137">
    <w:p w14:paraId="1BB08DD6" w14:textId="72BDA03A" w:rsidR="009F4F5A" w:rsidRPr="00E50DC5" w:rsidRDefault="009F4F5A" w:rsidP="00E50DC5">
      <w:pPr>
        <w:pStyle w:val="ad"/>
        <w:rPr>
          <w:sz w:val="18"/>
          <w:szCs w:val="18"/>
        </w:rPr>
      </w:pPr>
      <w:r w:rsidRPr="00E50DC5">
        <w:rPr>
          <w:rStyle w:val="ae"/>
          <w:sz w:val="18"/>
          <w:szCs w:val="18"/>
        </w:rPr>
        <w:endnoteRef/>
      </w:r>
      <w:r w:rsidRPr="00E50DC5">
        <w:rPr>
          <w:sz w:val="18"/>
          <w:szCs w:val="18"/>
        </w:rPr>
        <w:t>（清）焦循撰、沈文倬校點：《孟子正義》，中華書局，1987年，994頁。</w:t>
      </w:r>
    </w:p>
  </w:endnote>
  <w:endnote w:id="138">
    <w:p w14:paraId="6D1124DB" w14:textId="1C2AEB41" w:rsidR="009F4F5A" w:rsidRPr="00E50DC5" w:rsidRDefault="009F4F5A" w:rsidP="00E50DC5">
      <w:pPr>
        <w:pStyle w:val="ad"/>
        <w:rPr>
          <w:sz w:val="18"/>
          <w:szCs w:val="18"/>
        </w:rPr>
      </w:pPr>
      <w:r w:rsidRPr="00E50DC5">
        <w:rPr>
          <w:rStyle w:val="ae"/>
          <w:sz w:val="18"/>
          <w:szCs w:val="18"/>
        </w:rPr>
        <w:endnoteRef/>
      </w:r>
      <w:r w:rsidRPr="00E50DC5">
        <w:rPr>
          <w:sz w:val="18"/>
          <w:szCs w:val="18"/>
        </w:rPr>
        <w:t>黎翔鳳撰，梁運華整理：《管子校注》，中華書局，2004年，621頁。</w:t>
      </w:r>
    </w:p>
  </w:endnote>
  <w:endnote w:id="139">
    <w:p w14:paraId="631B2D7F" w14:textId="358FDA94" w:rsidR="009F4F5A" w:rsidRPr="00E50DC5" w:rsidRDefault="009F4F5A" w:rsidP="00E50DC5">
      <w:pPr>
        <w:pStyle w:val="ad"/>
        <w:rPr>
          <w:sz w:val="18"/>
          <w:szCs w:val="18"/>
        </w:rPr>
      </w:pPr>
      <w:r w:rsidRPr="00E50DC5">
        <w:rPr>
          <w:rStyle w:val="ae"/>
          <w:sz w:val="18"/>
          <w:szCs w:val="18"/>
        </w:rPr>
        <w:endnoteRef/>
      </w:r>
      <w:r w:rsidRPr="00E50DC5">
        <w:rPr>
          <w:sz w:val="18"/>
          <w:szCs w:val="18"/>
        </w:rPr>
        <w:t>李學勤主編：《清華大學藏戰國竹書》［柒］，中西書局，2017年，108頁注［九］。</w:t>
      </w:r>
    </w:p>
  </w:endnote>
  <w:endnote w:id="140">
    <w:p w14:paraId="7246D2A4" w14:textId="6AC141EB" w:rsidR="009F4F5A" w:rsidRPr="00E50DC5" w:rsidRDefault="009F4F5A" w:rsidP="00E50DC5">
      <w:pPr>
        <w:pStyle w:val="ad"/>
        <w:rPr>
          <w:sz w:val="18"/>
          <w:szCs w:val="18"/>
        </w:rPr>
      </w:pPr>
      <w:r w:rsidRPr="00E50DC5">
        <w:rPr>
          <w:rStyle w:val="ae"/>
          <w:sz w:val="18"/>
          <w:szCs w:val="18"/>
        </w:rPr>
        <w:endnoteRef/>
      </w:r>
      <w:r w:rsidRPr="00E50DC5">
        <w:rPr>
          <w:sz w:val="18"/>
          <w:szCs w:val="18"/>
        </w:rPr>
        <w:t>郭店簡項目《語叢一》釋文注釋未刊稿。</w:t>
      </w:r>
    </w:p>
  </w:endnote>
  <w:endnote w:id="141">
    <w:p w14:paraId="2437B5C7" w14:textId="130AD2A1" w:rsidR="009F4F5A" w:rsidRPr="00E50DC5" w:rsidRDefault="009F4F5A" w:rsidP="00E50DC5">
      <w:pPr>
        <w:pStyle w:val="ad"/>
        <w:rPr>
          <w:sz w:val="18"/>
          <w:szCs w:val="18"/>
        </w:rPr>
      </w:pPr>
      <w:r w:rsidRPr="00E50DC5">
        <w:rPr>
          <w:rStyle w:val="ae"/>
          <w:sz w:val="18"/>
          <w:szCs w:val="18"/>
        </w:rPr>
        <w:endnoteRef/>
      </w:r>
      <w:r w:rsidRPr="00E50DC5">
        <w:rPr>
          <w:sz w:val="18"/>
          <w:szCs w:val="18"/>
        </w:rPr>
        <w:t>黎翔鳳撰，梁運華整理：《管子校注》，624頁。</w:t>
      </w:r>
    </w:p>
  </w:endnote>
  <w:endnote w:id="142">
    <w:p w14:paraId="35A90557" w14:textId="213F2070" w:rsidR="009F4F5A" w:rsidRPr="00E50DC5" w:rsidRDefault="009F4F5A" w:rsidP="00E50DC5">
      <w:pPr>
        <w:pStyle w:val="ad"/>
        <w:rPr>
          <w:sz w:val="18"/>
          <w:szCs w:val="18"/>
        </w:rPr>
      </w:pPr>
      <w:r w:rsidRPr="00E50DC5">
        <w:rPr>
          <w:rStyle w:val="ae"/>
          <w:sz w:val="18"/>
          <w:szCs w:val="18"/>
        </w:rPr>
        <w:endnoteRef/>
      </w:r>
      <w:r w:rsidRPr="00E50DC5">
        <w:rPr>
          <w:rFonts w:cs="宋体" w:hint="eastAsia"/>
          <w:color w:val="000000"/>
          <w:kern w:val="0"/>
          <w:sz w:val="18"/>
          <w:szCs w:val="18"/>
          <w:lang w:eastAsia="zh-TW"/>
        </w:rPr>
        <w:t>今本《逸周書·皇門》“自其善臣以至有分私子”，清華簡本《皇門》“善臣”作“</w:t>
      </w:r>
      <w:r w:rsidRPr="00E50DC5">
        <w:rPr>
          <w:rFonts w:hint="eastAsia"/>
          <w:noProof/>
          <w:sz w:val="18"/>
          <w:szCs w:val="18"/>
        </w:rPr>
        <w:drawing>
          <wp:inline distT="0" distB="0" distL="0" distR="0" wp14:anchorId="51676823" wp14:editId="0712F2B1">
            <wp:extent cx="127000" cy="154940"/>
            <wp:effectExtent l="0" t="0" r="6350" b="0"/>
            <wp:docPr id="1746803982" name="图片 1746803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1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47392" cy="180231"/>
                    </a:xfrm>
                    <a:prstGeom prst="rect">
                      <a:avLst/>
                    </a:prstGeom>
                    <a:noFill/>
                    <a:ln>
                      <a:noFill/>
                    </a:ln>
                  </pic:spPr>
                </pic:pic>
              </a:graphicData>
            </a:graphic>
          </wp:inline>
        </w:drawing>
      </w:r>
      <w:r w:rsidRPr="00E50DC5">
        <w:rPr>
          <w:rFonts w:hint="eastAsia"/>
          <w:sz w:val="18"/>
          <w:szCs w:val="18"/>
          <w:lang w:eastAsia="zh-TW"/>
        </w:rPr>
        <w:t>（釐）臣</w:t>
      </w:r>
      <w:r w:rsidRPr="00E50DC5">
        <w:rPr>
          <w:rFonts w:cs="宋体" w:hint="eastAsia"/>
          <w:color w:val="000000"/>
          <w:kern w:val="0"/>
          <w:sz w:val="18"/>
          <w:szCs w:val="18"/>
          <w:lang w:eastAsia="zh-TW"/>
        </w:rPr>
        <w:t>”，今本恐不可信，“</w:t>
      </w:r>
      <w:r w:rsidRPr="00E50DC5">
        <w:rPr>
          <w:rFonts w:hint="eastAsia"/>
          <w:noProof/>
          <w:sz w:val="18"/>
          <w:szCs w:val="18"/>
        </w:rPr>
        <w:drawing>
          <wp:inline distT="0" distB="0" distL="0" distR="0" wp14:anchorId="7CF519F5" wp14:editId="61F1CBE8">
            <wp:extent cx="127000" cy="154940"/>
            <wp:effectExtent l="0" t="0" r="6350" b="0"/>
            <wp:docPr id="997595129" name="图片 997595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 name="图片 46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47392" cy="180231"/>
                    </a:xfrm>
                    <a:prstGeom prst="rect">
                      <a:avLst/>
                    </a:prstGeom>
                    <a:noFill/>
                    <a:ln>
                      <a:noFill/>
                    </a:ln>
                  </pic:spPr>
                </pic:pic>
              </a:graphicData>
            </a:graphic>
          </wp:inline>
        </w:drawing>
      </w:r>
      <w:r w:rsidRPr="00E50DC5">
        <w:rPr>
          <w:rFonts w:hint="eastAsia"/>
          <w:sz w:val="18"/>
          <w:szCs w:val="18"/>
          <w:lang w:eastAsia="zh-TW"/>
        </w:rPr>
        <w:t>（釐）臣”之義</w:t>
      </w:r>
      <w:r w:rsidRPr="00E50DC5">
        <w:rPr>
          <w:rFonts w:cs="宋体" w:hint="eastAsia"/>
          <w:color w:val="000000"/>
          <w:kern w:val="0"/>
          <w:sz w:val="18"/>
          <w:szCs w:val="18"/>
          <w:lang w:eastAsia="zh-TW"/>
        </w:rPr>
        <w:t>待考。</w:t>
      </w:r>
    </w:p>
  </w:endnote>
  <w:endnote w:id="143">
    <w:p w14:paraId="3D2E2467" w14:textId="0DCC3A23" w:rsidR="009F4F5A" w:rsidRPr="00E50DC5" w:rsidRDefault="009F4F5A" w:rsidP="00E50DC5">
      <w:pPr>
        <w:pStyle w:val="ad"/>
        <w:rPr>
          <w:sz w:val="18"/>
          <w:szCs w:val="18"/>
        </w:rPr>
      </w:pPr>
      <w:r w:rsidRPr="00E50DC5">
        <w:rPr>
          <w:rStyle w:val="ae"/>
          <w:sz w:val="18"/>
          <w:szCs w:val="18"/>
        </w:rPr>
        <w:endnoteRef/>
      </w:r>
      <w:r w:rsidRPr="00E50DC5">
        <w:rPr>
          <w:sz w:val="18"/>
          <w:szCs w:val="18"/>
        </w:rPr>
        <w:t>參看張毅：《論〈左傳〉史料系統與先秦君子問題——〈左傳〉“君子”用法詳析》，108、111—113頁。</w:t>
      </w:r>
    </w:p>
  </w:endnote>
  <w:endnote w:id="144">
    <w:p w14:paraId="5454DAEB" w14:textId="6EDF1532" w:rsidR="009F4F5A" w:rsidRPr="00E50DC5" w:rsidRDefault="009F4F5A" w:rsidP="00E50DC5">
      <w:pPr>
        <w:pStyle w:val="ad"/>
        <w:rPr>
          <w:sz w:val="18"/>
          <w:szCs w:val="18"/>
          <w:lang w:eastAsia="zh-TW"/>
        </w:rPr>
      </w:pPr>
      <w:r w:rsidRPr="00E50DC5">
        <w:rPr>
          <w:rStyle w:val="ae"/>
          <w:sz w:val="18"/>
          <w:szCs w:val="18"/>
        </w:rPr>
        <w:endnoteRef/>
      </w:r>
      <w:r w:rsidRPr="00E50DC5">
        <w:rPr>
          <w:sz w:val="18"/>
          <w:szCs w:val="18"/>
        </w:rPr>
        <w:t>參看顧頡剛：《聖、賢觀念和字義的演變》。但此文對“聖人”觀念演變過程的看法，我們並不完全同意，觀本文自明。</w:t>
      </w:r>
    </w:p>
  </w:endnote>
  <w:endnote w:id="145">
    <w:p w14:paraId="40B6E708" w14:textId="7F3D201D" w:rsidR="009F4F5A" w:rsidRPr="00E50DC5" w:rsidRDefault="009F4F5A" w:rsidP="00E50DC5">
      <w:pPr>
        <w:pStyle w:val="ad"/>
        <w:rPr>
          <w:sz w:val="18"/>
          <w:szCs w:val="18"/>
        </w:rPr>
      </w:pPr>
      <w:r w:rsidRPr="00E50DC5">
        <w:rPr>
          <w:rStyle w:val="ae"/>
          <w:sz w:val="18"/>
          <w:szCs w:val="18"/>
        </w:rPr>
        <w:endnoteRef/>
      </w:r>
      <w:r w:rsidRPr="00E50DC5">
        <w:rPr>
          <w:sz w:val="18"/>
          <w:szCs w:val="18"/>
        </w:rPr>
        <w:t>（清）阮元校刻：《十三經注疏·春秋左傳正義》，4355頁。</w:t>
      </w:r>
    </w:p>
  </w:endnote>
  <w:endnote w:id="146">
    <w:p w14:paraId="53E9D9DD" w14:textId="6705E99A" w:rsidR="009F4F5A" w:rsidRPr="00E50DC5" w:rsidRDefault="009F4F5A" w:rsidP="00E50DC5">
      <w:pPr>
        <w:pStyle w:val="ad"/>
        <w:rPr>
          <w:sz w:val="18"/>
          <w:szCs w:val="18"/>
          <w:lang w:eastAsia="zh-TW"/>
        </w:rPr>
      </w:pPr>
      <w:r w:rsidRPr="00E50DC5">
        <w:rPr>
          <w:rStyle w:val="ae"/>
          <w:sz w:val="18"/>
          <w:szCs w:val="18"/>
        </w:rPr>
        <w:endnoteRef/>
      </w:r>
      <w:r w:rsidRPr="00E50DC5">
        <w:rPr>
          <w:sz w:val="18"/>
          <w:szCs w:val="18"/>
        </w:rPr>
        <w:t>黃德寬主編：《清華大學藏戰國竹書（玖）》，中西書局，2019年，125頁。賈連翔《從〈治邦之道〉〈治政之道〉看戰國竹書“同篇異制”現象》（《清華大學學報》(哲學社會科學版)，2020年第1期，43—47頁）對這兩篇的簡序有所調整。</w:t>
      </w:r>
    </w:p>
  </w:endnote>
  <w:endnote w:id="147">
    <w:p w14:paraId="07E6BD27" w14:textId="68DF9687" w:rsidR="009F4F5A" w:rsidRPr="00E50DC5" w:rsidRDefault="009F4F5A" w:rsidP="00E50DC5">
      <w:pPr>
        <w:pStyle w:val="ad"/>
        <w:rPr>
          <w:sz w:val="18"/>
          <w:szCs w:val="18"/>
        </w:rPr>
      </w:pPr>
      <w:r w:rsidRPr="00E50DC5">
        <w:rPr>
          <w:rStyle w:val="ae"/>
          <w:sz w:val="18"/>
          <w:szCs w:val="18"/>
        </w:rPr>
        <w:endnoteRef/>
      </w:r>
      <w:r w:rsidRPr="00E50DC5">
        <w:rPr>
          <w:sz w:val="18"/>
          <w:szCs w:val="18"/>
        </w:rPr>
        <w:t>參看李守奎：《清華簡〈治政之道〉的治政理念與文本的幾個問題》，《文物》2019年第9期，44—49頁。</w:t>
      </w:r>
    </w:p>
  </w:endnote>
  <w:endnote w:id="148">
    <w:p w14:paraId="4823794C" w14:textId="649EB439" w:rsidR="009F4F5A" w:rsidRPr="00E50DC5" w:rsidRDefault="009F4F5A" w:rsidP="00E50DC5">
      <w:pPr>
        <w:pStyle w:val="ad"/>
        <w:rPr>
          <w:sz w:val="18"/>
          <w:szCs w:val="18"/>
        </w:rPr>
      </w:pPr>
      <w:r w:rsidRPr="00E50DC5">
        <w:rPr>
          <w:rStyle w:val="ae"/>
          <w:sz w:val="18"/>
          <w:szCs w:val="18"/>
        </w:rPr>
        <w:endnoteRef/>
      </w:r>
      <w:r w:rsidRPr="00E50DC5">
        <w:rPr>
          <w:sz w:val="18"/>
          <w:szCs w:val="18"/>
        </w:rPr>
        <w:t>李守奎《清華簡〈治政之道〉的治政理念與文本的幾個問題》，47頁。</w:t>
      </w:r>
    </w:p>
  </w:endnote>
  <w:endnote w:id="149">
    <w:p w14:paraId="00062075" w14:textId="3774E039" w:rsidR="009F4F5A" w:rsidRPr="00E50DC5" w:rsidRDefault="009F4F5A" w:rsidP="00E50DC5">
      <w:pPr>
        <w:pStyle w:val="ad"/>
        <w:rPr>
          <w:sz w:val="18"/>
          <w:szCs w:val="18"/>
        </w:rPr>
      </w:pPr>
      <w:r w:rsidRPr="00E50DC5">
        <w:rPr>
          <w:rStyle w:val="ae"/>
          <w:sz w:val="18"/>
          <w:szCs w:val="18"/>
        </w:rPr>
        <w:endnoteRef/>
      </w:r>
      <w:r w:rsidRPr="00E50DC5">
        <w:rPr>
          <w:sz w:val="18"/>
          <w:szCs w:val="18"/>
        </w:rPr>
        <w:t>參看（清）王引之：《經傳釋詞》，184頁。</w:t>
      </w:r>
    </w:p>
  </w:endnote>
  <w:endnote w:id="150">
    <w:p w14:paraId="5B2D0D67" w14:textId="19CACBAB" w:rsidR="009F4F5A" w:rsidRPr="00E50DC5" w:rsidRDefault="009F4F5A" w:rsidP="00E50DC5">
      <w:pPr>
        <w:pStyle w:val="ad"/>
        <w:rPr>
          <w:sz w:val="18"/>
          <w:szCs w:val="18"/>
        </w:rPr>
      </w:pPr>
      <w:r w:rsidRPr="00E50DC5">
        <w:rPr>
          <w:rStyle w:val="ae"/>
          <w:sz w:val="18"/>
          <w:szCs w:val="18"/>
        </w:rPr>
        <w:endnoteRef/>
      </w:r>
      <w:r w:rsidRPr="00E50DC5">
        <w:rPr>
          <w:sz w:val="18"/>
          <w:szCs w:val="18"/>
        </w:rPr>
        <w:t>參看《漢語大詞典》“罷2”義項</w:t>
      </w:r>
      <w:r w:rsidRPr="00E50DC5">
        <w:rPr>
          <w:rFonts w:cs="Cambria Math"/>
          <w:sz w:val="18"/>
          <w:szCs w:val="18"/>
        </w:rPr>
        <w:t>④</w:t>
      </w:r>
      <w:r w:rsidRPr="00E50DC5">
        <w:rPr>
          <w:sz w:val="18"/>
          <w:szCs w:val="18"/>
        </w:rPr>
        <w:t>。</w:t>
      </w:r>
    </w:p>
  </w:endnote>
  <w:endnote w:id="151">
    <w:p w14:paraId="06D9E513" w14:textId="13F41440" w:rsidR="009F4F5A" w:rsidRPr="00E50DC5" w:rsidRDefault="009F4F5A" w:rsidP="00E50DC5">
      <w:pPr>
        <w:pStyle w:val="ad"/>
        <w:rPr>
          <w:sz w:val="18"/>
          <w:szCs w:val="18"/>
        </w:rPr>
      </w:pPr>
      <w:r w:rsidRPr="00E50DC5">
        <w:rPr>
          <w:rStyle w:val="ae"/>
          <w:sz w:val="18"/>
          <w:szCs w:val="18"/>
        </w:rPr>
        <w:endnoteRef/>
      </w:r>
      <w:r w:rsidRPr="00E50DC5">
        <w:rPr>
          <w:sz w:val="18"/>
          <w:szCs w:val="18"/>
        </w:rPr>
        <w:t>參看（清）王引之：《經傳釋詞》，201頁。</w:t>
      </w:r>
    </w:p>
  </w:endnote>
  <w:endnote w:id="152">
    <w:p w14:paraId="11EB3E58" w14:textId="15B98669" w:rsidR="009F4F5A" w:rsidRPr="00E50DC5" w:rsidRDefault="009F4F5A" w:rsidP="00E50DC5">
      <w:pPr>
        <w:pStyle w:val="ad"/>
        <w:rPr>
          <w:sz w:val="18"/>
          <w:szCs w:val="18"/>
        </w:rPr>
      </w:pPr>
      <w:r w:rsidRPr="00E50DC5">
        <w:rPr>
          <w:rStyle w:val="ae"/>
          <w:sz w:val="18"/>
          <w:szCs w:val="18"/>
        </w:rPr>
        <w:endnoteRef/>
      </w:r>
      <w:r w:rsidRPr="00E50DC5">
        <w:rPr>
          <w:sz w:val="18"/>
          <w:szCs w:val="18"/>
        </w:rPr>
        <w:t>當“能力强”、“能把事做得很好”講的“善”既可以與“不能”對立，也可以與“不善”對立，如《禮記·學記》“善學者師逸而功倍，又從而庸之；不善學者，師勤而功半，又從而怨之。善問者如攻堅木，先其易者，後其節目，及其久也，相説以解；不善問者反此。善待問者如撞鐘，叩之以小者則小鳴，叩之以大者則大鳴，待其從容，然後盡其聲；不善答問者反此。此皆進學之道也”，《韓非子·外儲説左下》“陽虎去齊走趙，簡主問曰：‘吾聞子善樹人。’虎曰：‘……虎不善樹人。’”又如上文引過的《史記·淮陰侯列傳》“陛下不能將兵，而善將將”之句，如果把“不能”改成“不善”，也是講得通的，只不過前後對比的强烈程度有所削弱而已。</w:t>
      </w:r>
    </w:p>
  </w:endnote>
  <w:endnote w:id="153">
    <w:p w14:paraId="0E36053A" w14:textId="0966359A" w:rsidR="009F4F5A" w:rsidRPr="00E50DC5" w:rsidRDefault="009F4F5A" w:rsidP="00E50DC5">
      <w:pPr>
        <w:pStyle w:val="ad"/>
        <w:rPr>
          <w:sz w:val="18"/>
          <w:szCs w:val="18"/>
        </w:rPr>
      </w:pPr>
      <w:r w:rsidRPr="00E50DC5">
        <w:rPr>
          <w:rStyle w:val="ae"/>
          <w:sz w:val="18"/>
          <w:szCs w:val="18"/>
        </w:rPr>
        <w:endnoteRef/>
      </w:r>
      <w:r w:rsidRPr="00E50DC5">
        <w:rPr>
          <w:sz w:val="18"/>
          <w:szCs w:val="18"/>
        </w:rPr>
        <w:t>李學勤主編：《清華大學藏戰國竹書》［柒］，137頁。</w:t>
      </w:r>
    </w:p>
  </w:endnote>
  <w:endnote w:id="154">
    <w:p w14:paraId="516A045B" w14:textId="3123050D" w:rsidR="009F4F5A" w:rsidRPr="00E50DC5" w:rsidRDefault="009F4F5A" w:rsidP="00E50DC5">
      <w:pPr>
        <w:pStyle w:val="ad"/>
        <w:rPr>
          <w:sz w:val="18"/>
          <w:szCs w:val="18"/>
        </w:rPr>
      </w:pPr>
      <w:r w:rsidRPr="00E50DC5">
        <w:rPr>
          <w:rStyle w:val="ae"/>
          <w:sz w:val="18"/>
          <w:szCs w:val="18"/>
        </w:rPr>
        <w:endnoteRef/>
      </w:r>
      <w:r w:rsidRPr="00E50DC5">
        <w:rPr>
          <w:sz w:val="18"/>
          <w:szCs w:val="18"/>
        </w:rPr>
        <w:t>（清）劉寶楠撰，高流水點校：《論語正義》，中華書局，1990年，507頁。</w:t>
      </w:r>
    </w:p>
  </w:endnote>
  <w:endnote w:id="155">
    <w:p w14:paraId="72AB07DC" w14:textId="27858EBA" w:rsidR="009F4F5A" w:rsidRPr="00E50DC5" w:rsidRDefault="009F4F5A" w:rsidP="00E50DC5">
      <w:pPr>
        <w:pStyle w:val="ad"/>
        <w:rPr>
          <w:sz w:val="18"/>
          <w:szCs w:val="18"/>
        </w:rPr>
      </w:pPr>
      <w:r w:rsidRPr="00E50DC5">
        <w:rPr>
          <w:rStyle w:val="ae"/>
          <w:sz w:val="18"/>
          <w:szCs w:val="18"/>
        </w:rPr>
        <w:endnoteRef/>
      </w:r>
      <w:r w:rsidRPr="00E50DC5">
        <w:rPr>
          <w:sz w:val="18"/>
          <w:szCs w:val="18"/>
        </w:rPr>
        <w:t>參看《馬漢麟語言文字論集》，商務印書館，1993年，31—32頁。</w:t>
      </w:r>
    </w:p>
  </w:endnote>
  <w:endnote w:id="156">
    <w:p w14:paraId="0A9FBC6D" w14:textId="49C14897" w:rsidR="009F4F5A" w:rsidRPr="00E50DC5" w:rsidRDefault="009F4F5A" w:rsidP="00E50DC5">
      <w:pPr>
        <w:pStyle w:val="ad"/>
        <w:rPr>
          <w:sz w:val="18"/>
          <w:szCs w:val="18"/>
          <w:lang w:eastAsia="zh-TW"/>
        </w:rPr>
      </w:pPr>
      <w:r w:rsidRPr="00E50DC5">
        <w:rPr>
          <w:rStyle w:val="ae"/>
          <w:sz w:val="18"/>
          <w:szCs w:val="18"/>
        </w:rPr>
        <w:endnoteRef/>
      </w:r>
      <w:r w:rsidRPr="00E50DC5">
        <w:rPr>
          <w:rFonts w:hint="eastAsia"/>
          <w:sz w:val="18"/>
          <w:szCs w:val="18"/>
          <w:lang w:eastAsia="zh-TW"/>
        </w:rPr>
        <w:t>《性自命出》簡</w:t>
      </w:r>
      <w:r w:rsidRPr="00E50DC5">
        <w:rPr>
          <w:sz w:val="18"/>
          <w:szCs w:val="18"/>
          <w:lang w:eastAsia="zh-TW"/>
        </w:rPr>
        <w:t>8</w:t>
      </w:r>
      <w:r w:rsidRPr="00E50DC5">
        <w:rPr>
          <w:rFonts w:hint="eastAsia"/>
          <w:sz w:val="18"/>
          <w:szCs w:val="18"/>
          <w:lang w:eastAsia="zh-TW"/>
        </w:rPr>
        <w:t>-</w:t>
      </w:r>
      <w:r w:rsidRPr="00E50DC5">
        <w:rPr>
          <w:sz w:val="18"/>
          <w:szCs w:val="18"/>
          <w:lang w:eastAsia="zh-TW"/>
        </w:rPr>
        <w:t>12</w:t>
      </w:r>
      <w:r w:rsidRPr="00E50DC5">
        <w:rPr>
          <w:rFonts w:hint="eastAsia"/>
          <w:sz w:val="18"/>
          <w:szCs w:val="18"/>
          <w:lang w:eastAsia="zh-TW"/>
        </w:rPr>
        <w:t>：“凡性或動之，或逆之，或交〈室（節）〉之，或厲之，或出之，或養之，或長之。凡動性者，物也；逆性者，悅也；交〈室（節）〉性者，故也；厲性者，義也；出性者，勢也；養性者，習也；長性者，道也。”從這段文字可以清楚地看出《性自命出》的作者是持“性可以爲善可以爲不善”說的，所以要“室（節）性”“厲性”“養性”“長性”，就是要造成使人向善的“勢”。我們在《由郭店簡〈性自命出〉的“室性者故也”說到〈孟子〉的“天下之言性也”章》一文中根據馬王堆帛書《十六經·觀》篇“時</w:t>
      </w:r>
      <w:r w:rsidRPr="00E50DC5">
        <w:rPr>
          <w:rFonts w:ascii="SimSun-ExtB" w:eastAsia="SimSun-ExtB" w:hAnsi="SimSun-ExtB" w:cs="SimSun-ExtB" w:hint="eastAsia"/>
          <w:sz w:val="18"/>
          <w:szCs w:val="18"/>
          <w:lang w:eastAsia="zh-TW"/>
        </w:rPr>
        <w:t>𢯶</w:t>
      </w:r>
      <w:r w:rsidRPr="00E50DC5">
        <w:rPr>
          <w:rFonts w:hint="eastAsia"/>
          <w:sz w:val="18"/>
          <w:szCs w:val="18"/>
          <w:lang w:eastAsia="zh-TW"/>
        </w:rPr>
        <w:t>（節）三樂”的“</w:t>
      </w:r>
      <w:r w:rsidRPr="00E50DC5">
        <w:rPr>
          <w:rFonts w:ascii="SimSun-ExtB" w:eastAsia="SimSun-ExtB" w:hAnsi="SimSun-ExtB" w:cs="SimSun-ExtB" w:hint="eastAsia"/>
          <w:sz w:val="18"/>
          <w:szCs w:val="18"/>
          <w:lang w:eastAsia="zh-TW"/>
        </w:rPr>
        <w:t>𢯶</w:t>
      </w:r>
      <w:r w:rsidRPr="00E50DC5">
        <w:rPr>
          <w:rFonts w:hint="eastAsia"/>
          <w:sz w:val="18"/>
          <w:szCs w:val="18"/>
          <w:lang w:eastAsia="zh-TW"/>
        </w:rPr>
        <w:t>”把《性自命出》篇“室性者，故也”之“室”讀爲“節”（參看《裘錫圭學術文集》修訂本第2卷，復旦大學出版社，2</w:t>
      </w:r>
      <w:r w:rsidRPr="00E50DC5">
        <w:rPr>
          <w:sz w:val="18"/>
          <w:szCs w:val="18"/>
          <w:lang w:eastAsia="zh-TW"/>
        </w:rPr>
        <w:t>015年</w:t>
      </w:r>
      <w:r w:rsidRPr="00E50DC5">
        <w:rPr>
          <w:rFonts w:hint="eastAsia"/>
          <w:sz w:val="18"/>
          <w:szCs w:val="18"/>
          <w:lang w:eastAsia="zh-TW"/>
        </w:rPr>
        <w:t>，3</w:t>
      </w:r>
      <w:r w:rsidRPr="00E50DC5">
        <w:rPr>
          <w:sz w:val="18"/>
          <w:szCs w:val="18"/>
          <w:lang w:eastAsia="zh-TW"/>
        </w:rPr>
        <w:t>78</w:t>
      </w:r>
      <w:r w:rsidRPr="00E50DC5">
        <w:rPr>
          <w:rFonts w:hint="eastAsia"/>
          <w:sz w:val="18"/>
          <w:szCs w:val="18"/>
          <w:lang w:eastAsia="zh-TW"/>
        </w:rPr>
        <w:t>-</w:t>
      </w:r>
      <w:r w:rsidRPr="00E50DC5">
        <w:rPr>
          <w:sz w:val="18"/>
          <w:szCs w:val="18"/>
          <w:lang w:eastAsia="zh-TW"/>
        </w:rPr>
        <w:t>388頁</w:t>
      </w:r>
      <w:r w:rsidRPr="00E50DC5">
        <w:rPr>
          <w:rFonts w:hint="eastAsia"/>
          <w:sz w:val="18"/>
          <w:szCs w:val="18"/>
          <w:lang w:eastAsia="zh-TW"/>
        </w:rPr>
        <w:t>），此說似乎很少有人相信，其主要原因可能是楚簡中通常以“即”表“節”，《性自命出》中即有多例，爲什麼“節性”的“節”不用“即”字表示而用“室”字表示，似難解釋。今按：“節”有“節制、約束”的意思，這種含義應該是“室”的變音引申義，“窒”的意思也應該是由“室”引申而來的，可以作爲旁證。以“室”表“節制”之“節”，是用引申義所從出之義的本字表示引申義。馬王堆帛書的“</w:t>
      </w:r>
      <w:r w:rsidRPr="00E50DC5">
        <w:rPr>
          <w:rFonts w:ascii="SimSun-ExtB" w:eastAsia="SimSun-ExtB" w:hAnsi="SimSun-ExtB" w:cs="SimSun-ExtB" w:hint="eastAsia"/>
          <w:sz w:val="18"/>
          <w:szCs w:val="18"/>
          <w:lang w:eastAsia="zh-TW"/>
        </w:rPr>
        <w:t>𢯶</w:t>
      </w:r>
      <w:r w:rsidRPr="00E50DC5">
        <w:rPr>
          <w:rFonts w:hint="eastAsia"/>
          <w:sz w:val="18"/>
          <w:szCs w:val="18"/>
          <w:lang w:eastAsia="zh-TW"/>
        </w:rPr>
        <w:t>”是從“室”字分化出來專表這個引申義的。“節”字的“關節、節點、節度”等義則是由“節”的本義“竹節”引申而來的。二者本不同源，後來才混而爲一。</w:t>
      </w:r>
    </w:p>
  </w:endnote>
  <w:endnote w:id="157">
    <w:p w14:paraId="6F2B9C6A" w14:textId="170AAC96" w:rsidR="009F4F5A" w:rsidRPr="00E50DC5" w:rsidRDefault="009F4F5A" w:rsidP="00E50DC5">
      <w:pPr>
        <w:pStyle w:val="ad"/>
        <w:rPr>
          <w:sz w:val="18"/>
          <w:szCs w:val="18"/>
          <w:lang w:eastAsia="zh-TW"/>
        </w:rPr>
      </w:pPr>
      <w:r w:rsidRPr="00E50DC5">
        <w:rPr>
          <w:rStyle w:val="ae"/>
          <w:sz w:val="18"/>
          <w:szCs w:val="18"/>
        </w:rPr>
        <w:endnoteRef/>
      </w:r>
      <w:r w:rsidRPr="00E50DC5">
        <w:rPr>
          <w:sz w:val="18"/>
          <w:szCs w:val="18"/>
          <w:lang w:eastAsia="zh-TW"/>
        </w:rPr>
        <w:t>前面講過，清華簡《治》篇中的“善人”是指有能力的人，但有一處“妨善”與“弼惡”對言，這個“善”有可能是指才德具備的“善人”。</w:t>
      </w:r>
    </w:p>
  </w:endnote>
  <w:endnote w:id="158">
    <w:p w14:paraId="438E6088" w14:textId="0F8BC745" w:rsidR="009F4F5A" w:rsidRPr="00E50DC5" w:rsidRDefault="009F4F5A" w:rsidP="00E50DC5">
      <w:pPr>
        <w:pStyle w:val="ad"/>
        <w:rPr>
          <w:sz w:val="18"/>
          <w:szCs w:val="18"/>
          <w:lang w:eastAsia="zh-TW"/>
        </w:rPr>
      </w:pPr>
      <w:r w:rsidRPr="00E50DC5">
        <w:rPr>
          <w:rStyle w:val="ae"/>
          <w:sz w:val="18"/>
          <w:szCs w:val="18"/>
        </w:rPr>
        <w:endnoteRef/>
      </w:r>
      <w:r w:rsidRPr="00E50DC5">
        <w:rPr>
          <w:sz w:val="18"/>
          <w:szCs w:val="18"/>
        </w:rPr>
        <w:t>《漢語大詞典》所引第二條書證爲南朝宋傅亮《爲宋公求加贈劉前軍表》之文（“俾忠貞之烈，不泯於身後；大賚所及，永秩於善人”），表中活用“周有大賚，善人是富”的典故，將請求給予加贈的原前軍將軍劉穆之稱爲“善人”。我們在前面已經講過，《論語·堯曰》所引古語“周有大賚，善人是富”中的“善人”應指“有能力的、在武王克商中立有功勞的那些人”［見三（二）1.例（2）］，而據表文劉穆之則顯然是一位德才具備的官員。</w:t>
      </w:r>
    </w:p>
  </w:endnote>
  <w:endnote w:id="159">
    <w:p w14:paraId="1E9015BD" w14:textId="00684E34" w:rsidR="009F4F5A" w:rsidRPr="00E50DC5" w:rsidRDefault="009F4F5A" w:rsidP="00E50DC5">
      <w:pPr>
        <w:pStyle w:val="ad"/>
        <w:rPr>
          <w:sz w:val="18"/>
          <w:szCs w:val="18"/>
        </w:rPr>
      </w:pPr>
      <w:r w:rsidRPr="00E50DC5">
        <w:rPr>
          <w:rStyle w:val="ae"/>
          <w:sz w:val="18"/>
          <w:szCs w:val="18"/>
        </w:rPr>
        <w:endnoteRef/>
      </w:r>
      <w:r w:rsidRPr="00E50DC5">
        <w:rPr>
          <w:sz w:val="18"/>
          <w:szCs w:val="18"/>
        </w:rPr>
        <w:t>（漢）王充著，黄暉撰：《論衡校釋》，中華書局，1990年，933頁。</w:t>
      </w:r>
    </w:p>
  </w:endnote>
  <w:endnote w:id="160">
    <w:p w14:paraId="4524B960" w14:textId="3C8CD3D8" w:rsidR="009F4F5A" w:rsidRPr="00E50DC5" w:rsidRDefault="009F4F5A" w:rsidP="00E50DC5">
      <w:pPr>
        <w:pStyle w:val="ad"/>
        <w:rPr>
          <w:sz w:val="18"/>
          <w:szCs w:val="18"/>
        </w:rPr>
      </w:pPr>
      <w:r w:rsidRPr="00E50DC5">
        <w:rPr>
          <w:rStyle w:val="ae"/>
          <w:sz w:val="18"/>
          <w:szCs w:val="18"/>
        </w:rPr>
        <w:endnoteRef/>
      </w:r>
      <w:r w:rsidRPr="00E50DC5">
        <w:rPr>
          <w:sz w:val="18"/>
          <w:szCs w:val="18"/>
        </w:rPr>
        <w:t>王明編：《太平經合校•卷五十六至六十四•闕題》，中華書局，2014年，231頁。</w:t>
      </w:r>
    </w:p>
  </w:endnote>
  <w:endnote w:id="161">
    <w:p w14:paraId="4D40F456" w14:textId="01A7CCBB" w:rsidR="009F4F5A" w:rsidRPr="00E50DC5" w:rsidRDefault="009F4F5A" w:rsidP="00E50DC5">
      <w:pPr>
        <w:pStyle w:val="ad"/>
        <w:rPr>
          <w:sz w:val="18"/>
          <w:szCs w:val="18"/>
        </w:rPr>
      </w:pPr>
      <w:r w:rsidRPr="00E50DC5">
        <w:rPr>
          <w:rStyle w:val="ae"/>
          <w:sz w:val="18"/>
          <w:szCs w:val="18"/>
        </w:rPr>
        <w:endnoteRef/>
      </w:r>
      <w:r w:rsidRPr="00E50DC5">
        <w:rPr>
          <w:sz w:val="18"/>
          <w:szCs w:val="18"/>
        </w:rPr>
        <w:t>楊伯峻：《春秋左傳注》修訂本，中華書局，1990年，1254頁。</w:t>
      </w:r>
    </w:p>
  </w:endnote>
  <w:endnote w:id="162">
    <w:p w14:paraId="5CD8B5DB" w14:textId="1D65D9D5" w:rsidR="009F4F5A" w:rsidRPr="00E50DC5" w:rsidRDefault="009F4F5A" w:rsidP="00E50DC5">
      <w:pPr>
        <w:pStyle w:val="ad"/>
        <w:rPr>
          <w:sz w:val="18"/>
          <w:szCs w:val="18"/>
          <w:lang w:eastAsia="zh-TW"/>
        </w:rPr>
      </w:pPr>
      <w:r w:rsidRPr="00E50DC5">
        <w:rPr>
          <w:rStyle w:val="ae"/>
          <w:sz w:val="18"/>
          <w:szCs w:val="18"/>
        </w:rPr>
        <w:endnoteRef/>
      </w:r>
      <w:r w:rsidRPr="00E50DC5">
        <w:rPr>
          <w:sz w:val="18"/>
          <w:szCs w:val="18"/>
        </w:rPr>
        <w:t>趙岐注：“夷，傷也。父子相責怒，則傷義矣。一説云父子反自相非若夷狄也。”[（清）阮元校刻：《十三經注疏·孟子注疏》，5921頁]。疑當以趙注所引“一説”爲是，後世“鄙夷”之語即由此種“夷”字發展而來。“鄙”指鄙人，“夷”指“夷人”，皆爲古代受輕視的人。</w:t>
      </w:r>
    </w:p>
  </w:endnote>
  <w:endnote w:id="163">
    <w:p w14:paraId="684A237D" w14:textId="6762872F" w:rsidR="009F4F5A" w:rsidRPr="00E50DC5" w:rsidRDefault="009F4F5A" w:rsidP="00E50DC5">
      <w:pPr>
        <w:pStyle w:val="ad"/>
        <w:rPr>
          <w:sz w:val="18"/>
          <w:szCs w:val="18"/>
        </w:rPr>
      </w:pPr>
      <w:r w:rsidRPr="00E50DC5">
        <w:rPr>
          <w:rStyle w:val="ae"/>
          <w:sz w:val="18"/>
          <w:szCs w:val="18"/>
        </w:rPr>
        <w:endnoteRef/>
      </w:r>
      <w:r w:rsidRPr="00E50DC5">
        <w:rPr>
          <w:sz w:val="18"/>
          <w:szCs w:val="18"/>
        </w:rPr>
        <w:t>（戰國）吕不韋撰，（東漢）高誘注，俞林波：《元刊吕氏春秋校訂》，鳳凰出版社，2016年，168頁。</w:t>
      </w:r>
    </w:p>
  </w:endnote>
  <w:endnote w:id="164">
    <w:p w14:paraId="18387C3C" w14:textId="49E9145E" w:rsidR="009F4F5A" w:rsidRPr="00E50DC5" w:rsidRDefault="009F4F5A" w:rsidP="00E50DC5">
      <w:pPr>
        <w:pStyle w:val="ad"/>
        <w:rPr>
          <w:sz w:val="18"/>
          <w:szCs w:val="18"/>
        </w:rPr>
      </w:pPr>
      <w:r w:rsidRPr="00E50DC5">
        <w:rPr>
          <w:rStyle w:val="ae"/>
          <w:sz w:val="18"/>
          <w:szCs w:val="18"/>
        </w:rPr>
        <w:endnoteRef/>
      </w:r>
      <w:r w:rsidRPr="00E50DC5">
        <w:rPr>
          <w:sz w:val="18"/>
          <w:szCs w:val="18"/>
        </w:rPr>
        <w:t>（清）阮元校刻：《十三經注疏·周易正義》，33頁。</w:t>
      </w:r>
    </w:p>
  </w:endnote>
  <w:endnote w:id="165">
    <w:p w14:paraId="188DF26D" w14:textId="0DBF26BB" w:rsidR="009F4F5A" w:rsidRPr="00E50DC5" w:rsidRDefault="009F4F5A" w:rsidP="00E50DC5">
      <w:pPr>
        <w:pStyle w:val="ad"/>
        <w:rPr>
          <w:sz w:val="18"/>
          <w:szCs w:val="18"/>
        </w:rPr>
      </w:pPr>
      <w:r w:rsidRPr="00E50DC5">
        <w:rPr>
          <w:rStyle w:val="ae"/>
          <w:sz w:val="18"/>
          <w:szCs w:val="18"/>
        </w:rPr>
        <w:endnoteRef/>
      </w:r>
      <w:r w:rsidRPr="00E50DC5">
        <w:rPr>
          <w:sz w:val="18"/>
          <w:szCs w:val="18"/>
        </w:rPr>
        <w:t>沈玉成：《左傳譯文》，170頁。</w:t>
      </w:r>
    </w:p>
  </w:endnote>
  <w:endnote w:id="166">
    <w:p w14:paraId="129E75DB" w14:textId="793D7978" w:rsidR="009F4F5A" w:rsidRPr="00E50DC5" w:rsidRDefault="009F4F5A" w:rsidP="00E50DC5">
      <w:pPr>
        <w:pStyle w:val="ad"/>
        <w:rPr>
          <w:sz w:val="18"/>
          <w:szCs w:val="18"/>
        </w:rPr>
      </w:pPr>
      <w:r w:rsidRPr="00E50DC5">
        <w:rPr>
          <w:rStyle w:val="ae"/>
          <w:sz w:val="18"/>
          <w:szCs w:val="18"/>
        </w:rPr>
        <w:endnoteRef/>
      </w:r>
      <w:r w:rsidRPr="00E50DC5">
        <w:rPr>
          <w:sz w:val="18"/>
          <w:szCs w:val="18"/>
        </w:rPr>
        <w:t>程樹德：《論語集釋》，1161頁。</w:t>
      </w:r>
    </w:p>
  </w:endnote>
  <w:endnote w:id="167">
    <w:p w14:paraId="44B83979" w14:textId="4669F0DF" w:rsidR="009F4F5A" w:rsidRPr="00E50DC5" w:rsidRDefault="009F4F5A" w:rsidP="00E50DC5">
      <w:pPr>
        <w:pStyle w:val="ad"/>
        <w:rPr>
          <w:sz w:val="18"/>
          <w:szCs w:val="18"/>
        </w:rPr>
      </w:pPr>
      <w:r w:rsidRPr="00E50DC5">
        <w:rPr>
          <w:rStyle w:val="ae"/>
          <w:sz w:val="18"/>
          <w:szCs w:val="18"/>
        </w:rPr>
        <w:endnoteRef/>
      </w:r>
      <w:r w:rsidRPr="00E50DC5">
        <w:rPr>
          <w:sz w:val="18"/>
          <w:szCs w:val="18"/>
        </w:rPr>
        <w:t>（梁）皇侃撰，高尚榘校點：《論語義疏》，中華書局，2013年，450頁。</w:t>
      </w:r>
    </w:p>
  </w:endnote>
  <w:endnote w:id="168">
    <w:p w14:paraId="488B104A" w14:textId="694A73A6" w:rsidR="009F4F5A" w:rsidRPr="00E50DC5" w:rsidRDefault="009F4F5A" w:rsidP="00E50DC5">
      <w:pPr>
        <w:pStyle w:val="ad"/>
        <w:rPr>
          <w:sz w:val="18"/>
          <w:szCs w:val="18"/>
        </w:rPr>
      </w:pPr>
      <w:r w:rsidRPr="00E50DC5">
        <w:rPr>
          <w:rStyle w:val="ae"/>
          <w:sz w:val="18"/>
          <w:szCs w:val="18"/>
        </w:rPr>
        <w:endnoteRef/>
      </w:r>
      <w:r w:rsidRPr="00E50DC5">
        <w:rPr>
          <w:sz w:val="18"/>
          <w:szCs w:val="18"/>
        </w:rPr>
        <w:t>耿振東：《管子譯注》，上海三聯書店，2014年，127頁。</w:t>
      </w:r>
    </w:p>
  </w:endnote>
  <w:endnote w:id="169">
    <w:p w14:paraId="75E7506B" w14:textId="6843A2EF" w:rsidR="009F4F5A" w:rsidRPr="00E50DC5" w:rsidRDefault="009F4F5A" w:rsidP="00E50DC5">
      <w:pPr>
        <w:pStyle w:val="ad"/>
        <w:rPr>
          <w:sz w:val="18"/>
          <w:szCs w:val="18"/>
          <w:lang w:eastAsia="zh-TW"/>
        </w:rPr>
      </w:pPr>
      <w:r w:rsidRPr="00E50DC5">
        <w:rPr>
          <w:rStyle w:val="ae"/>
          <w:sz w:val="18"/>
          <w:szCs w:val="18"/>
        </w:rPr>
        <w:endnoteRef/>
      </w:r>
      <w:r w:rsidRPr="00E50DC5">
        <w:rPr>
          <w:rFonts w:hint="eastAsia"/>
          <w:sz w:val="18"/>
          <w:szCs w:val="18"/>
          <w:lang w:eastAsia="zh-TW"/>
        </w:rPr>
        <w:t>內，何建章據閔本讀爲“乃”，參看何建章《戰國策注釋》，中華書局，1990年，827頁。鄔可晶認爲：這個“內”讀爲“乃”，恐難信（閔本的“乃”大概是刻書的人以意改的）。竊疑“內”當讀爲“遂”。《上博（二）·容成氏》簡44“能述（遂）者述（遂），不能述（遂）者內（墜）而死”,“內”讀爲“墜”；《清華大學藏戰國竹簡（拾）·四告》第三篇簡26“不</w:t>
      </w:r>
      <w:r w:rsidRPr="00E50DC5">
        <w:rPr>
          <w:rFonts w:hint="eastAsia"/>
          <w:noProof/>
          <w:sz w:val="18"/>
          <w:szCs w:val="18"/>
          <w:lang w:eastAsia="zh-TW"/>
        </w:rPr>
        <w:drawing>
          <wp:inline distT="0" distB="0" distL="0" distR="0" wp14:anchorId="4605012C" wp14:editId="490AC8D4">
            <wp:extent cx="196159" cy="207285"/>
            <wp:effectExtent l="0" t="0" r="0" b="2540"/>
            <wp:docPr id="1933786380" name="图片 1933786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7408" cy="219172"/>
                    </a:xfrm>
                    <a:prstGeom prst="rect">
                      <a:avLst/>
                    </a:prstGeom>
                    <a:noFill/>
                    <a:ln>
                      <a:noFill/>
                    </a:ln>
                  </pic:spPr>
                </pic:pic>
              </a:graphicData>
            </a:graphic>
          </wp:inline>
        </w:drawing>
      </w:r>
      <w:r w:rsidRPr="00E50DC5">
        <w:rPr>
          <w:rFonts w:hint="eastAsia"/>
          <w:sz w:val="18"/>
          <w:szCs w:val="18"/>
          <w:lang w:eastAsia="zh-TW"/>
        </w:rPr>
        <w:t>于非彝”，从“內”聲的那個字亦讀爲“墜”（此字似可視爲从“涇〈淫〉”，“內”聲）。“內”既可讀爲“墜”，似也有可能讀爲“遂”。</w:t>
      </w:r>
    </w:p>
  </w:endnote>
  <w:endnote w:id="170">
    <w:p w14:paraId="796A7E61" w14:textId="05CE9FCB" w:rsidR="009F4F5A" w:rsidRPr="00E50DC5" w:rsidRDefault="009F4F5A" w:rsidP="00E50DC5">
      <w:pPr>
        <w:pStyle w:val="ad"/>
        <w:rPr>
          <w:sz w:val="18"/>
          <w:szCs w:val="18"/>
        </w:rPr>
      </w:pPr>
      <w:r w:rsidRPr="00E50DC5">
        <w:rPr>
          <w:rStyle w:val="ae"/>
          <w:sz w:val="18"/>
          <w:szCs w:val="18"/>
        </w:rPr>
        <w:endnoteRef/>
      </w:r>
      <w:r w:rsidRPr="00E50DC5">
        <w:rPr>
          <w:sz w:val="18"/>
          <w:szCs w:val="18"/>
        </w:rPr>
        <w:t>（清）阮元校刻：《十三經注疏·禮記正義》，3529頁。</w:t>
      </w:r>
    </w:p>
  </w:endnote>
  <w:endnote w:id="171">
    <w:p w14:paraId="3A8E0503" w14:textId="62D4D09D" w:rsidR="009F4F5A" w:rsidRPr="00E50DC5" w:rsidRDefault="009F4F5A" w:rsidP="00E50DC5">
      <w:pPr>
        <w:pStyle w:val="ad"/>
        <w:rPr>
          <w:sz w:val="18"/>
          <w:szCs w:val="18"/>
        </w:rPr>
      </w:pPr>
      <w:r w:rsidRPr="00E50DC5">
        <w:rPr>
          <w:rStyle w:val="ae"/>
          <w:sz w:val="18"/>
          <w:szCs w:val="18"/>
        </w:rPr>
        <w:endnoteRef/>
      </w:r>
      <w:r w:rsidRPr="00E50DC5">
        <w:rPr>
          <w:sz w:val="18"/>
          <w:szCs w:val="18"/>
        </w:rPr>
        <w:t>如王文錦：《禮記譯解》，801頁。</w:t>
      </w:r>
    </w:p>
  </w:endnote>
  <w:endnote w:id="172">
    <w:p w14:paraId="255AB91C" w14:textId="1953F4C6" w:rsidR="009F4F5A" w:rsidRPr="00E50DC5" w:rsidRDefault="009F4F5A" w:rsidP="00E50DC5">
      <w:pPr>
        <w:pStyle w:val="ad"/>
        <w:rPr>
          <w:sz w:val="18"/>
          <w:szCs w:val="18"/>
        </w:rPr>
      </w:pPr>
      <w:r w:rsidRPr="00E50DC5">
        <w:rPr>
          <w:rStyle w:val="ae"/>
          <w:sz w:val="18"/>
          <w:szCs w:val="18"/>
        </w:rPr>
        <w:endnoteRef/>
      </w:r>
      <w:r w:rsidRPr="00E50DC5">
        <w:rPr>
          <w:sz w:val="18"/>
          <w:szCs w:val="18"/>
        </w:rPr>
        <w:t>（清）阮元校刻：《十三經注疏·孟子注疏》，5909頁。</w:t>
      </w:r>
    </w:p>
  </w:endnote>
  <w:endnote w:id="173">
    <w:p w14:paraId="6D4D5F09" w14:textId="44E20C52" w:rsidR="009F4F5A" w:rsidRPr="00E50DC5" w:rsidRDefault="009F4F5A" w:rsidP="00E50DC5">
      <w:pPr>
        <w:pStyle w:val="ad"/>
        <w:rPr>
          <w:sz w:val="18"/>
          <w:szCs w:val="18"/>
        </w:rPr>
      </w:pPr>
      <w:r w:rsidRPr="00E50DC5">
        <w:rPr>
          <w:rStyle w:val="ae"/>
          <w:sz w:val="18"/>
          <w:szCs w:val="18"/>
        </w:rPr>
        <w:endnoteRef/>
      </w:r>
      <w:r w:rsidRPr="00E50DC5">
        <w:rPr>
          <w:sz w:val="18"/>
          <w:szCs w:val="18"/>
        </w:rPr>
        <w:t>（清）阮元校刻：《十三經注疏·孟子注疏》，5911頁。</w:t>
      </w:r>
    </w:p>
  </w:endnote>
  <w:endnote w:id="174">
    <w:p w14:paraId="59275F04" w14:textId="2EFF8F11" w:rsidR="009F4F5A" w:rsidRPr="00E50DC5" w:rsidRDefault="009F4F5A" w:rsidP="00E50DC5">
      <w:pPr>
        <w:pStyle w:val="ad"/>
        <w:rPr>
          <w:sz w:val="18"/>
          <w:szCs w:val="18"/>
        </w:rPr>
      </w:pPr>
      <w:r w:rsidRPr="00E50DC5">
        <w:rPr>
          <w:rStyle w:val="ae"/>
          <w:sz w:val="18"/>
          <w:szCs w:val="18"/>
        </w:rPr>
        <w:endnoteRef/>
      </w:r>
      <w:r w:rsidRPr="00E50DC5">
        <w:rPr>
          <w:sz w:val="18"/>
          <w:szCs w:val="18"/>
        </w:rPr>
        <w:t>（宋）朱熹撰：《四書章句集注·孟子集注》，277頁。</w:t>
      </w:r>
    </w:p>
  </w:endnote>
  <w:endnote w:id="175">
    <w:p w14:paraId="35A96949" w14:textId="1D203A85" w:rsidR="009F4F5A" w:rsidRPr="00E50DC5" w:rsidRDefault="009F4F5A" w:rsidP="00E50DC5">
      <w:pPr>
        <w:pStyle w:val="ad"/>
        <w:rPr>
          <w:sz w:val="18"/>
          <w:szCs w:val="18"/>
        </w:rPr>
      </w:pPr>
      <w:r w:rsidRPr="00E50DC5">
        <w:rPr>
          <w:rStyle w:val="ae"/>
          <w:sz w:val="18"/>
          <w:szCs w:val="18"/>
        </w:rPr>
        <w:endnoteRef/>
      </w:r>
      <w:r w:rsidRPr="00E50DC5">
        <w:rPr>
          <w:sz w:val="18"/>
          <w:szCs w:val="18"/>
        </w:rPr>
        <w:t>楊伯峻：《孟子譯注》，中華書局，2019年，136頁。</w:t>
      </w:r>
    </w:p>
  </w:endnote>
  <w:endnote w:id="176">
    <w:p w14:paraId="7E05FAAC" w14:textId="7871D4C2" w:rsidR="009F4F5A" w:rsidRPr="00E50DC5" w:rsidRDefault="009F4F5A" w:rsidP="00E50DC5">
      <w:pPr>
        <w:pStyle w:val="ad"/>
        <w:rPr>
          <w:sz w:val="18"/>
          <w:szCs w:val="18"/>
          <w:lang w:eastAsia="zh-TW"/>
        </w:rPr>
      </w:pPr>
      <w:r w:rsidRPr="00E50DC5">
        <w:rPr>
          <w:rStyle w:val="ae"/>
          <w:sz w:val="18"/>
          <w:szCs w:val="18"/>
        </w:rPr>
        <w:endnoteRef/>
      </w:r>
      <w:r w:rsidRPr="00E50DC5">
        <w:rPr>
          <w:sz w:val="18"/>
          <w:szCs w:val="18"/>
        </w:rPr>
        <w:t>陳偉：《郭店簡書〈人雖有性〉校釋》，《中國哲學史》2000年第4期，12頁注[十二]。此文修改後又收入陳偉《郭店竹書別釋》，見第十三章《〈性自命出〉諸簡編連問題及校釋》，湖北教育出版社，2003年，192頁注[九]。</w:t>
      </w:r>
    </w:p>
  </w:endnote>
  <w:endnote w:id="177">
    <w:p w14:paraId="78AD091A" w14:textId="41FC0B84" w:rsidR="009F4F5A" w:rsidRPr="00E50DC5" w:rsidRDefault="009F4F5A" w:rsidP="00E50DC5">
      <w:pPr>
        <w:pStyle w:val="ad"/>
        <w:rPr>
          <w:sz w:val="18"/>
          <w:szCs w:val="18"/>
          <w:lang w:eastAsia="zh-TW"/>
        </w:rPr>
      </w:pPr>
      <w:r w:rsidRPr="00E50DC5">
        <w:rPr>
          <w:rStyle w:val="ae"/>
          <w:sz w:val="18"/>
          <w:szCs w:val="18"/>
        </w:rPr>
        <w:endnoteRef/>
      </w:r>
      <w:r w:rsidRPr="00E50DC5">
        <w:rPr>
          <w:sz w:val="18"/>
          <w:szCs w:val="18"/>
          <w:lang w:eastAsia="zh-TW"/>
        </w:rPr>
        <w:t>“</w:t>
      </w:r>
      <w:r w:rsidRPr="00E50DC5">
        <w:rPr>
          <w:noProof/>
          <w:position w:val="-4"/>
          <w:sz w:val="18"/>
          <w:szCs w:val="18"/>
        </w:rPr>
        <w:drawing>
          <wp:inline distT="0" distB="0" distL="0" distR="0" wp14:anchorId="21432B66" wp14:editId="28E4B2C3">
            <wp:extent cx="111760" cy="111760"/>
            <wp:effectExtent l="0" t="0" r="2540" b="2540"/>
            <wp:docPr id="873013595" name="图片 873013595" descr="厶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 name="图片 470" descr="厶司"/>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14668" cy="114668"/>
                    </a:xfrm>
                    <a:prstGeom prst="rect">
                      <a:avLst/>
                    </a:prstGeom>
                    <a:noFill/>
                    <a:ln>
                      <a:noFill/>
                    </a:ln>
                  </pic:spPr>
                </pic:pic>
              </a:graphicData>
            </a:graphic>
          </wp:inline>
        </w:drawing>
      </w:r>
      <w:r w:rsidRPr="00E50DC5">
        <w:rPr>
          <w:sz w:val="18"/>
          <w:szCs w:val="18"/>
          <w:lang w:eastAsia="zh-TW"/>
        </w:rPr>
        <w:t>”</w:t>
      </w:r>
      <w:r w:rsidRPr="00E50DC5">
        <w:rPr>
          <w:rFonts w:hint="eastAsia"/>
          <w:sz w:val="18"/>
          <w:szCs w:val="18"/>
          <w:lang w:eastAsia="zh-TW"/>
        </w:rPr>
        <w:t>在本篇中一般用爲“始”，但在此處讀“始”其意難通。疑當讀“嗣”，嗣其德，指延續音樂的教化作用。《禮記·月令》“命相布德和令”</w:t>
      </w:r>
      <w:r w:rsidRPr="00E50DC5">
        <w:rPr>
          <w:sz w:val="18"/>
          <w:szCs w:val="18"/>
          <w:lang w:eastAsia="zh-TW"/>
        </w:rPr>
        <w:t>鄭玄注</w:t>
      </w:r>
      <w:r w:rsidRPr="00E50DC5">
        <w:rPr>
          <w:rFonts w:hint="eastAsia"/>
          <w:sz w:val="18"/>
          <w:szCs w:val="18"/>
          <w:lang w:eastAsia="zh-TW"/>
        </w:rPr>
        <w:t>：“德，謂善教也。”《荀子·富國》“不以德爲政”楊倞注：“德，謂教化，使知分義也。”古有“嗣德”之語，《尚書·顧命》“王義嗣德”，偽孔傳“康王以義繼先人明德”（［清］阮元校刻《十三經注疏尚書正義》，518頁），蔡沈《書集傳》則釋“義”爲“宜”（［宋］蔡沈《書集傳》，鳳凰出版社，2</w:t>
      </w:r>
      <w:r w:rsidRPr="00E50DC5">
        <w:rPr>
          <w:sz w:val="18"/>
          <w:szCs w:val="18"/>
          <w:lang w:eastAsia="zh-TW"/>
        </w:rPr>
        <w:t>010</w:t>
      </w:r>
      <w:r w:rsidRPr="00E50DC5">
        <w:rPr>
          <w:rFonts w:hint="eastAsia"/>
          <w:sz w:val="18"/>
          <w:szCs w:val="18"/>
          <w:lang w:eastAsia="zh-TW"/>
        </w:rPr>
        <w:t>，2</w:t>
      </w:r>
      <w:r w:rsidRPr="00E50DC5">
        <w:rPr>
          <w:sz w:val="18"/>
          <w:szCs w:val="18"/>
          <w:lang w:eastAsia="zh-TW"/>
        </w:rPr>
        <w:t>37</w:t>
      </w:r>
      <w:r w:rsidRPr="00E50DC5">
        <w:rPr>
          <w:rFonts w:hint="eastAsia"/>
          <w:sz w:val="18"/>
          <w:szCs w:val="18"/>
          <w:lang w:eastAsia="zh-TW"/>
        </w:rPr>
        <w:t>頁）。《詩·大雅·思齊》“大姒嗣徽音”鄭箋：“徽</w:t>
      </w:r>
      <w:r w:rsidRPr="00E50DC5">
        <w:rPr>
          <w:rFonts w:cs="微软雅黑" w:hint="eastAsia"/>
          <w:sz w:val="18"/>
          <w:szCs w:val="18"/>
          <w:lang w:eastAsia="zh-TW"/>
        </w:rPr>
        <w:t>，</w:t>
      </w:r>
      <w:r w:rsidRPr="00E50DC5">
        <w:rPr>
          <w:rFonts w:hint="eastAsia"/>
          <w:sz w:val="18"/>
          <w:szCs w:val="18"/>
          <w:lang w:eastAsia="zh-TW"/>
        </w:rPr>
        <w:t>美也。嗣大任之美音，謂續行其善教令。”馬瑞辰《毛詩傳箋通釋》認爲此句之意“言大姒兼嗣大姜、大任之德音耳”（［清］馬瑞辰撰，陳金生點校《毛詩傳箋通釋》，中華書局，1989年，832頁）。“嗣徽音”之義亦與“嗣德”相近。</w:t>
      </w:r>
    </w:p>
  </w:endnote>
  <w:endnote w:id="178">
    <w:p w14:paraId="16C51211" w14:textId="7D52964C" w:rsidR="009F4F5A" w:rsidRPr="00E50DC5" w:rsidRDefault="009F4F5A" w:rsidP="00E50DC5">
      <w:pPr>
        <w:pStyle w:val="ad"/>
        <w:rPr>
          <w:sz w:val="18"/>
          <w:szCs w:val="18"/>
          <w:lang w:eastAsia="zh-TW"/>
        </w:rPr>
      </w:pPr>
      <w:r w:rsidRPr="00E50DC5">
        <w:rPr>
          <w:rStyle w:val="ae"/>
          <w:sz w:val="18"/>
          <w:szCs w:val="18"/>
        </w:rPr>
        <w:endnoteRef/>
      </w:r>
      <w:r w:rsidRPr="00E50DC5">
        <w:rPr>
          <w:sz w:val="18"/>
          <w:szCs w:val="18"/>
          <w:lang w:eastAsia="zh-TW"/>
        </w:rPr>
        <w:t>本段釋文用寬式，凡學者中基本無異議之通讀字，一般即以通讀字寫出。</w:t>
      </w:r>
    </w:p>
  </w:endnote>
  <w:endnote w:id="179">
    <w:p w14:paraId="3FA4FF57" w14:textId="645CEF86" w:rsidR="009F4F5A" w:rsidRPr="00E50DC5" w:rsidRDefault="009F4F5A" w:rsidP="00E50DC5">
      <w:pPr>
        <w:pStyle w:val="ad"/>
        <w:rPr>
          <w:sz w:val="18"/>
          <w:szCs w:val="18"/>
          <w:lang w:eastAsia="zh-TW"/>
        </w:rPr>
      </w:pPr>
      <w:r w:rsidRPr="00E50DC5">
        <w:rPr>
          <w:rStyle w:val="ae"/>
          <w:sz w:val="18"/>
          <w:szCs w:val="18"/>
        </w:rPr>
        <w:endnoteRef/>
      </w:r>
      <w:r w:rsidRPr="00E50DC5">
        <w:rPr>
          <w:rFonts w:hint="eastAsia"/>
          <w:sz w:val="18"/>
          <w:szCs w:val="18"/>
          <w:lang w:eastAsia="zh-TW"/>
        </w:rPr>
        <w:t>此段文字見於郭店《性自命出》簡36</w:t>
      </w:r>
      <w:r w:rsidRPr="00E50DC5">
        <w:rPr>
          <w:rFonts w:hint="eastAsia"/>
          <w:sz w:val="18"/>
          <w:szCs w:val="18"/>
        </w:rPr>
        <w:t>—</w:t>
      </w:r>
      <w:r w:rsidRPr="00E50DC5">
        <w:rPr>
          <w:rFonts w:hint="eastAsia"/>
          <w:sz w:val="18"/>
          <w:szCs w:val="18"/>
          <w:lang w:eastAsia="zh-TW"/>
        </w:rPr>
        <w:t>38：“凡學者求（此字原作‘隶’，整理者引‘裘按’疑爲‘求’字之訛；上博簡《性情論》簡31正作‘求’）其心爲難，從其所爲，近得之矣，不如以樂之速也。雖能其事，不能其心，不貴。【我們在前面講“善”字帶賓語的用法時曾說到古漢語中的“能”字有時可以當“能及”理解，並對此句作了解釋，請參看一（四）2</w:t>
      </w:r>
      <w:r w:rsidRPr="00E50DC5">
        <w:rPr>
          <w:sz w:val="18"/>
          <w:szCs w:val="18"/>
          <w:lang w:eastAsia="zh-TW"/>
        </w:rPr>
        <w:t>.</w:t>
      </w:r>
      <w:r w:rsidRPr="00E50DC5">
        <w:rPr>
          <w:rFonts w:hint="eastAsia"/>
          <w:sz w:val="18"/>
          <w:szCs w:val="18"/>
          <w:lang w:eastAsia="zh-TW"/>
        </w:rPr>
        <w:t>】求其心有爲（當讀‘偽’）也，弗得之矣。人之不能以爲（亦當讀‘偽’，《性情論》簡3</w:t>
      </w:r>
      <w:r w:rsidRPr="00E50DC5">
        <w:rPr>
          <w:sz w:val="18"/>
          <w:szCs w:val="18"/>
          <w:lang w:eastAsia="zh-TW"/>
        </w:rPr>
        <w:t>2</w:t>
      </w:r>
      <w:r w:rsidRPr="00E50DC5">
        <w:rPr>
          <w:rFonts w:hint="eastAsia"/>
          <w:sz w:val="18"/>
          <w:szCs w:val="18"/>
          <w:lang w:eastAsia="zh-TW"/>
        </w:rPr>
        <w:t>作‘</w:t>
      </w:r>
      <w:r w:rsidRPr="00E50DC5">
        <w:rPr>
          <w:rFonts w:ascii="SimSun-ExtB" w:eastAsia="SimSun-ExtB" w:hAnsi="SimSun-ExtB" w:cs="SimSun-ExtB" w:hint="eastAsia"/>
          <w:sz w:val="18"/>
          <w:szCs w:val="18"/>
          <w:lang w:eastAsia="zh-TW"/>
        </w:rPr>
        <w:t>𢡺</w:t>
      </w:r>
      <w:r w:rsidRPr="00E50DC5">
        <w:rPr>
          <w:rFonts w:hint="eastAsia"/>
          <w:sz w:val="18"/>
          <w:szCs w:val="18"/>
          <w:lang w:eastAsia="zh-TW"/>
        </w:rPr>
        <w:t>’）也，可知也。[不]（此字原簡磨泐不清，據《性情論》簡3</w:t>
      </w:r>
      <w:r w:rsidRPr="00E50DC5">
        <w:rPr>
          <w:sz w:val="18"/>
          <w:szCs w:val="18"/>
          <w:lang w:eastAsia="zh-TW"/>
        </w:rPr>
        <w:t>2補</w:t>
      </w:r>
      <w:r w:rsidRPr="00E50DC5">
        <w:rPr>
          <w:rFonts w:hint="eastAsia"/>
          <w:sz w:val="18"/>
          <w:szCs w:val="18"/>
          <w:lang w:eastAsia="zh-TW"/>
        </w:rPr>
        <w:t>）過十舉，其心必在焉，察其見者，情安失哉？”“人之不能以爲（偽）也，可知也”句中的“之”應訓爲“若”（參看王引之《經傳釋詞》，1</w:t>
      </w:r>
      <w:r w:rsidRPr="00E50DC5">
        <w:rPr>
          <w:sz w:val="18"/>
          <w:szCs w:val="18"/>
          <w:lang w:eastAsia="zh-TW"/>
        </w:rPr>
        <w:t>99</w:t>
      </w:r>
      <w:r w:rsidRPr="00E50DC5">
        <w:rPr>
          <w:rFonts w:hint="eastAsia"/>
          <w:sz w:val="18"/>
          <w:szCs w:val="18"/>
          <w:lang w:eastAsia="zh-TW"/>
        </w:rPr>
        <w:t>—</w:t>
      </w:r>
      <w:r w:rsidRPr="00E50DC5">
        <w:rPr>
          <w:sz w:val="18"/>
          <w:szCs w:val="18"/>
          <w:lang w:eastAsia="zh-TW"/>
        </w:rPr>
        <w:t>200</w:t>
      </w:r>
      <w:r w:rsidRPr="00E50DC5">
        <w:rPr>
          <w:rFonts w:hint="eastAsia"/>
          <w:sz w:val="18"/>
          <w:szCs w:val="18"/>
          <w:lang w:eastAsia="zh-TW"/>
        </w:rPr>
        <w:t>頁），這句話的意思是說被觀察的人若是不會作偽的，他心中的真情就可以知道。</w:t>
      </w:r>
    </w:p>
  </w:endnote>
  <w:endnote w:id="180">
    <w:p w14:paraId="7163CC93" w14:textId="5C5DC2B7" w:rsidR="009F4F5A" w:rsidRPr="00E50DC5" w:rsidRDefault="009F4F5A" w:rsidP="00E50DC5">
      <w:pPr>
        <w:pStyle w:val="ad"/>
        <w:rPr>
          <w:sz w:val="18"/>
          <w:szCs w:val="18"/>
          <w:lang w:eastAsia="zh-TW"/>
        </w:rPr>
      </w:pPr>
      <w:r w:rsidRPr="00E50DC5">
        <w:rPr>
          <w:rStyle w:val="ae"/>
          <w:sz w:val="18"/>
          <w:szCs w:val="18"/>
        </w:rPr>
        <w:endnoteRef/>
      </w:r>
      <w:r w:rsidRPr="00E50DC5">
        <w:rPr>
          <w:sz w:val="18"/>
          <w:szCs w:val="18"/>
        </w:rPr>
        <w:t>陳偉：《郭店簡書〈人雖有性〉校釋》，《中國哲學史》2000年第4期，12頁注[十二]、5頁注[七]。又見陳偉：《郭店竹書別釋》，192—193頁注[九]、179頁注[六]、[七]。</w:t>
      </w:r>
    </w:p>
  </w:endnote>
  <w:endnote w:id="181">
    <w:p w14:paraId="45262A16" w14:textId="31BE7F81" w:rsidR="009F4F5A" w:rsidRPr="00E50DC5" w:rsidRDefault="009F4F5A" w:rsidP="00E50DC5">
      <w:pPr>
        <w:pStyle w:val="ad"/>
        <w:rPr>
          <w:sz w:val="18"/>
          <w:szCs w:val="18"/>
        </w:rPr>
      </w:pPr>
      <w:r w:rsidRPr="00E50DC5">
        <w:rPr>
          <w:rStyle w:val="ae"/>
          <w:sz w:val="18"/>
          <w:szCs w:val="18"/>
        </w:rPr>
        <w:endnoteRef/>
      </w:r>
      <w:r w:rsidRPr="00E50DC5">
        <w:rPr>
          <w:sz w:val="18"/>
          <w:szCs w:val="18"/>
        </w:rPr>
        <w:t>陳偉：《郭店簡書〈人雖有性〉校釋》，《中國哲學史》，5頁注[六]。又見陳偉：《郭店竹書別釋》，179頁注[七]。</w:t>
      </w:r>
    </w:p>
  </w:endnote>
  <w:endnote w:id="182">
    <w:p w14:paraId="00E8D841" w14:textId="1403DAEC" w:rsidR="009F4F5A" w:rsidRPr="00E50DC5" w:rsidRDefault="009F4F5A" w:rsidP="00E50DC5">
      <w:pPr>
        <w:pStyle w:val="ad"/>
        <w:rPr>
          <w:sz w:val="18"/>
          <w:szCs w:val="18"/>
        </w:rPr>
      </w:pPr>
      <w:r w:rsidRPr="00E50DC5">
        <w:rPr>
          <w:rStyle w:val="ae"/>
          <w:sz w:val="18"/>
          <w:szCs w:val="18"/>
        </w:rPr>
        <w:endnoteRef/>
      </w:r>
      <w:r w:rsidRPr="00E50DC5">
        <w:rPr>
          <w:sz w:val="18"/>
          <w:szCs w:val="18"/>
        </w:rPr>
        <w:t>荊門市博物館編：《郭店楚墓竹簡》，182頁注[七]。</w:t>
      </w:r>
    </w:p>
  </w:endnote>
  <w:endnote w:id="183">
    <w:p w14:paraId="74584113" w14:textId="72F24D8C" w:rsidR="009F4F5A" w:rsidRPr="00E50DC5" w:rsidRDefault="009F4F5A" w:rsidP="00E50DC5">
      <w:pPr>
        <w:pStyle w:val="ad"/>
        <w:rPr>
          <w:sz w:val="18"/>
          <w:szCs w:val="18"/>
        </w:rPr>
      </w:pPr>
      <w:r w:rsidRPr="00E50DC5">
        <w:rPr>
          <w:rStyle w:val="ae"/>
          <w:sz w:val="18"/>
          <w:szCs w:val="18"/>
        </w:rPr>
        <w:endnoteRef/>
      </w:r>
      <w:r w:rsidRPr="00E50DC5">
        <w:rPr>
          <w:sz w:val="18"/>
          <w:szCs w:val="18"/>
        </w:rPr>
        <w:t>同上注，134頁注[五九]。</w:t>
      </w:r>
    </w:p>
  </w:endnote>
  <w:endnote w:id="184">
    <w:p w14:paraId="599D1D28" w14:textId="5495EE71" w:rsidR="009F4F5A" w:rsidRPr="00E50DC5" w:rsidRDefault="009F4F5A" w:rsidP="00E50DC5">
      <w:pPr>
        <w:pStyle w:val="ad"/>
        <w:rPr>
          <w:sz w:val="18"/>
          <w:szCs w:val="18"/>
        </w:rPr>
      </w:pPr>
      <w:r w:rsidRPr="00E50DC5">
        <w:rPr>
          <w:rStyle w:val="ae"/>
          <w:sz w:val="18"/>
          <w:szCs w:val="18"/>
        </w:rPr>
        <w:endnoteRef/>
      </w:r>
      <w:r w:rsidRPr="00E50DC5">
        <w:rPr>
          <w:sz w:val="18"/>
          <w:szCs w:val="18"/>
        </w:rPr>
        <w:t>（清）王先謙撰，沈嘯寰、王星賢點校：《荀子集解》，318頁。</w:t>
      </w:r>
    </w:p>
  </w:endnote>
  <w:endnote w:id="185">
    <w:p w14:paraId="442C633A" w14:textId="16E94530" w:rsidR="009F4F5A" w:rsidRPr="00E50DC5" w:rsidRDefault="009F4F5A" w:rsidP="00E50DC5">
      <w:pPr>
        <w:pStyle w:val="ad"/>
        <w:rPr>
          <w:sz w:val="18"/>
          <w:szCs w:val="18"/>
        </w:rPr>
      </w:pPr>
      <w:r w:rsidRPr="00E50DC5">
        <w:rPr>
          <w:rStyle w:val="ae"/>
          <w:sz w:val="18"/>
          <w:szCs w:val="18"/>
        </w:rPr>
        <w:endnoteRef/>
      </w:r>
      <w:r w:rsidRPr="00E50DC5">
        <w:rPr>
          <w:sz w:val="18"/>
          <w:szCs w:val="18"/>
        </w:rPr>
        <w:t>同上，488頁。</w:t>
      </w:r>
    </w:p>
  </w:endnote>
  <w:endnote w:id="186">
    <w:p w14:paraId="77B79221" w14:textId="0E0FF7A4" w:rsidR="009F4F5A" w:rsidRPr="00E50DC5" w:rsidRDefault="009F4F5A" w:rsidP="00E50DC5">
      <w:pPr>
        <w:pStyle w:val="ad"/>
        <w:rPr>
          <w:sz w:val="18"/>
          <w:szCs w:val="18"/>
        </w:rPr>
      </w:pPr>
      <w:r w:rsidRPr="00E50DC5">
        <w:rPr>
          <w:rStyle w:val="ae"/>
          <w:sz w:val="18"/>
          <w:szCs w:val="18"/>
        </w:rPr>
        <w:endnoteRef/>
      </w:r>
      <w:r w:rsidRPr="00E50DC5">
        <w:rPr>
          <w:sz w:val="18"/>
          <w:szCs w:val="18"/>
        </w:rPr>
        <w:t>（南朝宋）范曄撰，（唐）李賢等注，中華書局編輯部點校：《後漢書》，中華書局，1965年，2199頁。</w:t>
      </w:r>
    </w:p>
  </w:endnote>
  <w:endnote w:id="187">
    <w:p w14:paraId="426DF346" w14:textId="1CD3E717" w:rsidR="009F4F5A" w:rsidRPr="00E50DC5" w:rsidRDefault="009F4F5A" w:rsidP="00E50DC5">
      <w:pPr>
        <w:pStyle w:val="ad"/>
        <w:rPr>
          <w:sz w:val="18"/>
          <w:szCs w:val="18"/>
        </w:rPr>
      </w:pPr>
      <w:r w:rsidRPr="00E50DC5">
        <w:rPr>
          <w:rStyle w:val="ae"/>
          <w:sz w:val="18"/>
          <w:szCs w:val="18"/>
        </w:rPr>
        <w:endnoteRef/>
      </w:r>
      <w:r w:rsidRPr="00E50DC5">
        <w:rPr>
          <w:sz w:val="18"/>
          <w:szCs w:val="18"/>
        </w:rPr>
        <w:t>楊伯峻：《孟子譯注》，23頁。</w:t>
      </w:r>
    </w:p>
  </w:endnote>
  <w:endnote w:id="188">
    <w:p w14:paraId="42BABF8E" w14:textId="42009239" w:rsidR="009F4F5A" w:rsidRPr="00E50DC5" w:rsidRDefault="009F4F5A" w:rsidP="00E50DC5">
      <w:pPr>
        <w:pStyle w:val="ad"/>
        <w:rPr>
          <w:sz w:val="18"/>
          <w:szCs w:val="18"/>
        </w:rPr>
      </w:pPr>
      <w:r w:rsidRPr="00E50DC5">
        <w:rPr>
          <w:rStyle w:val="ae"/>
          <w:sz w:val="18"/>
          <w:szCs w:val="18"/>
        </w:rPr>
        <w:endnoteRef/>
      </w:r>
      <w:r w:rsidRPr="00E50DC5">
        <w:rPr>
          <w:sz w:val="18"/>
          <w:szCs w:val="18"/>
        </w:rPr>
        <w:t>楊伯峻：《孟子譯注》，335頁。</w:t>
      </w:r>
    </w:p>
  </w:endnote>
  <w:endnote w:id="189">
    <w:p w14:paraId="7C9F7AAB" w14:textId="2AF6797D" w:rsidR="009F4F5A" w:rsidRPr="00E50DC5" w:rsidRDefault="009F4F5A" w:rsidP="00E50DC5">
      <w:pPr>
        <w:pStyle w:val="ad"/>
        <w:rPr>
          <w:sz w:val="18"/>
          <w:szCs w:val="18"/>
        </w:rPr>
      </w:pPr>
      <w:r w:rsidRPr="00E50DC5">
        <w:rPr>
          <w:rStyle w:val="ae"/>
          <w:sz w:val="18"/>
          <w:szCs w:val="18"/>
        </w:rPr>
        <w:endnoteRef/>
      </w:r>
      <w:r w:rsidRPr="00E50DC5">
        <w:rPr>
          <w:sz w:val="18"/>
          <w:szCs w:val="18"/>
        </w:rPr>
        <w:t>參看張峰：《楚文字訛書研究》，上海古籍出版社，2016年，176—189頁。</w:t>
      </w:r>
    </w:p>
  </w:endnote>
  <w:endnote w:id="190">
    <w:p w14:paraId="04600B38" w14:textId="4C9F6FA6" w:rsidR="009F4F5A" w:rsidRPr="00E50DC5" w:rsidRDefault="009F4F5A" w:rsidP="00E50DC5">
      <w:pPr>
        <w:pStyle w:val="ad"/>
        <w:rPr>
          <w:sz w:val="18"/>
          <w:szCs w:val="18"/>
        </w:rPr>
      </w:pPr>
      <w:r w:rsidRPr="00E50DC5">
        <w:rPr>
          <w:rStyle w:val="ae"/>
          <w:sz w:val="18"/>
          <w:szCs w:val="18"/>
        </w:rPr>
        <w:endnoteRef/>
      </w:r>
      <w:r w:rsidRPr="00E50DC5">
        <w:rPr>
          <w:sz w:val="18"/>
          <w:szCs w:val="18"/>
        </w:rPr>
        <w:t>陳偉：《郭店簡書〈尊德義〉校釋》，載《中國哲學史》2001年第3期，114頁。</w:t>
      </w:r>
    </w:p>
  </w:endnote>
  <w:endnote w:id="191">
    <w:p w14:paraId="0BD57E3A" w14:textId="1B8B18D6" w:rsidR="009F4F5A" w:rsidRPr="00E50DC5" w:rsidRDefault="009F4F5A" w:rsidP="00E50DC5">
      <w:pPr>
        <w:pStyle w:val="ad"/>
        <w:rPr>
          <w:sz w:val="18"/>
          <w:szCs w:val="18"/>
        </w:rPr>
      </w:pPr>
      <w:r w:rsidRPr="00E50DC5">
        <w:rPr>
          <w:rStyle w:val="ae"/>
          <w:sz w:val="18"/>
          <w:szCs w:val="18"/>
        </w:rPr>
        <w:endnoteRef/>
      </w:r>
      <w:r w:rsidRPr="00E50DC5">
        <w:rPr>
          <w:sz w:val="18"/>
          <w:szCs w:val="18"/>
        </w:rPr>
        <w:t>參看本篇後文簡31—32：“仁、義，禮所由生也，四行之所和也。和則同，同則善。”</w:t>
      </w:r>
    </w:p>
  </w:endnote>
  <w:endnote w:id="192">
    <w:p w14:paraId="0710D856" w14:textId="424481F0" w:rsidR="009F4F5A" w:rsidRPr="00E50DC5" w:rsidRDefault="009F4F5A" w:rsidP="00E50DC5">
      <w:pPr>
        <w:pStyle w:val="ad"/>
        <w:rPr>
          <w:sz w:val="18"/>
          <w:szCs w:val="18"/>
        </w:rPr>
      </w:pPr>
      <w:r w:rsidRPr="00E50DC5">
        <w:rPr>
          <w:rStyle w:val="ae"/>
          <w:sz w:val="18"/>
          <w:szCs w:val="18"/>
        </w:rPr>
        <w:endnoteRef/>
      </w:r>
      <w:r w:rsidRPr="00E50DC5">
        <w:rPr>
          <w:sz w:val="18"/>
          <w:szCs w:val="18"/>
        </w:rPr>
        <w:t>本篇後文簡16“能爲一，然後能爲君子”，馬王堆帛書《老子》甲本卷后佚書《五行》“説”的部分解説此句：“能爲一者，言能以多〔爲一〕。以多爲一也者，言能以夫〔五〕（引者按：五，即指五行）爲一也。”可以參考。</w:t>
      </w:r>
    </w:p>
  </w:endnote>
  <w:endnote w:id="193">
    <w:p w14:paraId="48403531" w14:textId="5939B6DE" w:rsidR="009F4F5A" w:rsidRPr="00E50DC5" w:rsidRDefault="009F4F5A" w:rsidP="00E50DC5">
      <w:pPr>
        <w:pStyle w:val="ad"/>
        <w:rPr>
          <w:sz w:val="18"/>
          <w:szCs w:val="18"/>
        </w:rPr>
      </w:pPr>
      <w:r w:rsidRPr="00E50DC5">
        <w:rPr>
          <w:rStyle w:val="ae"/>
          <w:sz w:val="18"/>
          <w:szCs w:val="18"/>
        </w:rPr>
        <w:endnoteRef/>
      </w:r>
      <w:r w:rsidRPr="00E50DC5">
        <w:rPr>
          <w:sz w:val="18"/>
          <w:szCs w:val="18"/>
        </w:rPr>
        <w:t>（清）焦循撰，沈文倬點校：《孟子正義》，438頁。</w:t>
      </w:r>
    </w:p>
  </w:endnote>
  <w:endnote w:id="194">
    <w:p w14:paraId="302369E4" w14:textId="162944F5" w:rsidR="009F4F5A" w:rsidRPr="00E50DC5" w:rsidRDefault="009F4F5A" w:rsidP="00E50DC5">
      <w:pPr>
        <w:pStyle w:val="ad"/>
        <w:rPr>
          <w:sz w:val="18"/>
          <w:szCs w:val="18"/>
        </w:rPr>
      </w:pPr>
      <w:r w:rsidRPr="00E50DC5">
        <w:rPr>
          <w:rStyle w:val="ae"/>
          <w:sz w:val="18"/>
          <w:szCs w:val="18"/>
        </w:rPr>
        <w:endnoteRef/>
      </w:r>
      <w:r w:rsidRPr="00E50DC5">
        <w:rPr>
          <w:sz w:val="18"/>
          <w:szCs w:val="18"/>
        </w:rPr>
        <w:t>（宋）朱熹：《四書章句集注·孟子集注》，239頁。</w:t>
      </w:r>
    </w:p>
  </w:endnote>
  <w:endnote w:id="195">
    <w:p w14:paraId="2BEB8C7A" w14:textId="48472A78" w:rsidR="009F4F5A" w:rsidRPr="00E50DC5" w:rsidRDefault="009F4F5A" w:rsidP="00E50DC5">
      <w:pPr>
        <w:pStyle w:val="ad"/>
        <w:rPr>
          <w:sz w:val="18"/>
          <w:szCs w:val="18"/>
        </w:rPr>
      </w:pPr>
      <w:r w:rsidRPr="00E50DC5">
        <w:rPr>
          <w:rStyle w:val="ae"/>
          <w:sz w:val="18"/>
          <w:szCs w:val="18"/>
        </w:rPr>
        <w:endnoteRef/>
      </w:r>
      <w:r w:rsidRPr="00E50DC5">
        <w:rPr>
          <w:sz w:val="18"/>
          <w:szCs w:val="18"/>
        </w:rPr>
        <w:t>參看《現代漢語詞典》“與人爲善”條：“原指贊助人學好（引者按：此句之釋當據正文所引朱注，但從朱注全文看，似有斷章取義之嫌），現多指善意幫助別人。”</w:t>
      </w:r>
    </w:p>
  </w:endnote>
  <w:endnote w:id="196">
    <w:p w14:paraId="52FB2729" w14:textId="6D3511A9" w:rsidR="009F4F5A" w:rsidRPr="00E50DC5" w:rsidRDefault="009F4F5A" w:rsidP="00E50DC5">
      <w:pPr>
        <w:pStyle w:val="ad"/>
        <w:rPr>
          <w:sz w:val="18"/>
          <w:szCs w:val="18"/>
        </w:rPr>
      </w:pPr>
      <w:r w:rsidRPr="00E50DC5">
        <w:rPr>
          <w:rStyle w:val="ae"/>
          <w:sz w:val="18"/>
          <w:szCs w:val="18"/>
        </w:rPr>
        <w:endnoteRef/>
      </w:r>
      <w:r w:rsidRPr="00E50DC5">
        <w:rPr>
          <w:sz w:val="18"/>
          <w:szCs w:val="18"/>
        </w:rPr>
        <w:t>劉釗：《郭店楚簡〈語叢一〉箋釋》，收入氏著《古文字考釋叢稿》，嶽麓書社，2005年，260頁。</w:t>
      </w:r>
    </w:p>
  </w:endnote>
  <w:endnote w:id="197">
    <w:p w14:paraId="34AED3DA" w14:textId="27F378F5" w:rsidR="009F4F5A" w:rsidRPr="00E50DC5" w:rsidRDefault="009F4F5A" w:rsidP="00E50DC5">
      <w:pPr>
        <w:pStyle w:val="ad"/>
        <w:rPr>
          <w:sz w:val="18"/>
          <w:szCs w:val="18"/>
        </w:rPr>
      </w:pPr>
      <w:r w:rsidRPr="00E50DC5">
        <w:rPr>
          <w:rStyle w:val="ae"/>
          <w:sz w:val="18"/>
          <w:szCs w:val="18"/>
        </w:rPr>
        <w:endnoteRef/>
      </w:r>
      <w:r w:rsidRPr="00E50DC5">
        <w:rPr>
          <w:sz w:val="18"/>
          <w:szCs w:val="18"/>
        </w:rPr>
        <w:t>《漢語大詞典》“善”字義項“</w:t>
      </w:r>
      <w:r w:rsidRPr="00E50DC5">
        <w:rPr>
          <w:rFonts w:cs="Cambria Math"/>
          <w:sz w:val="18"/>
          <w:szCs w:val="18"/>
        </w:rPr>
        <w:t>①</w:t>
      </w:r>
      <w:r w:rsidRPr="00E50DC5">
        <w:rPr>
          <w:sz w:val="18"/>
          <w:szCs w:val="18"/>
        </w:rPr>
        <w:t>吉祥；好；美好”即引《中庸》“禍福將至，善，必先知之，不善，必先知之”作爲第一條用例。</w:t>
      </w:r>
    </w:p>
  </w:endnote>
  <w:endnote w:id="198">
    <w:p w14:paraId="639E0C42" w14:textId="42740C85" w:rsidR="009F4F5A" w:rsidRPr="00E50DC5" w:rsidRDefault="009F4F5A" w:rsidP="00E50DC5">
      <w:pPr>
        <w:pStyle w:val="ad"/>
        <w:rPr>
          <w:sz w:val="18"/>
          <w:szCs w:val="18"/>
        </w:rPr>
      </w:pPr>
      <w:r w:rsidRPr="00E50DC5">
        <w:rPr>
          <w:rStyle w:val="ae"/>
          <w:sz w:val="18"/>
          <w:szCs w:val="18"/>
        </w:rPr>
        <w:endnoteRef/>
      </w:r>
      <w:r w:rsidRPr="00E50DC5">
        <w:rPr>
          <w:sz w:val="18"/>
          <w:szCs w:val="18"/>
        </w:rPr>
        <w:t>楊樹達：《積微居金文説》，210頁。</w:t>
      </w:r>
    </w:p>
  </w:endnote>
  <w:endnote w:id="199">
    <w:p w14:paraId="36DDBBB3" w14:textId="786895B1" w:rsidR="009F4F5A" w:rsidRPr="00E50DC5" w:rsidRDefault="009F4F5A" w:rsidP="00E50DC5">
      <w:pPr>
        <w:pStyle w:val="ad"/>
        <w:rPr>
          <w:sz w:val="18"/>
          <w:szCs w:val="18"/>
          <w:lang w:eastAsia="zh-TW"/>
        </w:rPr>
      </w:pPr>
      <w:r w:rsidRPr="00E50DC5">
        <w:rPr>
          <w:rStyle w:val="ae"/>
          <w:sz w:val="18"/>
          <w:szCs w:val="18"/>
        </w:rPr>
        <w:endnoteRef/>
      </w:r>
      <w:r w:rsidRPr="00E50DC5">
        <w:rPr>
          <w:rFonts w:hint="eastAsia"/>
          <w:sz w:val="18"/>
          <w:szCs w:val="18"/>
          <w:lang w:eastAsia="zh-TW"/>
        </w:rPr>
        <w:t>西周銅器善鼎銘中的“善”和伯善鼎銘中的“伯善”都是器主人名。春秋時的莒</w:t>
      </w:r>
      <w:r w:rsidRPr="00E50DC5">
        <w:rPr>
          <w:sz w:val="18"/>
          <w:szCs w:val="18"/>
          <w:lang w:eastAsia="zh-TW"/>
        </w:rPr>
        <w:t>叔仲平鍾有</w:t>
      </w:r>
      <w:r w:rsidRPr="00E50DC5">
        <w:rPr>
          <w:rFonts w:hint="eastAsia"/>
          <w:sz w:val="18"/>
          <w:szCs w:val="18"/>
          <w:lang w:eastAsia="zh-TW"/>
        </w:rPr>
        <w:t>“仲平善發</w:t>
      </w:r>
      <w:r w:rsidR="00AB1FCD">
        <w:rPr>
          <w:noProof/>
        </w:rPr>
        <w:drawing>
          <wp:inline distT="0" distB="0" distL="0" distR="0" wp14:anchorId="5D5B78ED" wp14:editId="689D5F94">
            <wp:extent cx="152400" cy="152400"/>
            <wp:effectExtent l="0" t="0" r="0" b="0"/>
            <wp:docPr id="83" name="图片 8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图片"/>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E50DC5">
        <w:rPr>
          <w:rFonts w:cs="宋体" w:hint="eastAsia"/>
          <w:sz w:val="18"/>
          <w:szCs w:val="18"/>
          <w:lang w:eastAsia="zh-TW"/>
        </w:rPr>
        <w:t>（</w:t>
      </w:r>
      <w:r w:rsidRPr="00E50DC5">
        <w:rPr>
          <w:rFonts w:hint="eastAsia"/>
          <w:sz w:val="18"/>
          <w:szCs w:val="18"/>
          <w:lang w:eastAsia="zh-TW"/>
        </w:rPr>
        <w:t>黃盛璋讀爲‘且’，見《山東出土莒之銅器及其相關問題綜考》，《華夏考古》，1</w:t>
      </w:r>
      <w:r w:rsidRPr="00E50DC5">
        <w:rPr>
          <w:sz w:val="18"/>
          <w:szCs w:val="18"/>
          <w:lang w:eastAsia="zh-TW"/>
        </w:rPr>
        <w:t>992</w:t>
      </w:r>
      <w:r w:rsidRPr="00E50DC5">
        <w:rPr>
          <w:rFonts w:hint="eastAsia"/>
          <w:sz w:val="18"/>
          <w:szCs w:val="18"/>
          <w:lang w:eastAsia="zh-TW"/>
        </w:rPr>
        <w:t>年第4期，6</w:t>
      </w:r>
      <w:r w:rsidRPr="00E50DC5">
        <w:rPr>
          <w:sz w:val="18"/>
          <w:szCs w:val="18"/>
          <w:lang w:eastAsia="zh-TW"/>
        </w:rPr>
        <w:t>7</w:t>
      </w:r>
      <w:r w:rsidRPr="00E50DC5">
        <w:rPr>
          <w:rFonts w:hint="eastAsia"/>
          <w:sz w:val="18"/>
          <w:szCs w:val="18"/>
          <w:lang w:eastAsia="zh-TW"/>
        </w:rPr>
        <w:t>頁）考”語，“善”字用法應是很常見的那種帶賓語的用法，但全句語意尚無恰當解釋。故未引用。又，山東萊陽戰國早期墓中出土有一銅戈，上有“不蠶善”三字（參看《故宮文物》1993年129期11頁圖16），語意不明，附記於此。</w:t>
      </w:r>
    </w:p>
  </w:endnote>
  <w:endnote w:id="200">
    <w:p w14:paraId="5F5A7FDC" w14:textId="225FBBCD" w:rsidR="009F4F5A" w:rsidRPr="00E50DC5" w:rsidRDefault="009F4F5A" w:rsidP="00E50DC5">
      <w:pPr>
        <w:pStyle w:val="ad"/>
        <w:rPr>
          <w:sz w:val="18"/>
          <w:szCs w:val="18"/>
        </w:rPr>
      </w:pPr>
      <w:r w:rsidRPr="00E50DC5">
        <w:rPr>
          <w:rStyle w:val="ae"/>
          <w:sz w:val="18"/>
          <w:szCs w:val="18"/>
        </w:rPr>
        <w:endnoteRef/>
      </w:r>
      <w:r w:rsidRPr="00E50DC5">
        <w:rPr>
          <w:sz w:val="18"/>
          <w:szCs w:val="18"/>
        </w:rPr>
        <w:t>（清）阮元校刻：《十三經注疏·春秋左傳正義》，3881頁。</w:t>
      </w:r>
    </w:p>
  </w:endnote>
  <w:endnote w:id="201">
    <w:p w14:paraId="3F923318" w14:textId="4DB45B3F" w:rsidR="009F4F5A" w:rsidRPr="00E50DC5" w:rsidRDefault="009F4F5A" w:rsidP="00E50DC5">
      <w:pPr>
        <w:pStyle w:val="ad"/>
        <w:rPr>
          <w:sz w:val="18"/>
          <w:szCs w:val="18"/>
        </w:rPr>
      </w:pPr>
      <w:r w:rsidRPr="00E50DC5">
        <w:rPr>
          <w:rStyle w:val="ae"/>
          <w:sz w:val="18"/>
          <w:szCs w:val="18"/>
        </w:rPr>
        <w:endnoteRef/>
      </w:r>
      <w:r w:rsidRPr="00E50DC5">
        <w:rPr>
          <w:sz w:val="18"/>
          <w:szCs w:val="18"/>
        </w:rPr>
        <w:t>（清）阮元校刻：《十三經注疏·禮記正義》，2913—2914頁。</w:t>
      </w:r>
    </w:p>
  </w:endnote>
  <w:endnote w:id="202">
    <w:p w14:paraId="26CCAE8C" w14:textId="1B1D6D6F" w:rsidR="009F4F5A" w:rsidRPr="00E50DC5" w:rsidRDefault="009F4F5A" w:rsidP="00E50DC5">
      <w:pPr>
        <w:pStyle w:val="ad"/>
        <w:rPr>
          <w:sz w:val="18"/>
          <w:szCs w:val="18"/>
        </w:rPr>
      </w:pPr>
      <w:r w:rsidRPr="00E50DC5">
        <w:rPr>
          <w:rStyle w:val="ae"/>
          <w:sz w:val="18"/>
          <w:szCs w:val="18"/>
        </w:rPr>
        <w:endnoteRef/>
      </w:r>
      <w:r w:rsidRPr="00E50DC5">
        <w:rPr>
          <w:sz w:val="18"/>
          <w:szCs w:val="18"/>
        </w:rPr>
        <w:t>（清）王引之：《經義述聞》，第一册451—453頁。</w:t>
      </w:r>
    </w:p>
  </w:endnote>
  <w:endnote w:id="203">
    <w:p w14:paraId="7ADC7FC7" w14:textId="52FC043B" w:rsidR="009F4F5A" w:rsidRPr="00E50DC5" w:rsidRDefault="009F4F5A" w:rsidP="00E50DC5">
      <w:pPr>
        <w:pStyle w:val="ad"/>
        <w:rPr>
          <w:sz w:val="18"/>
          <w:szCs w:val="18"/>
        </w:rPr>
      </w:pPr>
      <w:r w:rsidRPr="00E50DC5">
        <w:rPr>
          <w:rStyle w:val="ae"/>
          <w:sz w:val="18"/>
          <w:szCs w:val="18"/>
        </w:rPr>
        <w:endnoteRef/>
      </w:r>
      <w:r w:rsidRPr="00E50DC5">
        <w:rPr>
          <w:sz w:val="18"/>
          <w:szCs w:val="18"/>
        </w:rPr>
        <w:t>（清）阮元校刻：《十三經注疏·周禮注疏》，1376頁。</w:t>
      </w:r>
    </w:p>
  </w:endnote>
  <w:endnote w:id="204">
    <w:p w14:paraId="0E57ADBA" w14:textId="293B1B29" w:rsidR="009F4F5A" w:rsidRPr="00E50DC5" w:rsidRDefault="009F4F5A" w:rsidP="00E50DC5">
      <w:pPr>
        <w:pStyle w:val="ad"/>
        <w:rPr>
          <w:sz w:val="18"/>
          <w:szCs w:val="18"/>
        </w:rPr>
      </w:pPr>
      <w:r w:rsidRPr="00E50DC5">
        <w:rPr>
          <w:rStyle w:val="ae"/>
          <w:sz w:val="18"/>
          <w:szCs w:val="18"/>
        </w:rPr>
        <w:endnoteRef/>
      </w:r>
      <w:r w:rsidRPr="00E50DC5">
        <w:rPr>
          <w:sz w:val="18"/>
          <w:szCs w:val="18"/>
        </w:rPr>
        <w:t>（清）阮元校刻：《十三經注疏·儀禮注疏》，2339頁。</w:t>
      </w:r>
    </w:p>
  </w:endnote>
  <w:endnote w:id="205">
    <w:p w14:paraId="556247FA" w14:textId="5B8DB18F" w:rsidR="009F4F5A" w:rsidRPr="00E50DC5" w:rsidRDefault="009F4F5A" w:rsidP="00E50DC5">
      <w:pPr>
        <w:pStyle w:val="ad"/>
        <w:rPr>
          <w:sz w:val="18"/>
          <w:szCs w:val="18"/>
        </w:rPr>
      </w:pPr>
      <w:r w:rsidRPr="00E50DC5">
        <w:rPr>
          <w:rStyle w:val="ae"/>
          <w:sz w:val="18"/>
          <w:szCs w:val="18"/>
        </w:rPr>
        <w:endnoteRef/>
      </w:r>
      <w:r w:rsidRPr="00E50DC5">
        <w:rPr>
          <w:sz w:val="18"/>
          <w:szCs w:val="18"/>
        </w:rPr>
        <w:t>（清）阮元校刻《十三經注疏·周禮注疏》，1615頁。</w:t>
      </w:r>
    </w:p>
  </w:endnote>
  <w:endnote w:id="206">
    <w:p w14:paraId="10654981" w14:textId="65E1A798" w:rsidR="009F4F5A" w:rsidRPr="00E50DC5" w:rsidRDefault="009F4F5A" w:rsidP="00E50DC5">
      <w:pPr>
        <w:pStyle w:val="ad"/>
        <w:rPr>
          <w:sz w:val="18"/>
          <w:szCs w:val="18"/>
          <w:lang w:eastAsia="zh-TW"/>
        </w:rPr>
      </w:pPr>
      <w:r w:rsidRPr="00E50DC5">
        <w:rPr>
          <w:rStyle w:val="ae"/>
          <w:sz w:val="18"/>
          <w:szCs w:val="18"/>
        </w:rPr>
        <w:endnoteRef/>
      </w:r>
      <w:r w:rsidRPr="00E50DC5">
        <w:rPr>
          <w:rFonts w:hint="eastAsia"/>
          <w:sz w:val="18"/>
          <w:szCs w:val="18"/>
          <w:lang w:eastAsia="zh-TW"/>
        </w:rPr>
        <w:t>參看周聰俊《簠</w:t>
      </w:r>
      <w:r w:rsidRPr="00E50DC5">
        <w:rPr>
          <w:rFonts w:ascii="SimSun-ExtB" w:eastAsia="SimSun-ExtB" w:hAnsi="SimSun-ExtB" w:cs="SimSun-ExtB" w:hint="eastAsia"/>
          <w:sz w:val="18"/>
          <w:szCs w:val="18"/>
          <w:lang w:eastAsia="zh-TW"/>
        </w:rPr>
        <w:t>𥮉</w:t>
      </w:r>
      <w:r w:rsidRPr="00E50DC5">
        <w:rPr>
          <w:rFonts w:hint="eastAsia"/>
          <w:sz w:val="18"/>
          <w:szCs w:val="18"/>
          <w:lang w:eastAsia="zh-TW"/>
        </w:rPr>
        <w:t>爲黍稷圓器說質疑》，《大陸雜志》100卷第3期，1</w:t>
      </w:r>
      <w:r w:rsidRPr="00E50DC5">
        <w:rPr>
          <w:sz w:val="18"/>
          <w:szCs w:val="18"/>
          <w:lang w:eastAsia="zh-TW"/>
        </w:rPr>
        <w:t>04</w:t>
      </w:r>
      <w:r w:rsidRPr="00E50DC5">
        <w:rPr>
          <w:rFonts w:hint="eastAsia"/>
          <w:sz w:val="18"/>
          <w:szCs w:val="18"/>
          <w:lang w:eastAsia="zh-TW"/>
        </w:rPr>
        <w:t>頁。李學勤《青銅器中的簠與鋪》，收入氏著《中國古代文明研究》，華東師範大學出版社，2</w:t>
      </w:r>
      <w:r w:rsidRPr="00E50DC5">
        <w:rPr>
          <w:sz w:val="18"/>
          <w:szCs w:val="18"/>
          <w:lang w:eastAsia="zh-TW"/>
        </w:rPr>
        <w:t>005年</w:t>
      </w:r>
      <w:r w:rsidRPr="00E50DC5">
        <w:rPr>
          <w:rFonts w:hint="eastAsia"/>
          <w:sz w:val="18"/>
          <w:szCs w:val="18"/>
          <w:lang w:eastAsia="zh-TW"/>
        </w:rPr>
        <w:t>，7</w:t>
      </w:r>
      <w:r w:rsidRPr="00E50DC5">
        <w:rPr>
          <w:sz w:val="18"/>
          <w:szCs w:val="18"/>
          <w:lang w:eastAsia="zh-TW"/>
        </w:rPr>
        <w:t>8</w:t>
      </w:r>
      <w:r w:rsidRPr="00E50DC5">
        <w:rPr>
          <w:rFonts w:hint="eastAsia"/>
          <w:sz w:val="18"/>
          <w:szCs w:val="18"/>
          <w:lang w:eastAsia="zh-TW"/>
        </w:rPr>
        <w:t>頁。</w:t>
      </w:r>
    </w:p>
  </w:endnote>
  <w:endnote w:id="207">
    <w:p w14:paraId="1C32A8E3" w14:textId="1CE75A99" w:rsidR="009F4F5A" w:rsidRPr="00E50DC5" w:rsidRDefault="009F4F5A" w:rsidP="00E50DC5">
      <w:pPr>
        <w:pStyle w:val="ad"/>
        <w:rPr>
          <w:sz w:val="18"/>
          <w:szCs w:val="18"/>
          <w:lang w:eastAsia="zh-TW"/>
        </w:rPr>
      </w:pPr>
      <w:r w:rsidRPr="00E50DC5">
        <w:rPr>
          <w:rStyle w:val="ae"/>
          <w:sz w:val="18"/>
          <w:szCs w:val="18"/>
        </w:rPr>
        <w:endnoteRef/>
      </w:r>
      <w:r w:rsidRPr="00E50DC5">
        <w:rPr>
          <w:rFonts w:hint="eastAsia"/>
          <w:sz w:val="18"/>
          <w:szCs w:val="18"/>
          <w:lang w:eastAsia="zh-TW"/>
        </w:rPr>
        <w:t>唐蘭《略論西周微史家族窖藏銅器群的重要意義》，《文物》1</w:t>
      </w:r>
      <w:r w:rsidRPr="00E50DC5">
        <w:rPr>
          <w:sz w:val="18"/>
          <w:szCs w:val="18"/>
          <w:lang w:eastAsia="zh-TW"/>
        </w:rPr>
        <w:t>978年第</w:t>
      </w:r>
      <w:r w:rsidRPr="00E50DC5">
        <w:rPr>
          <w:rFonts w:hint="eastAsia"/>
          <w:sz w:val="18"/>
          <w:szCs w:val="18"/>
          <w:lang w:eastAsia="zh-TW"/>
        </w:rPr>
        <w:t>3期，2</w:t>
      </w:r>
      <w:r w:rsidRPr="00E50DC5">
        <w:rPr>
          <w:sz w:val="18"/>
          <w:szCs w:val="18"/>
          <w:lang w:eastAsia="zh-TW"/>
        </w:rPr>
        <w:t>1</w:t>
      </w:r>
      <w:r w:rsidRPr="00E50DC5">
        <w:rPr>
          <w:rFonts w:hint="eastAsia"/>
          <w:sz w:val="18"/>
          <w:szCs w:val="18"/>
          <w:lang w:eastAsia="zh-TW"/>
        </w:rPr>
        <w:t>-</w:t>
      </w:r>
      <w:r w:rsidRPr="00E50DC5">
        <w:rPr>
          <w:sz w:val="18"/>
          <w:szCs w:val="18"/>
          <w:lang w:eastAsia="zh-TW"/>
        </w:rPr>
        <w:t>22頁</w:t>
      </w:r>
      <w:r w:rsidRPr="00E50DC5">
        <w:rPr>
          <w:rFonts w:hint="eastAsia"/>
          <w:sz w:val="18"/>
          <w:szCs w:val="18"/>
          <w:lang w:eastAsia="zh-TW"/>
        </w:rPr>
        <w:t>。</w:t>
      </w:r>
      <w:r w:rsidRPr="00E50DC5">
        <w:rPr>
          <w:sz w:val="18"/>
          <w:szCs w:val="18"/>
          <w:lang w:eastAsia="zh-TW"/>
        </w:rPr>
        <w:t>高明</w:t>
      </w:r>
      <w:r w:rsidRPr="00E50DC5">
        <w:rPr>
          <w:rFonts w:hint="eastAsia"/>
          <w:sz w:val="18"/>
          <w:szCs w:val="18"/>
          <w:lang w:eastAsia="zh-TW"/>
        </w:rPr>
        <w:t>《䀇、簠考辨》，《文物》1</w:t>
      </w:r>
      <w:r w:rsidRPr="00E50DC5">
        <w:rPr>
          <w:sz w:val="18"/>
          <w:szCs w:val="18"/>
          <w:lang w:eastAsia="zh-TW"/>
        </w:rPr>
        <w:t>982年第</w:t>
      </w:r>
      <w:r w:rsidRPr="00E50DC5">
        <w:rPr>
          <w:rFonts w:hint="eastAsia"/>
          <w:sz w:val="18"/>
          <w:szCs w:val="18"/>
          <w:lang w:eastAsia="zh-TW"/>
        </w:rPr>
        <w:t>6期，</w:t>
      </w:r>
      <w:r w:rsidRPr="00E50DC5">
        <w:rPr>
          <w:sz w:val="18"/>
          <w:szCs w:val="18"/>
          <w:lang w:eastAsia="zh-TW"/>
        </w:rPr>
        <w:t>70</w:t>
      </w:r>
      <w:r w:rsidRPr="00E50DC5">
        <w:rPr>
          <w:rFonts w:hint="eastAsia"/>
          <w:sz w:val="18"/>
          <w:szCs w:val="18"/>
          <w:lang w:eastAsia="zh-TW"/>
        </w:rPr>
        <w:t>-</w:t>
      </w:r>
      <w:r w:rsidRPr="00E50DC5">
        <w:rPr>
          <w:sz w:val="18"/>
          <w:szCs w:val="18"/>
          <w:lang w:eastAsia="zh-TW"/>
        </w:rPr>
        <w:t>73</w:t>
      </w:r>
      <w:r w:rsidRPr="00E50DC5">
        <w:rPr>
          <w:rFonts w:hint="eastAsia"/>
          <w:sz w:val="18"/>
          <w:szCs w:val="18"/>
          <w:lang w:eastAsia="zh-TW"/>
        </w:rPr>
        <w:t>、8</w:t>
      </w:r>
      <w:r w:rsidRPr="00E50DC5">
        <w:rPr>
          <w:sz w:val="18"/>
          <w:szCs w:val="18"/>
          <w:lang w:eastAsia="zh-TW"/>
        </w:rPr>
        <w:t>5頁</w:t>
      </w:r>
      <w:r w:rsidRPr="00E50DC5">
        <w:rPr>
          <w:rFonts w:hint="eastAsia"/>
          <w:sz w:val="18"/>
          <w:szCs w:val="18"/>
          <w:lang w:eastAsia="zh-TW"/>
        </w:rPr>
        <w:t>。下文簡稱“唐文”“高文”。</w:t>
      </w:r>
    </w:p>
  </w:endnote>
  <w:endnote w:id="208">
    <w:p w14:paraId="7D20CC7A" w14:textId="728B5407" w:rsidR="009F4F5A" w:rsidRPr="00E50DC5" w:rsidRDefault="009F4F5A" w:rsidP="00E50DC5">
      <w:pPr>
        <w:pStyle w:val="ad"/>
        <w:rPr>
          <w:sz w:val="18"/>
          <w:szCs w:val="18"/>
          <w:lang w:eastAsia="zh-TW"/>
        </w:rPr>
      </w:pPr>
      <w:r w:rsidRPr="00E50DC5">
        <w:rPr>
          <w:rStyle w:val="ae"/>
          <w:sz w:val="18"/>
          <w:szCs w:val="18"/>
        </w:rPr>
        <w:endnoteRef/>
      </w:r>
      <w:r w:rsidRPr="00E50DC5">
        <w:rPr>
          <w:sz w:val="18"/>
          <w:szCs w:val="18"/>
          <w:lang w:eastAsia="zh-TW"/>
        </w:rPr>
        <w:t>董蓮池：《新金文編》，作家出版社，2011年，598—604頁。</w:t>
      </w:r>
    </w:p>
  </w:endnote>
  <w:endnote w:id="209">
    <w:p w14:paraId="2436CFE2" w14:textId="66239670" w:rsidR="009F4F5A" w:rsidRPr="00E50DC5" w:rsidRDefault="009F4F5A" w:rsidP="00E50DC5">
      <w:pPr>
        <w:pStyle w:val="ad"/>
        <w:rPr>
          <w:sz w:val="18"/>
          <w:szCs w:val="18"/>
          <w:lang w:eastAsia="zh-TW"/>
        </w:rPr>
      </w:pPr>
      <w:r w:rsidRPr="00E50DC5">
        <w:rPr>
          <w:rStyle w:val="ae"/>
          <w:sz w:val="18"/>
          <w:szCs w:val="18"/>
        </w:rPr>
        <w:endnoteRef/>
      </w:r>
      <w:r w:rsidRPr="00E50DC5">
        <w:rPr>
          <w:rFonts w:hint="eastAsia"/>
          <w:sz w:val="18"/>
          <w:szCs w:val="18"/>
          <w:lang w:eastAsia="zh-TW"/>
        </w:rPr>
        <w:t>參看趙平安《䀇、簠再辨》，《古文字研究》3</w:t>
      </w:r>
      <w:r w:rsidRPr="00E50DC5">
        <w:rPr>
          <w:sz w:val="18"/>
          <w:szCs w:val="18"/>
          <w:lang w:eastAsia="zh-TW"/>
        </w:rPr>
        <w:t>1</w:t>
      </w:r>
      <w:r w:rsidRPr="00E50DC5">
        <w:rPr>
          <w:rFonts w:hint="eastAsia"/>
          <w:sz w:val="18"/>
          <w:szCs w:val="18"/>
          <w:lang w:eastAsia="zh-TW"/>
        </w:rPr>
        <w:t>輯，中華書局，2</w:t>
      </w:r>
      <w:r w:rsidRPr="00E50DC5">
        <w:rPr>
          <w:sz w:val="18"/>
          <w:szCs w:val="18"/>
          <w:lang w:eastAsia="zh-TW"/>
        </w:rPr>
        <w:t>28頁</w:t>
      </w:r>
      <w:r w:rsidRPr="00E50DC5">
        <w:rPr>
          <w:rFonts w:hint="eastAsia"/>
          <w:sz w:val="18"/>
          <w:szCs w:val="18"/>
          <w:lang w:eastAsia="zh-TW"/>
        </w:rPr>
        <w:t>。</w:t>
      </w:r>
    </w:p>
  </w:endnote>
  <w:endnote w:id="210">
    <w:p w14:paraId="42EF0F8D" w14:textId="7E4F374D" w:rsidR="009F4F5A" w:rsidRPr="00E50DC5" w:rsidRDefault="009F4F5A" w:rsidP="00E50DC5">
      <w:pPr>
        <w:pStyle w:val="ad"/>
        <w:rPr>
          <w:sz w:val="18"/>
          <w:szCs w:val="18"/>
          <w:lang w:eastAsia="zh-TW"/>
        </w:rPr>
      </w:pPr>
      <w:r w:rsidRPr="00E50DC5">
        <w:rPr>
          <w:rStyle w:val="ae"/>
          <w:sz w:val="18"/>
          <w:szCs w:val="18"/>
        </w:rPr>
        <w:endnoteRef/>
      </w:r>
      <w:r w:rsidRPr="00E50DC5">
        <w:rPr>
          <w:rFonts w:hint="eastAsia"/>
          <w:sz w:val="18"/>
          <w:szCs w:val="18"/>
          <w:lang w:eastAsia="zh-TW"/>
        </w:rPr>
        <w:t>參看李學勤《青銅器中簠與鋪》、周聰俊《簠</w:t>
      </w:r>
      <w:r w:rsidRPr="00E50DC5">
        <w:rPr>
          <w:rFonts w:ascii="SimSun-ExtB" w:eastAsia="SimSun-ExtB" w:hAnsi="SimSun-ExtB" w:cs="SimSun-ExtB" w:hint="eastAsia"/>
          <w:sz w:val="18"/>
          <w:szCs w:val="18"/>
          <w:lang w:eastAsia="zh-TW"/>
        </w:rPr>
        <w:t>𥮉</w:t>
      </w:r>
      <w:r w:rsidRPr="00E50DC5">
        <w:rPr>
          <w:rFonts w:hint="eastAsia"/>
          <w:sz w:val="18"/>
          <w:szCs w:val="18"/>
          <w:lang w:eastAsia="zh-TW"/>
        </w:rPr>
        <w:t>爲黍稷圓器說質疑》。關於字音相近的問題，還可參看趙平安《䀇、簠再辨》。</w:t>
      </w:r>
    </w:p>
  </w:endnote>
  <w:endnote w:id="211">
    <w:p w14:paraId="2AF9D297" w14:textId="40098566" w:rsidR="009F4F5A" w:rsidRPr="00E50DC5" w:rsidRDefault="009F4F5A" w:rsidP="00E50DC5">
      <w:pPr>
        <w:pStyle w:val="ad"/>
        <w:rPr>
          <w:sz w:val="18"/>
          <w:szCs w:val="18"/>
        </w:rPr>
      </w:pPr>
      <w:r w:rsidRPr="00E50DC5">
        <w:rPr>
          <w:rStyle w:val="ae"/>
          <w:sz w:val="18"/>
          <w:szCs w:val="18"/>
        </w:rPr>
        <w:endnoteRef/>
      </w:r>
      <w:r w:rsidRPr="00E50DC5">
        <w:rPr>
          <w:sz w:val="18"/>
          <w:szCs w:val="18"/>
        </w:rPr>
        <w:t>（清）阮元校刻：《十三經注疏·儀禮注疏》，2339頁。</w:t>
      </w:r>
    </w:p>
  </w:endnote>
  <w:endnote w:id="212">
    <w:p w14:paraId="6030AF38" w14:textId="484F80C8" w:rsidR="009F4F5A" w:rsidRPr="00E50DC5" w:rsidRDefault="009F4F5A" w:rsidP="00E50DC5">
      <w:pPr>
        <w:pStyle w:val="ad"/>
        <w:rPr>
          <w:sz w:val="18"/>
          <w:szCs w:val="18"/>
        </w:rPr>
      </w:pPr>
      <w:r w:rsidRPr="00E50DC5">
        <w:rPr>
          <w:rStyle w:val="ae"/>
          <w:sz w:val="18"/>
          <w:szCs w:val="18"/>
        </w:rPr>
        <w:endnoteRef/>
      </w:r>
      <w:r w:rsidRPr="00E50DC5">
        <w:rPr>
          <w:sz w:val="18"/>
          <w:szCs w:val="18"/>
        </w:rPr>
        <w:t>李學勤：《棗莊徐樓村宋公鼎與費國》，《史學月刊》2012年第1期，128—129頁。</w:t>
      </w:r>
    </w:p>
  </w:endnote>
  <w:endnote w:id="213">
    <w:p w14:paraId="6340E027" w14:textId="2D0C539F" w:rsidR="009F4F5A" w:rsidRPr="00E50DC5" w:rsidRDefault="009F4F5A" w:rsidP="00E50DC5">
      <w:pPr>
        <w:pStyle w:val="ad"/>
        <w:rPr>
          <w:sz w:val="18"/>
          <w:szCs w:val="18"/>
        </w:rPr>
      </w:pPr>
      <w:r w:rsidRPr="00E50DC5">
        <w:rPr>
          <w:rStyle w:val="ae"/>
          <w:sz w:val="18"/>
          <w:szCs w:val="18"/>
        </w:rPr>
        <w:endnoteRef/>
      </w:r>
      <w:r w:rsidRPr="00E50DC5">
        <w:rPr>
          <w:sz w:val="18"/>
          <w:szCs w:val="18"/>
        </w:rPr>
        <w:t>（秦）吕不韋編，許維遹集釋，梁運華整理：《吕氏春秋集釋》，中華書局，2009年，519頁。</w:t>
      </w:r>
    </w:p>
  </w:endnote>
  <w:endnote w:id="214">
    <w:p w14:paraId="6068203B" w14:textId="4CF0C1DE" w:rsidR="009F4F5A" w:rsidRPr="00E50DC5" w:rsidRDefault="009F4F5A" w:rsidP="00E50DC5">
      <w:pPr>
        <w:pStyle w:val="ad"/>
        <w:rPr>
          <w:sz w:val="18"/>
          <w:szCs w:val="18"/>
        </w:rPr>
      </w:pPr>
      <w:r w:rsidRPr="00E50DC5">
        <w:rPr>
          <w:rStyle w:val="ae"/>
          <w:sz w:val="18"/>
          <w:szCs w:val="18"/>
        </w:rPr>
        <w:endnoteRef/>
      </w:r>
      <w:r w:rsidRPr="00E50DC5">
        <w:rPr>
          <w:sz w:val="18"/>
          <w:szCs w:val="18"/>
        </w:rPr>
        <w:t>（清）阮元校刻：《十三經注疏·禮記正義》，3286頁。</w:t>
      </w:r>
    </w:p>
  </w:endnote>
  <w:endnote w:id="215">
    <w:p w14:paraId="78AB3B33" w14:textId="4B4A49F3" w:rsidR="009F4F5A" w:rsidRPr="00E50DC5" w:rsidRDefault="009F4F5A" w:rsidP="00E50DC5">
      <w:pPr>
        <w:pStyle w:val="ad"/>
        <w:rPr>
          <w:sz w:val="18"/>
          <w:szCs w:val="18"/>
        </w:rPr>
      </w:pPr>
      <w:r w:rsidRPr="00E50DC5">
        <w:rPr>
          <w:rStyle w:val="ae"/>
          <w:sz w:val="18"/>
          <w:szCs w:val="18"/>
        </w:rPr>
        <w:endnoteRef/>
      </w:r>
      <w:r w:rsidRPr="00E50DC5">
        <w:rPr>
          <w:sz w:val="18"/>
          <w:szCs w:val="18"/>
        </w:rPr>
        <w:t>（清）阮元校刻：《十三經注疏·周禮注疏》，1424頁。</w:t>
      </w:r>
    </w:p>
  </w:endnote>
  <w:endnote w:id="216">
    <w:p w14:paraId="0F88B5FC" w14:textId="7C03C31E" w:rsidR="009F4F5A" w:rsidRPr="00E50DC5" w:rsidRDefault="009F4F5A" w:rsidP="00E50DC5">
      <w:pPr>
        <w:pStyle w:val="ad"/>
        <w:rPr>
          <w:sz w:val="18"/>
          <w:szCs w:val="18"/>
        </w:rPr>
      </w:pPr>
      <w:r w:rsidRPr="00E50DC5">
        <w:rPr>
          <w:rStyle w:val="ae"/>
          <w:sz w:val="18"/>
          <w:szCs w:val="18"/>
        </w:rPr>
        <w:endnoteRef/>
      </w:r>
      <w:r w:rsidRPr="00E50DC5">
        <w:rPr>
          <w:sz w:val="18"/>
          <w:szCs w:val="18"/>
        </w:rPr>
        <w:t>（清）阮元校刻：《十三經注疏·周禮注疏》，1424頁。</w:t>
      </w:r>
    </w:p>
  </w:endnote>
  <w:endnote w:id="217">
    <w:p w14:paraId="6ECB79F4" w14:textId="37615FEB" w:rsidR="009F4F5A" w:rsidRPr="00E50DC5" w:rsidRDefault="009F4F5A" w:rsidP="00E50DC5">
      <w:pPr>
        <w:pStyle w:val="ad"/>
        <w:rPr>
          <w:sz w:val="18"/>
          <w:szCs w:val="18"/>
        </w:rPr>
      </w:pPr>
      <w:r w:rsidRPr="00E50DC5">
        <w:rPr>
          <w:rStyle w:val="ae"/>
          <w:sz w:val="18"/>
          <w:szCs w:val="18"/>
        </w:rPr>
        <w:endnoteRef/>
      </w:r>
      <w:r w:rsidRPr="00E50DC5">
        <w:rPr>
          <w:sz w:val="18"/>
          <w:szCs w:val="18"/>
        </w:rPr>
        <w:t>李學勤主編：《清華大學藏戰國竹書》[柒]，96頁注[二九]。</w:t>
      </w:r>
    </w:p>
  </w:endnote>
  <w:endnote w:id="218">
    <w:p w14:paraId="4F8F2DD7" w14:textId="2DA98454" w:rsidR="009F4F5A" w:rsidRPr="00E50DC5" w:rsidRDefault="009F4F5A" w:rsidP="00E50DC5">
      <w:pPr>
        <w:pStyle w:val="ad"/>
        <w:rPr>
          <w:sz w:val="18"/>
          <w:szCs w:val="18"/>
        </w:rPr>
      </w:pPr>
      <w:r w:rsidRPr="00E50DC5">
        <w:rPr>
          <w:rStyle w:val="ae"/>
          <w:sz w:val="18"/>
          <w:szCs w:val="18"/>
        </w:rPr>
        <w:endnoteRef/>
      </w:r>
      <w:r w:rsidRPr="00E50DC5">
        <w:rPr>
          <w:sz w:val="18"/>
          <w:szCs w:val="18"/>
        </w:rPr>
        <w:t>（清）阮元校刻：《十三經注疏·儀禮注疏》，2110頁。</w:t>
      </w:r>
    </w:p>
  </w:endnote>
  <w:endnote w:id="219">
    <w:p w14:paraId="54CBA9E6" w14:textId="5B4648B4" w:rsidR="009F4F5A" w:rsidRPr="00E50DC5" w:rsidRDefault="009F4F5A" w:rsidP="00E50DC5">
      <w:pPr>
        <w:pStyle w:val="ad"/>
        <w:rPr>
          <w:sz w:val="18"/>
          <w:szCs w:val="18"/>
        </w:rPr>
      </w:pPr>
      <w:r w:rsidRPr="00E50DC5">
        <w:rPr>
          <w:rStyle w:val="ae"/>
          <w:sz w:val="18"/>
          <w:szCs w:val="18"/>
        </w:rPr>
        <w:endnoteRef/>
      </w:r>
      <w:r w:rsidRPr="00E50DC5">
        <w:rPr>
          <w:sz w:val="18"/>
          <w:szCs w:val="18"/>
        </w:rPr>
        <w:t>（清）阮元校刻：《十三經注疏·禮記正義》，3040頁。</w:t>
      </w:r>
    </w:p>
  </w:endnote>
  <w:endnote w:id="220">
    <w:p w14:paraId="05ABFA8A" w14:textId="32601874" w:rsidR="009F4F5A" w:rsidRPr="00E50DC5" w:rsidRDefault="009F4F5A" w:rsidP="00E50DC5">
      <w:pPr>
        <w:pStyle w:val="ad"/>
        <w:rPr>
          <w:sz w:val="18"/>
          <w:szCs w:val="18"/>
        </w:rPr>
      </w:pPr>
      <w:r w:rsidRPr="00E50DC5">
        <w:rPr>
          <w:rStyle w:val="ae"/>
          <w:sz w:val="18"/>
          <w:szCs w:val="18"/>
        </w:rPr>
        <w:endnoteRef/>
      </w:r>
      <w:r w:rsidRPr="00E50DC5">
        <w:rPr>
          <w:sz w:val="18"/>
          <w:szCs w:val="18"/>
        </w:rPr>
        <w:t>參看裘錫圭：《文字學概要》修訂本，商務印書館，2013年，144—145頁。</w:t>
      </w:r>
    </w:p>
  </w:endnote>
  <w:endnote w:id="221">
    <w:p w14:paraId="65D32BB0" w14:textId="2B96E5AB" w:rsidR="009F4F5A" w:rsidRPr="00E50DC5" w:rsidRDefault="009F4F5A" w:rsidP="00E50DC5">
      <w:pPr>
        <w:pStyle w:val="ad"/>
        <w:rPr>
          <w:sz w:val="18"/>
          <w:szCs w:val="18"/>
          <w:lang w:eastAsia="zh-TW"/>
        </w:rPr>
      </w:pPr>
      <w:r w:rsidRPr="00E50DC5">
        <w:rPr>
          <w:rStyle w:val="ae"/>
          <w:sz w:val="18"/>
          <w:szCs w:val="18"/>
        </w:rPr>
        <w:endnoteRef/>
      </w:r>
      <w:r w:rsidRPr="00E50DC5">
        <w:rPr>
          <w:sz w:val="18"/>
          <w:szCs w:val="18"/>
        </w:rPr>
        <w:t>《商書·盤庚》上篇有兩個“善”字：“世選（從俞樾讀爲‘纂’，訓繼，參看顧頡剛、劉起釪：《尚書校釋譯論》，945頁）爾勞，予不掩爾善（當指做得好的事，下句“善”字同）”，“用罪伐厥死，用德彰厥善”。中篇有兩個“能”字：“汝罔能迪”，“不能胥匡以生”。《盤庚》篇的史料價值雖然較高，但顯然是經過周人改寫的，似不能當作真正的商代語言資料來看。清華簡《説命下》簡1—2有“脜（柔）遠能逐（邇）”，此爲周代常用語，疑爲後人摻入。</w:t>
      </w:r>
    </w:p>
  </w:endnote>
  <w:endnote w:id="222">
    <w:p w14:paraId="5EB695B4" w14:textId="56F5AE8E" w:rsidR="009F4F5A" w:rsidRPr="00E50DC5" w:rsidRDefault="009F4F5A" w:rsidP="00E50DC5">
      <w:pPr>
        <w:pStyle w:val="ad"/>
        <w:rPr>
          <w:sz w:val="18"/>
          <w:szCs w:val="18"/>
        </w:rPr>
      </w:pPr>
      <w:r w:rsidRPr="00E50DC5">
        <w:rPr>
          <w:rStyle w:val="ae"/>
          <w:sz w:val="18"/>
          <w:szCs w:val="18"/>
        </w:rPr>
        <w:endnoteRef/>
      </w:r>
      <w:r w:rsidRPr="00E50DC5">
        <w:rPr>
          <w:sz w:val="18"/>
          <w:szCs w:val="18"/>
        </w:rPr>
        <w:t>參看裘錫圭主編：《長沙馬王堆漢墓簡帛集成》第四册《老子甲本·道篇》，46頁注[三一]；《老子乙本·道篇》，208頁注[九]。</w:t>
      </w:r>
    </w:p>
  </w:endnote>
  <w:endnote w:id="223">
    <w:p w14:paraId="552BEF36" w14:textId="2A366AD5" w:rsidR="009F4F5A" w:rsidRPr="00E50DC5" w:rsidRDefault="009F4F5A" w:rsidP="00E50DC5">
      <w:pPr>
        <w:pStyle w:val="ad"/>
        <w:rPr>
          <w:sz w:val="18"/>
          <w:szCs w:val="18"/>
        </w:rPr>
      </w:pPr>
      <w:r w:rsidRPr="00E50DC5">
        <w:rPr>
          <w:rStyle w:val="ae"/>
          <w:sz w:val="18"/>
          <w:szCs w:val="18"/>
        </w:rPr>
        <w:endnoteRef/>
      </w:r>
      <w:r w:rsidRPr="00E50DC5">
        <w:rPr>
          <w:sz w:val="18"/>
          <w:szCs w:val="18"/>
        </w:rPr>
        <w:t>蔣錫昌：《老子校詁》，商務印書館，1937年，123頁。</w:t>
      </w:r>
    </w:p>
  </w:endnote>
  <w:endnote w:id="224">
    <w:p w14:paraId="02905C7E" w14:textId="04AD40C7" w:rsidR="009F4F5A" w:rsidRPr="00E50DC5" w:rsidRDefault="009F4F5A" w:rsidP="00E50DC5">
      <w:pPr>
        <w:pStyle w:val="ad"/>
        <w:rPr>
          <w:sz w:val="18"/>
          <w:szCs w:val="18"/>
        </w:rPr>
      </w:pPr>
      <w:r w:rsidRPr="00E50DC5">
        <w:rPr>
          <w:rStyle w:val="ae"/>
          <w:sz w:val="18"/>
          <w:szCs w:val="18"/>
        </w:rPr>
        <w:endnoteRef/>
      </w:r>
      <w:r w:rsidRPr="00E50DC5">
        <w:rPr>
          <w:sz w:val="18"/>
          <w:szCs w:val="18"/>
        </w:rPr>
        <w:t>參看裘錫圭主編：《長沙馬王堆漢墓簡帛集成》第四册《老子甲本·德篇》，33頁注[一四一]。</w:t>
      </w:r>
    </w:p>
  </w:endnote>
  <w:endnote w:id="225">
    <w:p w14:paraId="5D2797CB" w14:textId="059ACC24" w:rsidR="009F4F5A" w:rsidRPr="00E50DC5" w:rsidRDefault="009F4F5A" w:rsidP="00E50DC5">
      <w:pPr>
        <w:pStyle w:val="ad"/>
        <w:rPr>
          <w:sz w:val="18"/>
          <w:szCs w:val="18"/>
        </w:rPr>
      </w:pPr>
      <w:r w:rsidRPr="00E50DC5">
        <w:rPr>
          <w:rStyle w:val="ae"/>
          <w:sz w:val="18"/>
          <w:szCs w:val="18"/>
        </w:rPr>
        <w:endnoteRef/>
      </w:r>
      <w:r w:rsidRPr="00E50DC5">
        <w:rPr>
          <w:sz w:val="18"/>
          <w:szCs w:val="18"/>
        </w:rPr>
        <w:t>吴澄：《道德真經注》，載《道藏》第12册，文物出版社、上海書店、天津古籍出版社，1988年，0820b頁。</w:t>
      </w:r>
    </w:p>
  </w:endnote>
  <w:endnote w:id="226">
    <w:p w14:paraId="7EB062F6" w14:textId="1E963D3F" w:rsidR="009F4F5A" w:rsidRPr="00E50DC5" w:rsidRDefault="009F4F5A" w:rsidP="00E50DC5">
      <w:pPr>
        <w:pStyle w:val="ad"/>
        <w:rPr>
          <w:sz w:val="18"/>
          <w:szCs w:val="18"/>
        </w:rPr>
      </w:pPr>
      <w:r w:rsidRPr="00E50DC5">
        <w:rPr>
          <w:rStyle w:val="ae"/>
          <w:sz w:val="18"/>
          <w:szCs w:val="18"/>
        </w:rPr>
        <w:endnoteRef/>
      </w:r>
      <w:r w:rsidRPr="00E50DC5">
        <w:rPr>
          <w:sz w:val="18"/>
          <w:szCs w:val="18"/>
        </w:rPr>
        <w:t>參看裘錫圭主編：《長沙馬王堆漢墓簡帛集成》第四册《老子甲本·德篇》，18頁注[五八]。</w:t>
      </w:r>
    </w:p>
  </w:endnote>
  <w:endnote w:id="227">
    <w:p w14:paraId="07872AF8" w14:textId="04B86E43" w:rsidR="009F4F5A" w:rsidRPr="00E50DC5" w:rsidRDefault="009F4F5A" w:rsidP="00E50DC5">
      <w:pPr>
        <w:pStyle w:val="ad"/>
        <w:rPr>
          <w:sz w:val="18"/>
          <w:szCs w:val="18"/>
        </w:rPr>
      </w:pPr>
      <w:r w:rsidRPr="00E50DC5">
        <w:rPr>
          <w:rStyle w:val="ae"/>
          <w:sz w:val="18"/>
          <w:szCs w:val="18"/>
        </w:rPr>
        <w:endnoteRef/>
      </w:r>
      <w:r w:rsidRPr="00E50DC5">
        <w:rPr>
          <w:sz w:val="18"/>
          <w:szCs w:val="18"/>
        </w:rPr>
        <w:t>參看北京大學出土文獻研究所編：《北京大學藏西漢竹書》[貳]，上海古籍出版社，2012年，128頁。</w:t>
      </w:r>
    </w:p>
  </w:endnote>
  <w:endnote w:id="228">
    <w:p w14:paraId="649D114D" w14:textId="326AA1AF" w:rsidR="009F4F5A" w:rsidRPr="00E50DC5" w:rsidRDefault="009F4F5A" w:rsidP="00E50DC5">
      <w:pPr>
        <w:pStyle w:val="ad"/>
        <w:rPr>
          <w:sz w:val="18"/>
          <w:szCs w:val="18"/>
        </w:rPr>
      </w:pPr>
      <w:r w:rsidRPr="00E50DC5">
        <w:rPr>
          <w:rStyle w:val="ae"/>
          <w:sz w:val="18"/>
          <w:szCs w:val="18"/>
        </w:rPr>
        <w:endnoteRef/>
      </w:r>
      <w:r w:rsidRPr="00E50DC5">
        <w:rPr>
          <w:sz w:val="18"/>
          <w:szCs w:val="18"/>
        </w:rPr>
        <w:t>參看蔣錫昌：《老子校詁》，306頁。</w:t>
      </w:r>
    </w:p>
  </w:endnote>
  <w:endnote w:id="229">
    <w:p w14:paraId="396E6A27" w14:textId="3FC989E5" w:rsidR="009F4F5A" w:rsidRPr="00E50DC5" w:rsidRDefault="009F4F5A" w:rsidP="00E50DC5">
      <w:pPr>
        <w:pStyle w:val="ad"/>
        <w:rPr>
          <w:sz w:val="18"/>
          <w:szCs w:val="18"/>
        </w:rPr>
      </w:pPr>
      <w:r w:rsidRPr="00E50DC5">
        <w:rPr>
          <w:rStyle w:val="ae"/>
          <w:sz w:val="18"/>
          <w:szCs w:val="18"/>
        </w:rPr>
        <w:endnoteRef/>
      </w:r>
      <w:r w:rsidRPr="00E50DC5">
        <w:rPr>
          <w:sz w:val="18"/>
          <w:szCs w:val="18"/>
        </w:rPr>
        <w:t>同上注。</w:t>
      </w:r>
    </w:p>
  </w:endnote>
  <w:endnote w:id="230">
    <w:p w14:paraId="36CA4382" w14:textId="31BBEF6F" w:rsidR="009F4F5A" w:rsidRPr="00E50DC5" w:rsidRDefault="009F4F5A" w:rsidP="00E50DC5">
      <w:pPr>
        <w:pStyle w:val="ad"/>
        <w:rPr>
          <w:sz w:val="18"/>
          <w:szCs w:val="18"/>
        </w:rPr>
      </w:pPr>
      <w:r w:rsidRPr="00E50DC5">
        <w:rPr>
          <w:rStyle w:val="ae"/>
          <w:sz w:val="18"/>
          <w:szCs w:val="18"/>
        </w:rPr>
        <w:endnoteRef/>
      </w:r>
      <w:r w:rsidRPr="00E50DC5">
        <w:rPr>
          <w:sz w:val="18"/>
          <w:szCs w:val="18"/>
        </w:rPr>
        <w:t>參看北京大學出土文獻研究所編：《北京大學藏西漢竹書》[貳]，128頁。</w:t>
      </w:r>
    </w:p>
  </w:endnote>
  <w:endnote w:id="231">
    <w:p w14:paraId="73400F3A" w14:textId="11DD359E" w:rsidR="009F4F5A" w:rsidRPr="00E50DC5" w:rsidRDefault="009F4F5A" w:rsidP="00E50DC5">
      <w:pPr>
        <w:pStyle w:val="ad"/>
        <w:rPr>
          <w:sz w:val="18"/>
          <w:szCs w:val="18"/>
        </w:rPr>
      </w:pPr>
      <w:r w:rsidRPr="00E50DC5">
        <w:rPr>
          <w:rStyle w:val="ae"/>
          <w:sz w:val="18"/>
          <w:szCs w:val="18"/>
        </w:rPr>
        <w:endnoteRef/>
      </w:r>
      <w:r w:rsidRPr="00E50DC5">
        <w:rPr>
          <w:sz w:val="18"/>
          <w:szCs w:val="18"/>
        </w:rPr>
        <w:t>吴澄：《道德真經注》，載《道藏》第12册，0804c頁。</w:t>
      </w:r>
    </w:p>
  </w:endnote>
  <w:endnote w:id="232">
    <w:p w14:paraId="4A407936" w14:textId="6E5E9C07" w:rsidR="009F4F5A" w:rsidRPr="00E50DC5" w:rsidRDefault="009F4F5A" w:rsidP="00E50DC5">
      <w:pPr>
        <w:pStyle w:val="ad"/>
        <w:rPr>
          <w:sz w:val="18"/>
          <w:szCs w:val="18"/>
          <w:lang w:eastAsia="zh-TW"/>
        </w:rPr>
      </w:pPr>
      <w:r w:rsidRPr="00E50DC5">
        <w:rPr>
          <w:rStyle w:val="ae"/>
          <w:sz w:val="18"/>
          <w:szCs w:val="18"/>
        </w:rPr>
        <w:endnoteRef/>
      </w:r>
      <w:r w:rsidRPr="00E50DC5">
        <w:rPr>
          <w:sz w:val="18"/>
          <w:szCs w:val="18"/>
        </w:rPr>
        <w:t>任繼愈：《老子今譯》，古籍出版社，1956年，1—2頁。任氏1985年在上海古籍出版社出版的《老子新譯》（修訂本63頁）同。</w:t>
      </w:r>
    </w:p>
  </w:endnote>
  <w:endnote w:id="233">
    <w:p w14:paraId="5EEAA1C1" w14:textId="3E94AA22" w:rsidR="009F4F5A" w:rsidRPr="00E50DC5" w:rsidRDefault="009F4F5A" w:rsidP="00E50DC5">
      <w:pPr>
        <w:pStyle w:val="ad"/>
        <w:rPr>
          <w:sz w:val="18"/>
          <w:szCs w:val="18"/>
        </w:rPr>
      </w:pPr>
      <w:r w:rsidRPr="00E50DC5">
        <w:rPr>
          <w:rStyle w:val="ae"/>
          <w:sz w:val="18"/>
          <w:szCs w:val="18"/>
        </w:rPr>
        <w:endnoteRef/>
      </w:r>
      <w:r w:rsidRPr="00E50DC5">
        <w:rPr>
          <w:sz w:val="18"/>
          <w:szCs w:val="18"/>
        </w:rPr>
        <w:t>陳鼓應：《老子今注今譯》（參照簡帛本最新修訂版），商務印書館，2020年，83—84頁。</w:t>
      </w:r>
    </w:p>
  </w:endnote>
  <w:endnote w:id="234">
    <w:p w14:paraId="142F0467" w14:textId="684FC246" w:rsidR="009F4F5A" w:rsidRPr="00E50DC5" w:rsidRDefault="009F4F5A" w:rsidP="00E50DC5">
      <w:pPr>
        <w:pStyle w:val="ad"/>
        <w:rPr>
          <w:sz w:val="18"/>
          <w:szCs w:val="18"/>
        </w:rPr>
      </w:pPr>
      <w:r w:rsidRPr="00E50DC5">
        <w:rPr>
          <w:rStyle w:val="ae"/>
          <w:sz w:val="18"/>
          <w:szCs w:val="18"/>
        </w:rPr>
        <w:endnoteRef/>
      </w:r>
      <w:r w:rsidRPr="00E50DC5">
        <w:rPr>
          <w:sz w:val="18"/>
          <w:szCs w:val="18"/>
        </w:rPr>
        <w:t>按照這種理解，“斯”字後面當有個“有/生”字，究竟是當初記録老子話的人或者早期的傳抄者漏去或刪去了“有/生”字，還是老子當初爲强調語氣，有意不加“有/生”一類字，還是另有原因（也許我們對古代“斯”字的用法還了解得不够），現在已經很難判定了。</w:t>
      </w:r>
    </w:p>
  </w:endnote>
  <w:endnote w:id="235">
    <w:p w14:paraId="12A3C32D" w14:textId="56DCF529" w:rsidR="009F4F5A" w:rsidRPr="00E50DC5" w:rsidRDefault="009F4F5A" w:rsidP="00E50DC5">
      <w:pPr>
        <w:pStyle w:val="ad"/>
        <w:rPr>
          <w:sz w:val="18"/>
          <w:szCs w:val="18"/>
        </w:rPr>
      </w:pPr>
      <w:r w:rsidRPr="00E50DC5">
        <w:rPr>
          <w:rStyle w:val="ae"/>
          <w:sz w:val="18"/>
          <w:szCs w:val="18"/>
        </w:rPr>
        <w:endnoteRef/>
      </w:r>
      <w:r w:rsidRPr="00E50DC5">
        <w:rPr>
          <w:sz w:val="18"/>
          <w:szCs w:val="18"/>
        </w:rPr>
        <w:t>吴澄：《道德真經注》，載《道藏》第12册，0781a頁。</w:t>
      </w:r>
    </w:p>
  </w:endnote>
  <w:endnote w:id="236">
    <w:p w14:paraId="32585691" w14:textId="75B5F7CA" w:rsidR="009F4F5A" w:rsidRPr="00E50DC5" w:rsidRDefault="009F4F5A" w:rsidP="00E50DC5">
      <w:pPr>
        <w:pStyle w:val="ad"/>
        <w:rPr>
          <w:sz w:val="18"/>
          <w:szCs w:val="18"/>
          <w:lang w:eastAsia="zh-TW"/>
        </w:rPr>
      </w:pPr>
      <w:r w:rsidRPr="00E50DC5">
        <w:rPr>
          <w:rStyle w:val="ae"/>
          <w:sz w:val="18"/>
          <w:szCs w:val="18"/>
        </w:rPr>
        <w:endnoteRef/>
      </w:r>
      <w:r w:rsidRPr="00E50DC5">
        <w:rPr>
          <w:sz w:val="18"/>
          <w:szCs w:val="18"/>
        </w:rPr>
        <w:t>有人把“善復爲妖”的“善”解爲“吉”，這當然比解爲善惡之“善”好。但據我們上文的分析，“善”的“吉祥”義似出現得較晚，故不取此説。</w:t>
      </w:r>
    </w:p>
  </w:endnote>
  <w:endnote w:id="237">
    <w:p w14:paraId="5C8D1101" w14:textId="60EFEEAD" w:rsidR="009F4F5A" w:rsidRPr="00E50DC5" w:rsidRDefault="009F4F5A" w:rsidP="00E50DC5">
      <w:pPr>
        <w:pStyle w:val="ad"/>
        <w:rPr>
          <w:sz w:val="18"/>
          <w:szCs w:val="18"/>
        </w:rPr>
      </w:pPr>
      <w:r w:rsidRPr="00E50DC5">
        <w:rPr>
          <w:rStyle w:val="ae"/>
          <w:sz w:val="18"/>
          <w:szCs w:val="18"/>
        </w:rPr>
        <w:endnoteRef/>
      </w:r>
      <w:r w:rsidRPr="00E50DC5">
        <w:rPr>
          <w:sz w:val="18"/>
          <w:szCs w:val="18"/>
        </w:rPr>
        <w:t>蔣錫昌：《老子校詁》，185頁。</w:t>
      </w:r>
    </w:p>
  </w:endnote>
  <w:endnote w:id="238">
    <w:p w14:paraId="1F08538D" w14:textId="6FA44B12" w:rsidR="009F4F5A" w:rsidRPr="00E50DC5" w:rsidRDefault="009F4F5A" w:rsidP="00E50DC5">
      <w:pPr>
        <w:pStyle w:val="ad"/>
        <w:rPr>
          <w:sz w:val="18"/>
          <w:szCs w:val="18"/>
        </w:rPr>
      </w:pPr>
      <w:r w:rsidRPr="00E50DC5">
        <w:rPr>
          <w:rStyle w:val="ae"/>
          <w:sz w:val="18"/>
          <w:szCs w:val="18"/>
        </w:rPr>
        <w:endnoteRef/>
      </w:r>
      <w:r w:rsidRPr="00E50DC5">
        <w:rPr>
          <w:sz w:val="18"/>
          <w:szCs w:val="18"/>
        </w:rPr>
        <w:t>高明：《帛書老子校注》，368頁。</w:t>
      </w:r>
    </w:p>
  </w:endnote>
  <w:endnote w:id="239">
    <w:p w14:paraId="64E65059" w14:textId="0CE0E4C8" w:rsidR="009F4F5A" w:rsidRPr="00E50DC5" w:rsidRDefault="009F4F5A" w:rsidP="00E50DC5">
      <w:pPr>
        <w:pStyle w:val="ad"/>
        <w:rPr>
          <w:sz w:val="18"/>
          <w:szCs w:val="18"/>
        </w:rPr>
      </w:pPr>
      <w:r w:rsidRPr="00E50DC5">
        <w:rPr>
          <w:rStyle w:val="ae"/>
          <w:sz w:val="18"/>
          <w:szCs w:val="18"/>
        </w:rPr>
        <w:endnoteRef/>
      </w:r>
      <w:r w:rsidRPr="00E50DC5">
        <w:rPr>
          <w:sz w:val="18"/>
          <w:szCs w:val="18"/>
        </w:rPr>
        <w:t>北京大學出土文獻研究所編：《北京大學藏西漢竹書》[貳]，157頁第六十八章注[四]。</w:t>
      </w:r>
    </w:p>
  </w:endnote>
  <w:endnote w:id="240">
    <w:p w14:paraId="5A63563C" w14:textId="2AB58E38" w:rsidR="009F4F5A" w:rsidRPr="00E50DC5" w:rsidRDefault="009F4F5A" w:rsidP="00E50DC5">
      <w:pPr>
        <w:pStyle w:val="ad"/>
        <w:rPr>
          <w:sz w:val="18"/>
          <w:szCs w:val="18"/>
        </w:rPr>
      </w:pPr>
      <w:r w:rsidRPr="00E50DC5">
        <w:rPr>
          <w:rStyle w:val="ae"/>
          <w:sz w:val="18"/>
          <w:szCs w:val="18"/>
        </w:rPr>
        <w:endnoteRef/>
      </w:r>
      <w:r w:rsidRPr="00E50DC5">
        <w:rPr>
          <w:sz w:val="18"/>
          <w:szCs w:val="18"/>
        </w:rPr>
        <w:t>參看裘錫圭主編：《長沙馬王堆漢墓簡帛集成》第四册《老子甲本·德篇》，28頁注[一一〇]。</w:t>
      </w:r>
    </w:p>
  </w:endnote>
  <w:endnote w:id="241">
    <w:p w14:paraId="6027DD1E" w14:textId="121DD1B7" w:rsidR="009F4F5A" w:rsidRPr="00E50DC5" w:rsidRDefault="009F4F5A" w:rsidP="00E50DC5">
      <w:pPr>
        <w:pStyle w:val="ad"/>
        <w:rPr>
          <w:sz w:val="18"/>
          <w:szCs w:val="18"/>
        </w:rPr>
      </w:pPr>
      <w:r w:rsidRPr="00E50DC5">
        <w:rPr>
          <w:rStyle w:val="ae"/>
          <w:sz w:val="18"/>
          <w:szCs w:val="18"/>
        </w:rPr>
        <w:endnoteRef/>
      </w:r>
      <w:r w:rsidRPr="00E50DC5">
        <w:rPr>
          <w:sz w:val="18"/>
          <w:szCs w:val="18"/>
        </w:rPr>
        <w:t>饒宗頤：《老子想爾注校正》，上海古籍出版社，1991年，35頁。</w:t>
      </w:r>
    </w:p>
  </w:endnote>
  <w:endnote w:id="242">
    <w:p w14:paraId="3E95C3AA" w14:textId="1D030504" w:rsidR="009F4F5A" w:rsidRPr="00E50DC5" w:rsidRDefault="009F4F5A" w:rsidP="00E50DC5">
      <w:pPr>
        <w:pStyle w:val="ad"/>
        <w:rPr>
          <w:sz w:val="18"/>
          <w:szCs w:val="18"/>
        </w:rPr>
      </w:pPr>
      <w:r w:rsidRPr="00E50DC5">
        <w:rPr>
          <w:rStyle w:val="ae"/>
          <w:sz w:val="18"/>
          <w:szCs w:val="18"/>
        </w:rPr>
        <w:endnoteRef/>
      </w:r>
      <w:r w:rsidRPr="00E50DC5">
        <w:rPr>
          <w:sz w:val="18"/>
          <w:szCs w:val="18"/>
        </w:rPr>
        <w:t>顧歡：《道德真經注疏》，載《道藏》第13册，0301a頁。</w:t>
      </w:r>
    </w:p>
  </w:endnote>
  <w:endnote w:id="243">
    <w:p w14:paraId="43017648" w14:textId="17E43263" w:rsidR="009F4F5A" w:rsidRPr="00E50DC5" w:rsidRDefault="009F4F5A" w:rsidP="00E50DC5">
      <w:pPr>
        <w:pStyle w:val="ad"/>
        <w:rPr>
          <w:sz w:val="18"/>
          <w:szCs w:val="18"/>
        </w:rPr>
      </w:pPr>
      <w:r w:rsidRPr="00E50DC5">
        <w:rPr>
          <w:rStyle w:val="ae"/>
          <w:sz w:val="18"/>
          <w:szCs w:val="18"/>
        </w:rPr>
        <w:endnoteRef/>
      </w:r>
      <w:r w:rsidRPr="00E50DC5">
        <w:rPr>
          <w:sz w:val="18"/>
          <w:szCs w:val="18"/>
        </w:rPr>
        <w:t>（唐）魏徵等撰：《群書治要》卷三十四，商務印書館“叢書集成初編”本，1937年，573頁。</w:t>
      </w:r>
    </w:p>
  </w:endnote>
  <w:endnote w:id="244">
    <w:p w14:paraId="6CEA4024" w14:textId="286DC1D4" w:rsidR="009F4F5A" w:rsidRPr="00E50DC5" w:rsidRDefault="009F4F5A" w:rsidP="00E50DC5">
      <w:pPr>
        <w:pStyle w:val="ad"/>
        <w:rPr>
          <w:sz w:val="18"/>
          <w:szCs w:val="18"/>
        </w:rPr>
      </w:pPr>
      <w:r w:rsidRPr="00E50DC5">
        <w:rPr>
          <w:rStyle w:val="ae"/>
          <w:sz w:val="18"/>
          <w:szCs w:val="18"/>
        </w:rPr>
        <w:endnoteRef/>
      </w:r>
      <w:r w:rsidRPr="00E50DC5">
        <w:rPr>
          <w:sz w:val="18"/>
          <w:szCs w:val="18"/>
        </w:rPr>
        <w:t>蒙文通：《輯校李榮〈道德經注〉》，收入《蒙文通全集》五《道教甄微》，巴蜀書社，2015年，262頁。</w:t>
      </w:r>
    </w:p>
  </w:endnote>
  <w:endnote w:id="245">
    <w:p w14:paraId="7AAE78B6" w14:textId="15B1AEE5" w:rsidR="009F4F5A" w:rsidRPr="00E50DC5" w:rsidRDefault="009F4F5A" w:rsidP="00E50DC5">
      <w:pPr>
        <w:pStyle w:val="ad"/>
        <w:rPr>
          <w:sz w:val="18"/>
          <w:szCs w:val="18"/>
        </w:rPr>
      </w:pPr>
      <w:r w:rsidRPr="00E50DC5">
        <w:rPr>
          <w:rStyle w:val="ae"/>
          <w:sz w:val="18"/>
          <w:szCs w:val="18"/>
        </w:rPr>
        <w:endnoteRef/>
      </w:r>
      <w:r w:rsidRPr="00E50DC5">
        <w:rPr>
          <w:sz w:val="18"/>
          <w:szCs w:val="18"/>
        </w:rPr>
        <w:t>（宋）范應元：《老子道德經古本集注》，華東師範大學出版社，2010年，50頁、109頁。</w:t>
      </w:r>
    </w:p>
  </w:endnote>
  <w:endnote w:id="246">
    <w:p w14:paraId="5BC918CC" w14:textId="5C8F489A" w:rsidR="009F4F5A" w:rsidRPr="00E50DC5" w:rsidRDefault="009F4F5A" w:rsidP="00E50DC5">
      <w:pPr>
        <w:pStyle w:val="ad"/>
        <w:rPr>
          <w:sz w:val="18"/>
          <w:szCs w:val="18"/>
        </w:rPr>
      </w:pPr>
      <w:r w:rsidRPr="00E50DC5">
        <w:rPr>
          <w:rStyle w:val="ae"/>
          <w:sz w:val="18"/>
          <w:szCs w:val="18"/>
        </w:rPr>
        <w:endnoteRef/>
      </w:r>
      <w:r w:rsidRPr="00E50DC5">
        <w:rPr>
          <w:sz w:val="18"/>
          <w:szCs w:val="18"/>
        </w:rPr>
        <w:t>參看裘錫圭主編：《長沙馬王堆漢墓簡帛集成》第四册《老子甲本·德篇》，38頁注[一九七]。</w:t>
      </w:r>
    </w:p>
  </w:endnote>
  <w:endnote w:id="247">
    <w:p w14:paraId="563C20E0" w14:textId="7FE12BBC" w:rsidR="009F4F5A" w:rsidRPr="00E50DC5" w:rsidRDefault="009F4F5A" w:rsidP="00E50DC5">
      <w:pPr>
        <w:pStyle w:val="ad"/>
        <w:rPr>
          <w:sz w:val="18"/>
          <w:szCs w:val="18"/>
        </w:rPr>
      </w:pPr>
      <w:r w:rsidRPr="00E50DC5">
        <w:rPr>
          <w:rStyle w:val="ae"/>
          <w:sz w:val="18"/>
          <w:szCs w:val="18"/>
        </w:rPr>
        <w:endnoteRef/>
      </w:r>
      <w:r w:rsidRPr="00E50DC5">
        <w:rPr>
          <w:sz w:val="18"/>
          <w:szCs w:val="18"/>
        </w:rPr>
        <w:t>如：陳鼓應《老子今注今譯》（參照簡帛本最新修訂版，商務印書館，2021年，103頁）、《文白對照諸子集成·老子》（許嘉璐主編，孫雍長注譯，廣西教育出版社、陝西人民教育出版社、廣東教育出版社，1995年，2頁）等的譯文把“善”譯成“善於”；辛戰軍《老子譯注》（中華書局，2008年，36頁）等的譯文以“能”對應“善”。</w:t>
      </w:r>
    </w:p>
  </w:endnote>
  <w:endnote w:id="248">
    <w:p w14:paraId="6AA1ADA7" w14:textId="7C57CBCC" w:rsidR="009F4F5A" w:rsidRPr="00E50DC5" w:rsidRDefault="009F4F5A" w:rsidP="00E50DC5">
      <w:pPr>
        <w:pStyle w:val="ad"/>
        <w:rPr>
          <w:sz w:val="18"/>
          <w:szCs w:val="18"/>
        </w:rPr>
      </w:pPr>
      <w:r w:rsidRPr="00E50DC5">
        <w:rPr>
          <w:rStyle w:val="ae"/>
          <w:sz w:val="18"/>
          <w:szCs w:val="18"/>
        </w:rPr>
        <w:endnoteRef/>
      </w:r>
      <w:r w:rsidRPr="00E50DC5">
        <w:rPr>
          <w:sz w:val="18"/>
          <w:szCs w:val="18"/>
        </w:rPr>
        <w:t>陳鼓應：《老子今注今譯》（參照簡帛本最新修訂版），103頁。</w:t>
      </w:r>
    </w:p>
  </w:endnote>
  <w:endnote w:id="249">
    <w:p w14:paraId="100427F9" w14:textId="4F323EBB" w:rsidR="009F4F5A" w:rsidRPr="00E50DC5" w:rsidRDefault="009F4F5A" w:rsidP="00E50DC5">
      <w:pPr>
        <w:pStyle w:val="ad"/>
        <w:rPr>
          <w:sz w:val="18"/>
          <w:szCs w:val="18"/>
        </w:rPr>
      </w:pPr>
      <w:r w:rsidRPr="00E50DC5">
        <w:rPr>
          <w:rStyle w:val="ae"/>
          <w:sz w:val="18"/>
          <w:szCs w:val="18"/>
        </w:rPr>
        <w:endnoteRef/>
      </w:r>
      <w:r w:rsidRPr="00E50DC5">
        <w:rPr>
          <w:sz w:val="18"/>
          <w:szCs w:val="18"/>
        </w:rPr>
        <w:t>參看高明：《帛書老子校注》，中華書局，1996年，257頁。</w:t>
      </w:r>
    </w:p>
  </w:endnote>
  <w:endnote w:id="250">
    <w:p w14:paraId="347564EC" w14:textId="559D5BE2" w:rsidR="009F4F5A" w:rsidRPr="00E50DC5" w:rsidRDefault="009F4F5A" w:rsidP="00E50DC5">
      <w:pPr>
        <w:pStyle w:val="ad"/>
        <w:rPr>
          <w:sz w:val="18"/>
          <w:szCs w:val="18"/>
        </w:rPr>
      </w:pPr>
      <w:r w:rsidRPr="00E50DC5">
        <w:rPr>
          <w:rStyle w:val="ae"/>
          <w:sz w:val="18"/>
          <w:szCs w:val="18"/>
        </w:rPr>
        <w:endnoteRef/>
      </w:r>
      <w:r w:rsidRPr="00E50DC5">
        <w:rPr>
          <w:sz w:val="18"/>
          <w:szCs w:val="18"/>
        </w:rPr>
        <w:t>張松如：《老子説解》，齊魯書社，1998年，55頁。</w:t>
      </w:r>
    </w:p>
  </w:endnote>
  <w:endnote w:id="251">
    <w:p w14:paraId="25866800" w14:textId="10DABFAD" w:rsidR="009F4F5A" w:rsidRPr="00E50DC5" w:rsidRDefault="009F4F5A" w:rsidP="00E50DC5">
      <w:pPr>
        <w:pStyle w:val="ad"/>
        <w:rPr>
          <w:sz w:val="18"/>
          <w:szCs w:val="18"/>
        </w:rPr>
      </w:pPr>
      <w:r w:rsidRPr="00E50DC5">
        <w:rPr>
          <w:rStyle w:val="ae"/>
          <w:sz w:val="18"/>
          <w:szCs w:val="18"/>
        </w:rPr>
        <w:endnoteRef/>
      </w:r>
      <w:r w:rsidRPr="00E50DC5">
        <w:rPr>
          <w:sz w:val="18"/>
          <w:szCs w:val="18"/>
        </w:rPr>
        <w:t>老子説“道”有“其中有情，其情甚真，其中有信”之語，“道”的運行規律，“道”的精神、原則是永恒不變的，這就是“道”的“信”。老子要人得到真正的“信”，也就是要人們遵從“道”的精神、原則行事。上引《老子》語中的兩個“情”字，今傳各本皆誤作“精”，簡帛本此字皆作“請”，學者皆讀爲“情實”之“情”，從《莊子·大宗師》“夫道，有情有信，無爲無形”來看，此篇作者所見的《老子》也不是作“精”而是作“情”的（參看高明：《帛書老子校注》，332頁）。作“精”者應爲後人所改。</w:t>
      </w:r>
    </w:p>
  </w:endnote>
  <w:endnote w:id="252">
    <w:p w14:paraId="11CEA469" w14:textId="32F809C5" w:rsidR="009F4F5A" w:rsidRPr="00E50DC5" w:rsidRDefault="009F4F5A" w:rsidP="00E50DC5">
      <w:pPr>
        <w:pStyle w:val="ad"/>
        <w:rPr>
          <w:sz w:val="18"/>
          <w:szCs w:val="18"/>
        </w:rPr>
      </w:pPr>
      <w:r w:rsidRPr="00E50DC5">
        <w:rPr>
          <w:rStyle w:val="ae"/>
          <w:sz w:val="18"/>
          <w:szCs w:val="18"/>
        </w:rPr>
        <w:endnoteRef/>
      </w:r>
      <w:r w:rsidRPr="00E50DC5">
        <w:rPr>
          <w:sz w:val="18"/>
          <w:szCs w:val="18"/>
        </w:rPr>
        <w:t>拙文《説老子的“無爲”和“爲”》，載《中華文史論叢》，2019年第4期，25—78頁。</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宋体-方正超大字符集">
    <w:altName w:val="宋体"/>
    <w:charset w:val="86"/>
    <w:family w:val="script"/>
    <w:pitch w:val="fixed"/>
    <w:sig w:usb0="00000001"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微软雅黑"/>
    <w:charset w:val="88"/>
    <w:family w:val="script"/>
    <w:pitch w:val="fixed"/>
    <w:sig w:usb0="00000003" w:usb1="080E0000" w:usb2="00000016" w:usb3="00000000" w:csb0="00100001" w:csb1="00000000"/>
  </w:font>
  <w:font w:name="TimesNewRomanPS-BoldMT">
    <w:altName w:val="Times New Roman"/>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charset w:val="00"/>
    <w:family w:val="roman"/>
    <w:pitch w:val="default"/>
  </w:font>
  <w:font w:name="控呇湮佽恅苤蚼">
    <w:altName w:val="Microsoft JhengHei"/>
    <w:panose1 w:val="02010609000101010101"/>
    <w:charset w:val="88"/>
    <w:family w:val="modern"/>
    <w:pitch w:val="fixed"/>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ˎ̥">
    <w:altName w:val="Times New Roman"/>
    <w:charset w:val="00"/>
    <w:family w:val="roman"/>
    <w:pitch w:val="default"/>
  </w:font>
  <w:font w:name="仿宋">
    <w:panose1 w:val="02010609060101010101"/>
    <w:charset w:val="86"/>
    <w:family w:val="modern"/>
    <w:pitch w:val="fixed"/>
    <w:sig w:usb0="800002BF" w:usb1="38CF7CFA" w:usb2="00000016" w:usb3="00000000" w:csb0="00040001" w:csb1="00000000"/>
  </w:font>
  <w:font w:name="Liberation Serif;Times New Roma">
    <w:altName w:val="Times New Roman"/>
    <w:charset w:val="00"/>
    <w:family w:val="roman"/>
    <w:pitch w:val="default"/>
  </w:font>
  <w:font w:name="新宋体">
    <w:altName w:val="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方正书宋简体">
    <w:altName w:val="微软雅黑"/>
    <w:charset w:val="86"/>
    <w:family w:val="script"/>
    <w:pitch w:val="fixed"/>
    <w:sig w:usb0="00000001" w:usb1="080E0000" w:usb2="00000010" w:usb3="00000000" w:csb0="00040000" w:csb1="00000000"/>
  </w:font>
  <w:font w:name="方正仿宋简体">
    <w:altName w:val="微软雅黑"/>
    <w:charset w:val="86"/>
    <w:family w:val="auto"/>
    <w:pitch w:val="default"/>
    <w:sig w:usb0="00000000" w:usb1="00000000" w:usb2="00000010" w:usb3="00000000" w:csb0="00040000" w:csb1="00000000"/>
  </w:font>
  <w:font w:name="方正楷体简体">
    <w:altName w:val="微软雅黑"/>
    <w:charset w:val="86"/>
    <w:family w:val="auto"/>
    <w:pitch w:val="default"/>
    <w:sig w:usb0="00000000" w:usb1="00000000" w:usb2="00000010" w:usb3="00000000" w:csb0="00040000" w:csb1="00000000"/>
  </w:font>
  <w:font w:name="方正黑体简体">
    <w:altName w:val="微软雅黑"/>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准圆简体">
    <w:altName w:val="微软雅黑"/>
    <w:charset w:val="86"/>
    <w:family w:val="auto"/>
    <w:pitch w:val="default"/>
    <w:sig w:usb0="00000000" w:usb1="00000000" w:usb2="00000010" w:usb3="00000000" w:csb0="00040000" w:csb1="00000000"/>
  </w:font>
  <w:font w:name="KaiXinSong">
    <w:panose1 w:val="02010609060101010101"/>
    <w:charset w:val="00"/>
    <w:family w:val="modern"/>
    <w:pitch w:val="fixed"/>
    <w:sig w:usb0="800002BF" w:usb1="3AC97CFA" w:usb2="04000016" w:usb3="00000000" w:csb0="00000001" w:csb1="00000000"/>
  </w:font>
  <w:font w:name="SimSun-ExtB">
    <w:panose1 w:val="02010609060101010101"/>
    <w:charset w:val="86"/>
    <w:family w:val="modern"/>
    <w:pitch w:val="fixed"/>
    <w:sig w:usb0="00000003" w:usb1="0A0E0000" w:usb2="00000010" w:usb3="00000000" w:csb0="00040001" w:csb1="00000000"/>
  </w:font>
  <w:font w:name="微软雅黑">
    <w:panose1 w:val="020B0503020204020204"/>
    <w:charset w:val="86"/>
    <w:family w:val="swiss"/>
    <w:pitch w:val="variable"/>
    <w:sig w:usb0="80000287" w:usb1="2ACF3C50" w:usb2="00000016" w:usb3="00000000" w:csb0="0004001F" w:csb1="00000000"/>
  </w:font>
  <w:font w:name="Helvetica Neue">
    <w:altName w:val="Sylfaen"/>
    <w:charset w:val="00"/>
    <w:family w:val="auto"/>
    <w:pitch w:val="variable"/>
    <w:sig w:usb0="E50002FF" w:usb1="500079DB" w:usb2="00000010" w:usb3="00000000" w:csb0="00000001" w:csb1="00000000"/>
  </w:font>
  <w:font w:name="Malgun Gothic">
    <w:panose1 w:val="020B0503020000020004"/>
    <w:charset w:val="81"/>
    <w:family w:val="swiss"/>
    <w:pitch w:val="variable"/>
    <w:sig w:usb0="9000002F" w:usb1="29D77CFB" w:usb2="00000012" w:usb3="00000000" w:csb0="00080001" w:csb1="00000000"/>
  </w:font>
  <w:font w:name="华文仿宋">
    <w:altName w:val="STFangsong"/>
    <w:panose1 w:val="02010600040101010101"/>
    <w:charset w:val="86"/>
    <w:family w:val="auto"/>
    <w:pitch w:val="variable"/>
    <w:sig w:usb0="00000287" w:usb1="080F0000" w:usb2="00000010" w:usb3="00000000" w:csb0="0004009F" w:csb1="00000000"/>
  </w:font>
  <w:font w:name="金文宋體">
    <w:altName w:val="微软雅黑"/>
    <w:panose1 w:val="02010509060101010101"/>
    <w:charset w:val="86"/>
    <w:family w:val="modern"/>
    <w:pitch w:val="fixed"/>
    <w:sig w:usb0="00002A87" w:usb1="090E0000" w:usb2="00000010" w:usb3="00000000" w:csb0="000C01FF" w:csb1="00000000"/>
  </w:font>
  <w:font w:name="华文楷体">
    <w:altName w:val="STKaiti"/>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90342" w14:textId="77777777" w:rsidR="0033525D" w:rsidRDefault="00F66E55"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3949D21" w14:textId="28DE39B8" w:rsidR="00F66E55" w:rsidRDefault="00F66E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342AC" w14:textId="0790D6B1" w:rsidR="0033525D" w:rsidRDefault="00F66E55"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w:t>
    </w:r>
    <w:r w:rsidR="0033525D">
      <w:rPr>
        <w:sz w:val="18"/>
        <w:szCs w:val="18"/>
      </w:rPr>
      <w:t>3</w:t>
    </w:r>
    <w:r w:rsidRPr="00C01B1F">
      <w:rPr>
        <w:rFonts w:hint="eastAsia"/>
        <w:sz w:val="18"/>
        <w:szCs w:val="18"/>
      </w:rPr>
      <w:t>年</w:t>
    </w:r>
    <w:r w:rsidR="0033525D">
      <w:rPr>
        <w:sz w:val="18"/>
        <w:szCs w:val="18"/>
      </w:rPr>
      <w:t>4</w:t>
    </w:r>
    <w:r w:rsidRPr="00C01B1F">
      <w:rPr>
        <w:rFonts w:hint="eastAsia"/>
        <w:sz w:val="18"/>
        <w:szCs w:val="18"/>
      </w:rPr>
      <w:t>月</w:t>
    </w:r>
    <w:r w:rsidR="0033525D">
      <w:rPr>
        <w:sz w:val="18"/>
        <w:szCs w:val="18"/>
      </w:rPr>
      <w:t>2</w:t>
    </w:r>
    <w:r w:rsidR="00FA7418">
      <w:rPr>
        <w:sz w:val="18"/>
        <w:szCs w:val="18"/>
      </w:rPr>
      <w:t>3</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w:t>
    </w:r>
    <w:r>
      <w:rPr>
        <w:rFonts w:hint="eastAsia"/>
        <w:sz w:val="18"/>
        <w:szCs w:val="18"/>
      </w:rPr>
      <w:t>2</w:t>
    </w:r>
    <w:r w:rsidR="0033525D">
      <w:rPr>
        <w:sz w:val="18"/>
        <w:szCs w:val="18"/>
      </w:rPr>
      <w:t>3</w:t>
    </w:r>
    <w:r w:rsidRPr="00C01B1F">
      <w:rPr>
        <w:rFonts w:hint="eastAsia"/>
        <w:sz w:val="18"/>
        <w:szCs w:val="18"/>
      </w:rPr>
      <w:t>年</w:t>
    </w:r>
    <w:r w:rsidR="0033525D">
      <w:rPr>
        <w:sz w:val="18"/>
        <w:szCs w:val="18"/>
      </w:rPr>
      <w:t>4</w:t>
    </w:r>
    <w:r w:rsidRPr="00C01B1F">
      <w:rPr>
        <w:rFonts w:hint="eastAsia"/>
        <w:sz w:val="18"/>
        <w:szCs w:val="18"/>
      </w:rPr>
      <w:t>月</w:t>
    </w:r>
    <w:r w:rsidR="0033525D">
      <w:rPr>
        <w:sz w:val="18"/>
        <w:szCs w:val="18"/>
      </w:rPr>
      <w:t>2</w:t>
    </w:r>
    <w:r w:rsidR="00FA7418">
      <w:rPr>
        <w:sz w:val="18"/>
        <w:szCs w:val="18"/>
      </w:rPr>
      <w:t>3</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Pr>
        <w:noProof/>
        <w:sz w:val="18"/>
        <w:szCs w:val="18"/>
      </w:rPr>
      <w:t>7</w:t>
    </w:r>
    <w:r w:rsidRPr="00C01B1F">
      <w:rPr>
        <w:sz w:val="18"/>
        <w:szCs w:val="18"/>
      </w:rPr>
      <w:fldChar w:fldCharType="end"/>
    </w:r>
  </w:p>
  <w:p w14:paraId="43C1B748" w14:textId="21DEFCC1" w:rsidR="00F66E55" w:rsidRPr="00D66F7F" w:rsidRDefault="00F66E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EED70" w14:textId="77777777" w:rsidR="008933F0" w:rsidRDefault="008933F0" w:rsidP="00CB0024">
      <w:r>
        <w:separator/>
      </w:r>
    </w:p>
  </w:footnote>
  <w:footnote w:type="continuationSeparator" w:id="0">
    <w:p w14:paraId="79E66146" w14:textId="77777777" w:rsidR="008933F0" w:rsidRDefault="008933F0"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5C46B" w14:textId="77777777" w:rsidR="00F66E55" w:rsidRDefault="00F66E55" w:rsidP="001D7AFE">
    <w:pPr>
      <w:pStyle w:val="af"/>
      <w:spacing w:before="240" w:after="240"/>
      <w:ind w:firstLine="436"/>
    </w:pPr>
    <w:r>
      <w:rPr>
        <w:rFonts w:hint="eastAsia"/>
      </w:rPr>
      <w:t>复旦大学出土文献与古文字研究中心网站论文</w:t>
    </w:r>
  </w:p>
  <w:p w14:paraId="3FDD1C65" w14:textId="59503548" w:rsidR="00595C49" w:rsidRPr="001D7AFE" w:rsidRDefault="00F66E55" w:rsidP="00595C49">
    <w:pPr>
      <w:pStyle w:val="af"/>
      <w:spacing w:before="240" w:after="240"/>
      <w:ind w:firstLine="436"/>
    </w:pPr>
    <w:r>
      <w:rPr>
        <w:rFonts w:hint="eastAsia"/>
      </w:rPr>
      <w:t>链接：</w:t>
    </w:r>
    <w:r w:rsidR="00B96A56" w:rsidRPr="00B96A56">
      <w:t>http://www.fdgwz.org.cn/Web/Show/</w:t>
    </w:r>
    <w:r w:rsidR="006D1D65">
      <w:t>1</w:t>
    </w:r>
    <w:r w:rsidR="00595C49">
      <w:t>101</w:t>
    </w:r>
    <w:r w:rsidR="0033525D">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7B65C6"/>
    <w:multiLevelType w:val="singleLevel"/>
    <w:tmpl w:val="847B65C6"/>
    <w:lvl w:ilvl="0">
      <w:start w:val="2"/>
      <w:numFmt w:val="chineseCounting"/>
      <w:suff w:val="nothing"/>
      <w:lvlText w:val="第%1，"/>
      <w:lvlJc w:val="left"/>
      <w:rPr>
        <w:rFonts w:ascii="黑体" w:eastAsia="黑体" w:hAnsi="黑体" w:cs="黑体" w:hint="eastAsia"/>
      </w:rPr>
    </w:lvl>
  </w:abstractNum>
  <w:abstractNum w:abstractNumId="1" w15:restartNumberingAfterBreak="0">
    <w:nsid w:val="02605EBB"/>
    <w:multiLevelType w:val="hybridMultilevel"/>
    <w:tmpl w:val="397A7CFE"/>
    <w:lvl w:ilvl="0" w:tplc="CD70BC1C">
      <w:start w:val="1"/>
      <w:numFmt w:val="taiwaneseCountingThousand"/>
      <w:lvlText w:val="（%1）"/>
      <w:lvlJc w:val="left"/>
      <w:pPr>
        <w:ind w:left="420" w:hanging="420"/>
      </w:pPr>
      <w:rPr>
        <w:rFonts w:ascii="楷体" w:eastAsia="楷体" w:hAnsi="楷体"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BF1EC7"/>
    <w:multiLevelType w:val="hybridMultilevel"/>
    <w:tmpl w:val="05420E30"/>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 w15:restartNumberingAfterBreak="0">
    <w:nsid w:val="0CEA259C"/>
    <w:multiLevelType w:val="hybridMultilevel"/>
    <w:tmpl w:val="055E4A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C02726"/>
    <w:multiLevelType w:val="hybridMultilevel"/>
    <w:tmpl w:val="4A76F4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286270"/>
    <w:multiLevelType w:val="hybridMultilevel"/>
    <w:tmpl w:val="E2F2175C"/>
    <w:lvl w:ilvl="0" w:tplc="938036DC">
      <w:start w:val="1"/>
      <w:numFmt w:val="taiwaneseCountingThousand"/>
      <w:lvlText w:val="（%1）"/>
      <w:lvlJc w:val="left"/>
      <w:pPr>
        <w:ind w:left="720" w:hanging="720"/>
      </w:pPr>
      <w:rPr>
        <w:rFonts w:ascii="楷体" w:eastAsia="楷体" w:hAnsi="楷体"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3E36B5"/>
    <w:multiLevelType w:val="hybridMultilevel"/>
    <w:tmpl w:val="EEB65740"/>
    <w:lvl w:ilvl="0" w:tplc="A1BE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5D304CD"/>
    <w:multiLevelType w:val="hybridMultilevel"/>
    <w:tmpl w:val="9E2A61D0"/>
    <w:lvl w:ilvl="0" w:tplc="CD70BC1C">
      <w:start w:val="1"/>
      <w:numFmt w:val="taiwaneseCountingThousand"/>
      <w:lvlText w:val="（%1）"/>
      <w:lvlJc w:val="left"/>
      <w:pPr>
        <w:ind w:left="420" w:hanging="420"/>
      </w:pPr>
      <w:rPr>
        <w:rFonts w:ascii="楷体" w:eastAsia="楷体" w:hAnsi="楷体"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86E795C"/>
    <w:multiLevelType w:val="hybridMultilevel"/>
    <w:tmpl w:val="12FA45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312918"/>
    <w:multiLevelType w:val="hybridMultilevel"/>
    <w:tmpl w:val="5164F010"/>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10" w15:restartNumberingAfterBreak="0">
    <w:nsid w:val="21171C4D"/>
    <w:multiLevelType w:val="hybridMultilevel"/>
    <w:tmpl w:val="0C22EBCE"/>
    <w:lvl w:ilvl="0" w:tplc="0409000F">
      <w:start w:val="1"/>
      <w:numFmt w:val="decimal"/>
      <w:lvlText w:val="%1."/>
      <w:lvlJc w:val="left"/>
      <w:pPr>
        <w:ind w:left="1128" w:hanging="420"/>
      </w:p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11" w15:restartNumberingAfterBreak="0">
    <w:nsid w:val="221C33F3"/>
    <w:multiLevelType w:val="hybridMultilevel"/>
    <w:tmpl w:val="ABDC9F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45C06D1"/>
    <w:multiLevelType w:val="hybridMultilevel"/>
    <w:tmpl w:val="7284B6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50C6CEA"/>
    <w:multiLevelType w:val="hybridMultilevel"/>
    <w:tmpl w:val="451A5182"/>
    <w:lvl w:ilvl="0" w:tplc="FFFFFFFF">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14" w15:restartNumberingAfterBreak="0">
    <w:nsid w:val="27034A7E"/>
    <w:multiLevelType w:val="hybridMultilevel"/>
    <w:tmpl w:val="C1CEA2C6"/>
    <w:lvl w:ilvl="0" w:tplc="A1BE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A3E3457"/>
    <w:multiLevelType w:val="hybridMultilevel"/>
    <w:tmpl w:val="4036DAD2"/>
    <w:lvl w:ilvl="0" w:tplc="A1BE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E756DBA"/>
    <w:multiLevelType w:val="hybridMultilevel"/>
    <w:tmpl w:val="2E8E7EAA"/>
    <w:lvl w:ilvl="0" w:tplc="CD70BC1C">
      <w:start w:val="1"/>
      <w:numFmt w:val="taiwaneseCountingThousand"/>
      <w:lvlText w:val="（%1）"/>
      <w:lvlJc w:val="left"/>
      <w:pPr>
        <w:ind w:left="720" w:hanging="720"/>
      </w:pPr>
      <w:rPr>
        <w:rFonts w:ascii="楷体" w:eastAsia="楷体" w:hAnsi="楷体"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8430FF1"/>
    <w:multiLevelType w:val="hybridMultilevel"/>
    <w:tmpl w:val="A7D4000E"/>
    <w:lvl w:ilvl="0" w:tplc="FFFFFFFF">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18" w15:restartNumberingAfterBreak="0">
    <w:nsid w:val="3BA57B10"/>
    <w:multiLevelType w:val="hybridMultilevel"/>
    <w:tmpl w:val="D04A6322"/>
    <w:lvl w:ilvl="0" w:tplc="FFFFFFFF">
      <w:start w:val="1"/>
      <w:numFmt w:val="taiwaneseCountingThousand"/>
      <w:lvlText w:val="（%1）"/>
      <w:lvlJc w:val="left"/>
      <w:pPr>
        <w:ind w:left="420" w:hanging="420"/>
      </w:pPr>
      <w:rPr>
        <w:rFonts w:ascii="楷体" w:eastAsia="楷体" w:hAnsi="楷体"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E2B4486"/>
    <w:multiLevelType w:val="hybridMultilevel"/>
    <w:tmpl w:val="2D30EA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6F73271"/>
    <w:multiLevelType w:val="hybridMultilevel"/>
    <w:tmpl w:val="E2DA68FA"/>
    <w:lvl w:ilvl="0" w:tplc="A1BE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7A96B17"/>
    <w:multiLevelType w:val="hybridMultilevel"/>
    <w:tmpl w:val="462C5730"/>
    <w:lvl w:ilvl="0" w:tplc="CD70BC1C">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22" w15:restartNumberingAfterBreak="0">
    <w:nsid w:val="48720DA8"/>
    <w:multiLevelType w:val="hybridMultilevel"/>
    <w:tmpl w:val="3CC4946C"/>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23" w15:restartNumberingAfterBreak="0">
    <w:nsid w:val="505628FA"/>
    <w:multiLevelType w:val="hybridMultilevel"/>
    <w:tmpl w:val="C33A13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0D969EB"/>
    <w:multiLevelType w:val="hybridMultilevel"/>
    <w:tmpl w:val="4504FF60"/>
    <w:lvl w:ilvl="0" w:tplc="A1BE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354087A"/>
    <w:multiLevelType w:val="hybridMultilevel"/>
    <w:tmpl w:val="47668B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C0B6BFF"/>
    <w:multiLevelType w:val="hybridMultilevel"/>
    <w:tmpl w:val="5C5A548C"/>
    <w:lvl w:ilvl="0" w:tplc="FFFFFFFF">
      <w:start w:val="1"/>
      <w:numFmt w:val="taiwaneseCountingThousand"/>
      <w:lvlText w:val="（%1）"/>
      <w:lvlJc w:val="left"/>
      <w:pPr>
        <w:ind w:left="420" w:hanging="420"/>
      </w:pPr>
      <w:rPr>
        <w:rFonts w:ascii="楷体" w:eastAsia="楷体" w:hAnsi="楷体" w:hint="default"/>
        <w:lang w:val="en-US"/>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7" w15:restartNumberingAfterBreak="0">
    <w:nsid w:val="603648C8"/>
    <w:multiLevelType w:val="hybridMultilevel"/>
    <w:tmpl w:val="C024D8E2"/>
    <w:lvl w:ilvl="0" w:tplc="A1BE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2216FA4"/>
    <w:multiLevelType w:val="singleLevel"/>
    <w:tmpl w:val="62216FA4"/>
    <w:lvl w:ilvl="0">
      <w:start w:val="1"/>
      <w:numFmt w:val="decimal"/>
      <w:lvlText w:val="%1."/>
      <w:lvlJc w:val="left"/>
      <w:pPr>
        <w:ind w:left="425" w:hanging="425"/>
      </w:pPr>
      <w:rPr>
        <w:rFonts w:hint="default"/>
      </w:rPr>
    </w:lvl>
  </w:abstractNum>
  <w:abstractNum w:abstractNumId="29" w15:restartNumberingAfterBreak="0">
    <w:nsid w:val="65386E99"/>
    <w:multiLevelType w:val="hybridMultilevel"/>
    <w:tmpl w:val="5BD8D26C"/>
    <w:lvl w:ilvl="0" w:tplc="FFFFFFFF">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0" w15:restartNumberingAfterBreak="0">
    <w:nsid w:val="681F47D1"/>
    <w:multiLevelType w:val="hybridMultilevel"/>
    <w:tmpl w:val="C9A8BBAC"/>
    <w:lvl w:ilvl="0" w:tplc="F0B851BC">
      <w:start w:val="1"/>
      <w:numFmt w:val="taiwaneseCountingThousand"/>
      <w:lvlText w:val="（%1）"/>
      <w:lvlJc w:val="left"/>
      <w:pPr>
        <w:ind w:left="480" w:hanging="480"/>
      </w:pPr>
      <w:rPr>
        <w:rFonts w:ascii="楷体" w:eastAsia="楷体" w:hAnsi="楷体"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9DD0ECC"/>
    <w:multiLevelType w:val="hybridMultilevel"/>
    <w:tmpl w:val="987A2B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2143BC2"/>
    <w:multiLevelType w:val="hybridMultilevel"/>
    <w:tmpl w:val="9E3CFC82"/>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3" w15:restartNumberingAfterBreak="0">
    <w:nsid w:val="74EB2309"/>
    <w:multiLevelType w:val="hybridMultilevel"/>
    <w:tmpl w:val="A724AC96"/>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4" w15:restartNumberingAfterBreak="0">
    <w:nsid w:val="75906A29"/>
    <w:multiLevelType w:val="hybridMultilevel"/>
    <w:tmpl w:val="F3CEBD46"/>
    <w:lvl w:ilvl="0" w:tplc="FFFFFFFF">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5" w15:restartNumberingAfterBreak="0">
    <w:nsid w:val="768238C0"/>
    <w:multiLevelType w:val="hybridMultilevel"/>
    <w:tmpl w:val="AEFEE6A8"/>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6" w15:restartNumberingAfterBreak="0">
    <w:nsid w:val="76C533BD"/>
    <w:multiLevelType w:val="hybridMultilevel"/>
    <w:tmpl w:val="0B1ECA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8800ACC"/>
    <w:multiLevelType w:val="hybridMultilevel"/>
    <w:tmpl w:val="B6B02972"/>
    <w:lvl w:ilvl="0" w:tplc="CD70BC1C">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8" w15:restartNumberingAfterBreak="0">
    <w:nsid w:val="796911D0"/>
    <w:multiLevelType w:val="hybridMultilevel"/>
    <w:tmpl w:val="789EE4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B542487"/>
    <w:multiLevelType w:val="hybridMultilevel"/>
    <w:tmpl w:val="10C4A91C"/>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40" w15:restartNumberingAfterBreak="0">
    <w:nsid w:val="7C324AC3"/>
    <w:multiLevelType w:val="hybridMultilevel"/>
    <w:tmpl w:val="A37E991A"/>
    <w:lvl w:ilvl="0" w:tplc="FFFFFFFF">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41" w15:restartNumberingAfterBreak="0">
    <w:nsid w:val="7E2470A6"/>
    <w:multiLevelType w:val="hybridMultilevel"/>
    <w:tmpl w:val="B01A59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E63725B"/>
    <w:multiLevelType w:val="hybridMultilevel"/>
    <w:tmpl w:val="97DE9B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909150772">
    <w:abstractNumId w:val="20"/>
  </w:num>
  <w:num w:numId="2" w16cid:durableId="1101728019">
    <w:abstractNumId w:val="8"/>
  </w:num>
  <w:num w:numId="3" w16cid:durableId="1061250205">
    <w:abstractNumId w:val="41"/>
  </w:num>
  <w:num w:numId="4" w16cid:durableId="58752500">
    <w:abstractNumId w:val="36"/>
  </w:num>
  <w:num w:numId="5" w16cid:durableId="1488131126">
    <w:abstractNumId w:val="24"/>
  </w:num>
  <w:num w:numId="6" w16cid:durableId="1971739709">
    <w:abstractNumId w:val="14"/>
  </w:num>
  <w:num w:numId="7" w16cid:durableId="1771505477">
    <w:abstractNumId w:val="15"/>
  </w:num>
  <w:num w:numId="8" w16cid:durableId="1487360025">
    <w:abstractNumId w:val="27"/>
  </w:num>
  <w:num w:numId="9" w16cid:durableId="91098467">
    <w:abstractNumId w:val="6"/>
  </w:num>
  <w:num w:numId="10" w16cid:durableId="613560520">
    <w:abstractNumId w:val="31"/>
  </w:num>
  <w:num w:numId="11" w16cid:durableId="110167540">
    <w:abstractNumId w:val="23"/>
  </w:num>
  <w:num w:numId="12" w16cid:durableId="884296435">
    <w:abstractNumId w:val="11"/>
  </w:num>
  <w:num w:numId="13" w16cid:durableId="669602510">
    <w:abstractNumId w:val="25"/>
  </w:num>
  <w:num w:numId="14" w16cid:durableId="548961457">
    <w:abstractNumId w:val="5"/>
  </w:num>
  <w:num w:numId="15" w16cid:durableId="663826054">
    <w:abstractNumId w:val="16"/>
  </w:num>
  <w:num w:numId="16" w16cid:durableId="1273703583">
    <w:abstractNumId w:val="30"/>
  </w:num>
  <w:num w:numId="17" w16cid:durableId="1733767108">
    <w:abstractNumId w:val="38"/>
  </w:num>
  <w:num w:numId="18" w16cid:durableId="51273776">
    <w:abstractNumId w:val="3"/>
  </w:num>
  <w:num w:numId="19" w16cid:durableId="523058115">
    <w:abstractNumId w:val="19"/>
  </w:num>
  <w:num w:numId="20" w16cid:durableId="1438258382">
    <w:abstractNumId w:val="4"/>
  </w:num>
  <w:num w:numId="21" w16cid:durableId="1010777">
    <w:abstractNumId w:val="12"/>
  </w:num>
  <w:num w:numId="22" w16cid:durableId="733160815">
    <w:abstractNumId w:val="42"/>
  </w:num>
  <w:num w:numId="23" w16cid:durableId="1416366124">
    <w:abstractNumId w:val="7"/>
  </w:num>
  <w:num w:numId="24" w16cid:durableId="1644968611">
    <w:abstractNumId w:val="1"/>
  </w:num>
  <w:num w:numId="25" w16cid:durableId="228812588">
    <w:abstractNumId w:val="35"/>
  </w:num>
  <w:num w:numId="26" w16cid:durableId="2089156656">
    <w:abstractNumId w:val="37"/>
  </w:num>
  <w:num w:numId="27" w16cid:durableId="2098357537">
    <w:abstractNumId w:val="21"/>
  </w:num>
  <w:num w:numId="28" w16cid:durableId="1074475067">
    <w:abstractNumId w:val="26"/>
  </w:num>
  <w:num w:numId="29" w16cid:durableId="1731538281">
    <w:abstractNumId w:val="17"/>
  </w:num>
  <w:num w:numId="30" w16cid:durableId="1048139273">
    <w:abstractNumId w:val="29"/>
  </w:num>
  <w:num w:numId="31" w16cid:durableId="1577087192">
    <w:abstractNumId w:val="13"/>
  </w:num>
  <w:num w:numId="32" w16cid:durableId="2062829464">
    <w:abstractNumId w:val="34"/>
  </w:num>
  <w:num w:numId="33" w16cid:durableId="1831362880">
    <w:abstractNumId w:val="18"/>
  </w:num>
  <w:num w:numId="34" w16cid:durableId="1738891441">
    <w:abstractNumId w:val="40"/>
  </w:num>
  <w:num w:numId="35" w16cid:durableId="1004819352">
    <w:abstractNumId w:val="10"/>
  </w:num>
  <w:num w:numId="36" w16cid:durableId="59836779">
    <w:abstractNumId w:val="39"/>
  </w:num>
  <w:num w:numId="37" w16cid:durableId="1510172949">
    <w:abstractNumId w:val="32"/>
  </w:num>
  <w:num w:numId="38" w16cid:durableId="989091129">
    <w:abstractNumId w:val="33"/>
  </w:num>
  <w:num w:numId="39" w16cid:durableId="1040517067">
    <w:abstractNumId w:val="2"/>
  </w:num>
  <w:num w:numId="40" w16cid:durableId="1800491213">
    <w:abstractNumId w:val="22"/>
  </w:num>
  <w:num w:numId="41" w16cid:durableId="2101481117">
    <w:abstractNumId w:val="9"/>
  </w:num>
  <w:num w:numId="42" w16cid:durableId="582224314">
    <w:abstractNumId w:val="28"/>
  </w:num>
  <w:num w:numId="43" w16cid:durableId="829365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0665"/>
    <w:rsid w:val="000038DD"/>
    <w:rsid w:val="00004756"/>
    <w:rsid w:val="000118C4"/>
    <w:rsid w:val="00011970"/>
    <w:rsid w:val="000133A5"/>
    <w:rsid w:val="00014A7A"/>
    <w:rsid w:val="000160FB"/>
    <w:rsid w:val="00016334"/>
    <w:rsid w:val="000176BF"/>
    <w:rsid w:val="00017F20"/>
    <w:rsid w:val="000205F4"/>
    <w:rsid w:val="00020E8F"/>
    <w:rsid w:val="00021234"/>
    <w:rsid w:val="00022497"/>
    <w:rsid w:val="000269A2"/>
    <w:rsid w:val="00030F1F"/>
    <w:rsid w:val="00031027"/>
    <w:rsid w:val="0003211C"/>
    <w:rsid w:val="00032E60"/>
    <w:rsid w:val="00033997"/>
    <w:rsid w:val="00033F9D"/>
    <w:rsid w:val="00035922"/>
    <w:rsid w:val="00036B75"/>
    <w:rsid w:val="00036C59"/>
    <w:rsid w:val="00037D45"/>
    <w:rsid w:val="00041765"/>
    <w:rsid w:val="00041E3D"/>
    <w:rsid w:val="00043973"/>
    <w:rsid w:val="00050E7C"/>
    <w:rsid w:val="00051176"/>
    <w:rsid w:val="0005645C"/>
    <w:rsid w:val="000602F4"/>
    <w:rsid w:val="00060DC7"/>
    <w:rsid w:val="000626A6"/>
    <w:rsid w:val="000642EB"/>
    <w:rsid w:val="0006648C"/>
    <w:rsid w:val="00067514"/>
    <w:rsid w:val="00073508"/>
    <w:rsid w:val="00075BC1"/>
    <w:rsid w:val="00076D07"/>
    <w:rsid w:val="00076F82"/>
    <w:rsid w:val="0008099C"/>
    <w:rsid w:val="0008174D"/>
    <w:rsid w:val="00084150"/>
    <w:rsid w:val="000860FF"/>
    <w:rsid w:val="00093FD4"/>
    <w:rsid w:val="000A4034"/>
    <w:rsid w:val="000A4A8F"/>
    <w:rsid w:val="000A567C"/>
    <w:rsid w:val="000B02C6"/>
    <w:rsid w:val="000B3534"/>
    <w:rsid w:val="000B3E82"/>
    <w:rsid w:val="000B4C47"/>
    <w:rsid w:val="000B6762"/>
    <w:rsid w:val="000B7803"/>
    <w:rsid w:val="000C16D2"/>
    <w:rsid w:val="000C1EE7"/>
    <w:rsid w:val="000C306D"/>
    <w:rsid w:val="000C439A"/>
    <w:rsid w:val="000D0719"/>
    <w:rsid w:val="000D135F"/>
    <w:rsid w:val="000D13F8"/>
    <w:rsid w:val="000D6B61"/>
    <w:rsid w:val="000E1229"/>
    <w:rsid w:val="000E12E3"/>
    <w:rsid w:val="000E2C87"/>
    <w:rsid w:val="000E3AF3"/>
    <w:rsid w:val="000E4237"/>
    <w:rsid w:val="000E738A"/>
    <w:rsid w:val="000E7C8B"/>
    <w:rsid w:val="000F28A8"/>
    <w:rsid w:val="000F445B"/>
    <w:rsid w:val="000F4BED"/>
    <w:rsid w:val="000F548E"/>
    <w:rsid w:val="000F5758"/>
    <w:rsid w:val="00102E1C"/>
    <w:rsid w:val="0010392E"/>
    <w:rsid w:val="00104E73"/>
    <w:rsid w:val="00110B5F"/>
    <w:rsid w:val="00112D77"/>
    <w:rsid w:val="00117A29"/>
    <w:rsid w:val="001273D1"/>
    <w:rsid w:val="00130713"/>
    <w:rsid w:val="00131D4E"/>
    <w:rsid w:val="001332B7"/>
    <w:rsid w:val="001347BB"/>
    <w:rsid w:val="00135C36"/>
    <w:rsid w:val="00135E38"/>
    <w:rsid w:val="0013704E"/>
    <w:rsid w:val="00140848"/>
    <w:rsid w:val="00140894"/>
    <w:rsid w:val="001433AC"/>
    <w:rsid w:val="0014698C"/>
    <w:rsid w:val="001470C2"/>
    <w:rsid w:val="00154671"/>
    <w:rsid w:val="00156D70"/>
    <w:rsid w:val="00157CC9"/>
    <w:rsid w:val="001632CA"/>
    <w:rsid w:val="00163364"/>
    <w:rsid w:val="001641C2"/>
    <w:rsid w:val="00167A7A"/>
    <w:rsid w:val="00170500"/>
    <w:rsid w:val="00170CAA"/>
    <w:rsid w:val="00173ABC"/>
    <w:rsid w:val="00173B79"/>
    <w:rsid w:val="00175793"/>
    <w:rsid w:val="0017795C"/>
    <w:rsid w:val="001801DC"/>
    <w:rsid w:val="00180430"/>
    <w:rsid w:val="001825C2"/>
    <w:rsid w:val="0018424B"/>
    <w:rsid w:val="0018778C"/>
    <w:rsid w:val="001938D1"/>
    <w:rsid w:val="00193DFC"/>
    <w:rsid w:val="00194702"/>
    <w:rsid w:val="00195708"/>
    <w:rsid w:val="001957D4"/>
    <w:rsid w:val="00195BA5"/>
    <w:rsid w:val="00196304"/>
    <w:rsid w:val="00196E76"/>
    <w:rsid w:val="0019751F"/>
    <w:rsid w:val="001A02A8"/>
    <w:rsid w:val="001A19B2"/>
    <w:rsid w:val="001A222B"/>
    <w:rsid w:val="001A4915"/>
    <w:rsid w:val="001A4D5A"/>
    <w:rsid w:val="001A5188"/>
    <w:rsid w:val="001A7489"/>
    <w:rsid w:val="001B1493"/>
    <w:rsid w:val="001B1823"/>
    <w:rsid w:val="001B293E"/>
    <w:rsid w:val="001B3E07"/>
    <w:rsid w:val="001B492F"/>
    <w:rsid w:val="001B573F"/>
    <w:rsid w:val="001B58C5"/>
    <w:rsid w:val="001B682E"/>
    <w:rsid w:val="001B6C4A"/>
    <w:rsid w:val="001B710F"/>
    <w:rsid w:val="001B771E"/>
    <w:rsid w:val="001C01CD"/>
    <w:rsid w:val="001C0A09"/>
    <w:rsid w:val="001C0EEC"/>
    <w:rsid w:val="001C2AB0"/>
    <w:rsid w:val="001C3756"/>
    <w:rsid w:val="001C6AE7"/>
    <w:rsid w:val="001C743C"/>
    <w:rsid w:val="001C7CFF"/>
    <w:rsid w:val="001C7EF2"/>
    <w:rsid w:val="001D1713"/>
    <w:rsid w:val="001D20EA"/>
    <w:rsid w:val="001D427D"/>
    <w:rsid w:val="001D6615"/>
    <w:rsid w:val="001D76E5"/>
    <w:rsid w:val="001D7AFE"/>
    <w:rsid w:val="001E6598"/>
    <w:rsid w:val="001F1566"/>
    <w:rsid w:val="001F1BFC"/>
    <w:rsid w:val="001F3B46"/>
    <w:rsid w:val="001F7BAB"/>
    <w:rsid w:val="002000B5"/>
    <w:rsid w:val="00200B58"/>
    <w:rsid w:val="00211416"/>
    <w:rsid w:val="002117E4"/>
    <w:rsid w:val="00211FD9"/>
    <w:rsid w:val="002129CF"/>
    <w:rsid w:val="00216AB7"/>
    <w:rsid w:val="00217A9A"/>
    <w:rsid w:val="002209DA"/>
    <w:rsid w:val="002211DE"/>
    <w:rsid w:val="00221F6F"/>
    <w:rsid w:val="00222DB3"/>
    <w:rsid w:val="00231125"/>
    <w:rsid w:val="0023231C"/>
    <w:rsid w:val="002346A0"/>
    <w:rsid w:val="00237037"/>
    <w:rsid w:val="002372F1"/>
    <w:rsid w:val="00240C8C"/>
    <w:rsid w:val="00240D78"/>
    <w:rsid w:val="00240EAB"/>
    <w:rsid w:val="00243FD0"/>
    <w:rsid w:val="002452F9"/>
    <w:rsid w:val="0024748E"/>
    <w:rsid w:val="0025043C"/>
    <w:rsid w:val="00250AD9"/>
    <w:rsid w:val="00250B5A"/>
    <w:rsid w:val="00253015"/>
    <w:rsid w:val="002530D7"/>
    <w:rsid w:val="00253AA5"/>
    <w:rsid w:val="00253DAA"/>
    <w:rsid w:val="00254681"/>
    <w:rsid w:val="00257291"/>
    <w:rsid w:val="00257D63"/>
    <w:rsid w:val="0026058F"/>
    <w:rsid w:val="0026193B"/>
    <w:rsid w:val="00262221"/>
    <w:rsid w:val="002656F6"/>
    <w:rsid w:val="00265978"/>
    <w:rsid w:val="00270FAE"/>
    <w:rsid w:val="0027142D"/>
    <w:rsid w:val="002732E6"/>
    <w:rsid w:val="00273C56"/>
    <w:rsid w:val="00276ACF"/>
    <w:rsid w:val="0027743E"/>
    <w:rsid w:val="002819AA"/>
    <w:rsid w:val="0028213F"/>
    <w:rsid w:val="0028564F"/>
    <w:rsid w:val="002865ED"/>
    <w:rsid w:val="002866B4"/>
    <w:rsid w:val="00291D8E"/>
    <w:rsid w:val="00292887"/>
    <w:rsid w:val="00293574"/>
    <w:rsid w:val="00294FD3"/>
    <w:rsid w:val="002A1D71"/>
    <w:rsid w:val="002A3D97"/>
    <w:rsid w:val="002A5820"/>
    <w:rsid w:val="002A6194"/>
    <w:rsid w:val="002A6CE1"/>
    <w:rsid w:val="002B0ED9"/>
    <w:rsid w:val="002B32DA"/>
    <w:rsid w:val="002B3F0D"/>
    <w:rsid w:val="002C1D30"/>
    <w:rsid w:val="002C4C02"/>
    <w:rsid w:val="002C70BF"/>
    <w:rsid w:val="002C7445"/>
    <w:rsid w:val="002D37CF"/>
    <w:rsid w:val="002D5A42"/>
    <w:rsid w:val="002D5CCD"/>
    <w:rsid w:val="002D70C9"/>
    <w:rsid w:val="002D74D8"/>
    <w:rsid w:val="002D7F21"/>
    <w:rsid w:val="002E23C3"/>
    <w:rsid w:val="002E2792"/>
    <w:rsid w:val="002E503F"/>
    <w:rsid w:val="002E722C"/>
    <w:rsid w:val="002F12CC"/>
    <w:rsid w:val="002F1FE6"/>
    <w:rsid w:val="002F2D81"/>
    <w:rsid w:val="002F459B"/>
    <w:rsid w:val="002F52DC"/>
    <w:rsid w:val="00300BB1"/>
    <w:rsid w:val="00303DC0"/>
    <w:rsid w:val="0030415D"/>
    <w:rsid w:val="00307775"/>
    <w:rsid w:val="003108A4"/>
    <w:rsid w:val="00311E98"/>
    <w:rsid w:val="00312503"/>
    <w:rsid w:val="00313A1D"/>
    <w:rsid w:val="00314846"/>
    <w:rsid w:val="00317DBF"/>
    <w:rsid w:val="00317E80"/>
    <w:rsid w:val="0032051F"/>
    <w:rsid w:val="00324A0C"/>
    <w:rsid w:val="00324B47"/>
    <w:rsid w:val="003255E9"/>
    <w:rsid w:val="00327329"/>
    <w:rsid w:val="00327BF1"/>
    <w:rsid w:val="00330794"/>
    <w:rsid w:val="00330B16"/>
    <w:rsid w:val="00332FF4"/>
    <w:rsid w:val="00334313"/>
    <w:rsid w:val="0033525D"/>
    <w:rsid w:val="0033589E"/>
    <w:rsid w:val="00336427"/>
    <w:rsid w:val="003367D1"/>
    <w:rsid w:val="003370F3"/>
    <w:rsid w:val="003516DF"/>
    <w:rsid w:val="00351C37"/>
    <w:rsid w:val="00353C36"/>
    <w:rsid w:val="003541B9"/>
    <w:rsid w:val="00355808"/>
    <w:rsid w:val="0036013B"/>
    <w:rsid w:val="00360E86"/>
    <w:rsid w:val="00362416"/>
    <w:rsid w:val="003630D0"/>
    <w:rsid w:val="00365AA8"/>
    <w:rsid w:val="00373178"/>
    <w:rsid w:val="00374381"/>
    <w:rsid w:val="00375FA4"/>
    <w:rsid w:val="00376418"/>
    <w:rsid w:val="00377962"/>
    <w:rsid w:val="003804C5"/>
    <w:rsid w:val="00380E0F"/>
    <w:rsid w:val="00382F27"/>
    <w:rsid w:val="0038302C"/>
    <w:rsid w:val="003862DC"/>
    <w:rsid w:val="00386579"/>
    <w:rsid w:val="003914E2"/>
    <w:rsid w:val="00394082"/>
    <w:rsid w:val="00395D81"/>
    <w:rsid w:val="003A0D1A"/>
    <w:rsid w:val="003A439A"/>
    <w:rsid w:val="003B655A"/>
    <w:rsid w:val="003C0C82"/>
    <w:rsid w:val="003C12E0"/>
    <w:rsid w:val="003C2805"/>
    <w:rsid w:val="003C3289"/>
    <w:rsid w:val="003C3A8B"/>
    <w:rsid w:val="003C4800"/>
    <w:rsid w:val="003C4D06"/>
    <w:rsid w:val="003D04C9"/>
    <w:rsid w:val="003D1C8E"/>
    <w:rsid w:val="003D46B8"/>
    <w:rsid w:val="003E1354"/>
    <w:rsid w:val="003E1502"/>
    <w:rsid w:val="003E1E5C"/>
    <w:rsid w:val="003E335D"/>
    <w:rsid w:val="003F1FF4"/>
    <w:rsid w:val="003F3825"/>
    <w:rsid w:val="003F604F"/>
    <w:rsid w:val="004034AC"/>
    <w:rsid w:val="00403C1D"/>
    <w:rsid w:val="004045F2"/>
    <w:rsid w:val="0040573D"/>
    <w:rsid w:val="0040657F"/>
    <w:rsid w:val="004127DD"/>
    <w:rsid w:val="004179F2"/>
    <w:rsid w:val="00420C57"/>
    <w:rsid w:val="00420CE9"/>
    <w:rsid w:val="0042264A"/>
    <w:rsid w:val="00424EDC"/>
    <w:rsid w:val="004274DB"/>
    <w:rsid w:val="00430178"/>
    <w:rsid w:val="0043067E"/>
    <w:rsid w:val="00430CA7"/>
    <w:rsid w:val="00430F52"/>
    <w:rsid w:val="00431BEA"/>
    <w:rsid w:val="00440BE0"/>
    <w:rsid w:val="00442291"/>
    <w:rsid w:val="00445B35"/>
    <w:rsid w:val="00445DA3"/>
    <w:rsid w:val="004465F0"/>
    <w:rsid w:val="00451C33"/>
    <w:rsid w:val="004555EF"/>
    <w:rsid w:val="00456FAD"/>
    <w:rsid w:val="004575BE"/>
    <w:rsid w:val="004628E8"/>
    <w:rsid w:val="0046522D"/>
    <w:rsid w:val="00466A1C"/>
    <w:rsid w:val="004700EF"/>
    <w:rsid w:val="00471E95"/>
    <w:rsid w:val="004756A5"/>
    <w:rsid w:val="00475942"/>
    <w:rsid w:val="00476AB7"/>
    <w:rsid w:val="0048087E"/>
    <w:rsid w:val="0048364F"/>
    <w:rsid w:val="004860A2"/>
    <w:rsid w:val="004918C3"/>
    <w:rsid w:val="00492180"/>
    <w:rsid w:val="004974E0"/>
    <w:rsid w:val="004A1861"/>
    <w:rsid w:val="004A2935"/>
    <w:rsid w:val="004A2C87"/>
    <w:rsid w:val="004A588E"/>
    <w:rsid w:val="004A7E18"/>
    <w:rsid w:val="004B0674"/>
    <w:rsid w:val="004B0A34"/>
    <w:rsid w:val="004B0D90"/>
    <w:rsid w:val="004B12DE"/>
    <w:rsid w:val="004B12E2"/>
    <w:rsid w:val="004B1FBB"/>
    <w:rsid w:val="004B34E3"/>
    <w:rsid w:val="004B3C9F"/>
    <w:rsid w:val="004B405F"/>
    <w:rsid w:val="004B4723"/>
    <w:rsid w:val="004B4853"/>
    <w:rsid w:val="004C2B43"/>
    <w:rsid w:val="004D1FA3"/>
    <w:rsid w:val="004D4706"/>
    <w:rsid w:val="004E0A07"/>
    <w:rsid w:val="004E287D"/>
    <w:rsid w:val="004E2C55"/>
    <w:rsid w:val="004E2EDC"/>
    <w:rsid w:val="004E4CF3"/>
    <w:rsid w:val="004E6E8E"/>
    <w:rsid w:val="004F15B7"/>
    <w:rsid w:val="004F244C"/>
    <w:rsid w:val="004F2F02"/>
    <w:rsid w:val="004F62FC"/>
    <w:rsid w:val="004F6F0B"/>
    <w:rsid w:val="004F6F9B"/>
    <w:rsid w:val="005002E6"/>
    <w:rsid w:val="00503A9E"/>
    <w:rsid w:val="005045E9"/>
    <w:rsid w:val="005051B7"/>
    <w:rsid w:val="0051092B"/>
    <w:rsid w:val="0051119A"/>
    <w:rsid w:val="00513092"/>
    <w:rsid w:val="0051587D"/>
    <w:rsid w:val="00515C06"/>
    <w:rsid w:val="0051605E"/>
    <w:rsid w:val="005169A1"/>
    <w:rsid w:val="00517428"/>
    <w:rsid w:val="0052014E"/>
    <w:rsid w:val="0052033E"/>
    <w:rsid w:val="00520B6E"/>
    <w:rsid w:val="00523680"/>
    <w:rsid w:val="005274FE"/>
    <w:rsid w:val="00527F73"/>
    <w:rsid w:val="005308E6"/>
    <w:rsid w:val="00531EA3"/>
    <w:rsid w:val="00531F53"/>
    <w:rsid w:val="0053295D"/>
    <w:rsid w:val="00536AFC"/>
    <w:rsid w:val="0053723F"/>
    <w:rsid w:val="00542D51"/>
    <w:rsid w:val="005444A2"/>
    <w:rsid w:val="00545670"/>
    <w:rsid w:val="00546876"/>
    <w:rsid w:val="00550387"/>
    <w:rsid w:val="00555D9E"/>
    <w:rsid w:val="0055724E"/>
    <w:rsid w:val="00557369"/>
    <w:rsid w:val="00560572"/>
    <w:rsid w:val="00560EBB"/>
    <w:rsid w:val="00561840"/>
    <w:rsid w:val="00564069"/>
    <w:rsid w:val="00570DB1"/>
    <w:rsid w:val="00570E9F"/>
    <w:rsid w:val="005755E3"/>
    <w:rsid w:val="005816FB"/>
    <w:rsid w:val="00584AEE"/>
    <w:rsid w:val="00586B2B"/>
    <w:rsid w:val="00587A8D"/>
    <w:rsid w:val="0059105D"/>
    <w:rsid w:val="005935F3"/>
    <w:rsid w:val="00594347"/>
    <w:rsid w:val="005952BE"/>
    <w:rsid w:val="0059594D"/>
    <w:rsid w:val="00595BE2"/>
    <w:rsid w:val="00595C49"/>
    <w:rsid w:val="0059627F"/>
    <w:rsid w:val="005A2D63"/>
    <w:rsid w:val="005A3011"/>
    <w:rsid w:val="005A3CDD"/>
    <w:rsid w:val="005A419C"/>
    <w:rsid w:val="005B29BC"/>
    <w:rsid w:val="005B4D77"/>
    <w:rsid w:val="005B567C"/>
    <w:rsid w:val="005B69A6"/>
    <w:rsid w:val="005B7C75"/>
    <w:rsid w:val="005C1A21"/>
    <w:rsid w:val="005C35AD"/>
    <w:rsid w:val="005C51B2"/>
    <w:rsid w:val="005C6245"/>
    <w:rsid w:val="005C7E8B"/>
    <w:rsid w:val="005D22B2"/>
    <w:rsid w:val="005D2BA7"/>
    <w:rsid w:val="005D2F69"/>
    <w:rsid w:val="005D72AD"/>
    <w:rsid w:val="005D7963"/>
    <w:rsid w:val="005E2C50"/>
    <w:rsid w:val="005E4682"/>
    <w:rsid w:val="005E50CA"/>
    <w:rsid w:val="005E692D"/>
    <w:rsid w:val="005E6F02"/>
    <w:rsid w:val="005F201A"/>
    <w:rsid w:val="005F46B5"/>
    <w:rsid w:val="005F486F"/>
    <w:rsid w:val="005F4FAD"/>
    <w:rsid w:val="0060101E"/>
    <w:rsid w:val="00602939"/>
    <w:rsid w:val="006067EA"/>
    <w:rsid w:val="00610E9E"/>
    <w:rsid w:val="006111F2"/>
    <w:rsid w:val="00615885"/>
    <w:rsid w:val="006166C7"/>
    <w:rsid w:val="00620A4F"/>
    <w:rsid w:val="00620F72"/>
    <w:rsid w:val="00623408"/>
    <w:rsid w:val="006245DA"/>
    <w:rsid w:val="0062642B"/>
    <w:rsid w:val="0063123B"/>
    <w:rsid w:val="0063183B"/>
    <w:rsid w:val="0063231F"/>
    <w:rsid w:val="00634446"/>
    <w:rsid w:val="00634CBD"/>
    <w:rsid w:val="00635FA4"/>
    <w:rsid w:val="006369AC"/>
    <w:rsid w:val="00640B39"/>
    <w:rsid w:val="006424EC"/>
    <w:rsid w:val="00650E61"/>
    <w:rsid w:val="0065256A"/>
    <w:rsid w:val="00657C44"/>
    <w:rsid w:val="00665791"/>
    <w:rsid w:val="00672EC8"/>
    <w:rsid w:val="00673C78"/>
    <w:rsid w:val="00676527"/>
    <w:rsid w:val="00682D5D"/>
    <w:rsid w:val="00686575"/>
    <w:rsid w:val="00686797"/>
    <w:rsid w:val="00687FDE"/>
    <w:rsid w:val="0069369C"/>
    <w:rsid w:val="00693A5D"/>
    <w:rsid w:val="006A1B0D"/>
    <w:rsid w:val="006A1B39"/>
    <w:rsid w:val="006A3D5C"/>
    <w:rsid w:val="006A3F90"/>
    <w:rsid w:val="006A5107"/>
    <w:rsid w:val="006A6FF2"/>
    <w:rsid w:val="006B044D"/>
    <w:rsid w:val="006B0D0F"/>
    <w:rsid w:val="006B0F0D"/>
    <w:rsid w:val="006B1CF9"/>
    <w:rsid w:val="006B3D53"/>
    <w:rsid w:val="006B47EE"/>
    <w:rsid w:val="006B779D"/>
    <w:rsid w:val="006C0387"/>
    <w:rsid w:val="006C0AE5"/>
    <w:rsid w:val="006C4A5D"/>
    <w:rsid w:val="006C5EDC"/>
    <w:rsid w:val="006C6BAA"/>
    <w:rsid w:val="006C73EC"/>
    <w:rsid w:val="006D1D65"/>
    <w:rsid w:val="006D408B"/>
    <w:rsid w:val="006D6C6B"/>
    <w:rsid w:val="006E0E0C"/>
    <w:rsid w:val="006E2F87"/>
    <w:rsid w:val="006E5250"/>
    <w:rsid w:val="006E5575"/>
    <w:rsid w:val="006E7462"/>
    <w:rsid w:val="006E760F"/>
    <w:rsid w:val="006F1A01"/>
    <w:rsid w:val="006F28BC"/>
    <w:rsid w:val="006F300C"/>
    <w:rsid w:val="006F52F5"/>
    <w:rsid w:val="006F7686"/>
    <w:rsid w:val="006F79DD"/>
    <w:rsid w:val="007002F8"/>
    <w:rsid w:val="0070090F"/>
    <w:rsid w:val="00703C51"/>
    <w:rsid w:val="007122FD"/>
    <w:rsid w:val="00713580"/>
    <w:rsid w:val="007138A4"/>
    <w:rsid w:val="00715D6B"/>
    <w:rsid w:val="007166DE"/>
    <w:rsid w:val="007204C1"/>
    <w:rsid w:val="00723138"/>
    <w:rsid w:val="00724A1F"/>
    <w:rsid w:val="007317E0"/>
    <w:rsid w:val="0073487E"/>
    <w:rsid w:val="00740478"/>
    <w:rsid w:val="00740A8A"/>
    <w:rsid w:val="00742C54"/>
    <w:rsid w:val="00742DDD"/>
    <w:rsid w:val="00744921"/>
    <w:rsid w:val="00750FE3"/>
    <w:rsid w:val="0075360F"/>
    <w:rsid w:val="0076174E"/>
    <w:rsid w:val="00764561"/>
    <w:rsid w:val="00764978"/>
    <w:rsid w:val="00764F37"/>
    <w:rsid w:val="007708C6"/>
    <w:rsid w:val="00771D41"/>
    <w:rsid w:val="007721C4"/>
    <w:rsid w:val="0077280F"/>
    <w:rsid w:val="0077379F"/>
    <w:rsid w:val="00773918"/>
    <w:rsid w:val="007810E0"/>
    <w:rsid w:val="00781AFA"/>
    <w:rsid w:val="00785072"/>
    <w:rsid w:val="007A2E1B"/>
    <w:rsid w:val="007A345A"/>
    <w:rsid w:val="007B0257"/>
    <w:rsid w:val="007B03B7"/>
    <w:rsid w:val="007B1A80"/>
    <w:rsid w:val="007B221F"/>
    <w:rsid w:val="007B7EDD"/>
    <w:rsid w:val="007C05A7"/>
    <w:rsid w:val="007C1CDE"/>
    <w:rsid w:val="007C2A32"/>
    <w:rsid w:val="007C3E83"/>
    <w:rsid w:val="007C4028"/>
    <w:rsid w:val="007C6D48"/>
    <w:rsid w:val="007D3717"/>
    <w:rsid w:val="007D54B9"/>
    <w:rsid w:val="007D5FCD"/>
    <w:rsid w:val="007D776B"/>
    <w:rsid w:val="007E7D72"/>
    <w:rsid w:val="007F4437"/>
    <w:rsid w:val="007F5695"/>
    <w:rsid w:val="0080242C"/>
    <w:rsid w:val="00803448"/>
    <w:rsid w:val="00805018"/>
    <w:rsid w:val="00807B0B"/>
    <w:rsid w:val="008114A2"/>
    <w:rsid w:val="00813ADC"/>
    <w:rsid w:val="008145F2"/>
    <w:rsid w:val="008211C0"/>
    <w:rsid w:val="00823499"/>
    <w:rsid w:val="00823D2F"/>
    <w:rsid w:val="008253C0"/>
    <w:rsid w:val="00825B03"/>
    <w:rsid w:val="00827BEE"/>
    <w:rsid w:val="008316D6"/>
    <w:rsid w:val="00831C58"/>
    <w:rsid w:val="00831E6C"/>
    <w:rsid w:val="0083342E"/>
    <w:rsid w:val="00834EF1"/>
    <w:rsid w:val="008368CB"/>
    <w:rsid w:val="00841AC0"/>
    <w:rsid w:val="00841D91"/>
    <w:rsid w:val="00843715"/>
    <w:rsid w:val="00844552"/>
    <w:rsid w:val="0085243E"/>
    <w:rsid w:val="008526C5"/>
    <w:rsid w:val="00852FB6"/>
    <w:rsid w:val="00852FD1"/>
    <w:rsid w:val="008554FB"/>
    <w:rsid w:val="00855570"/>
    <w:rsid w:val="00855907"/>
    <w:rsid w:val="00857AC9"/>
    <w:rsid w:val="008637E6"/>
    <w:rsid w:val="008645AC"/>
    <w:rsid w:val="00865714"/>
    <w:rsid w:val="00866FD9"/>
    <w:rsid w:val="00870C38"/>
    <w:rsid w:val="008815F2"/>
    <w:rsid w:val="008839BB"/>
    <w:rsid w:val="00883E9F"/>
    <w:rsid w:val="00884DD1"/>
    <w:rsid w:val="00886963"/>
    <w:rsid w:val="008875BA"/>
    <w:rsid w:val="00891C8A"/>
    <w:rsid w:val="008933F0"/>
    <w:rsid w:val="008964C1"/>
    <w:rsid w:val="0089710F"/>
    <w:rsid w:val="008A23C5"/>
    <w:rsid w:val="008A3266"/>
    <w:rsid w:val="008A36BA"/>
    <w:rsid w:val="008A46F9"/>
    <w:rsid w:val="008A6027"/>
    <w:rsid w:val="008A626F"/>
    <w:rsid w:val="008A674E"/>
    <w:rsid w:val="008A7F84"/>
    <w:rsid w:val="008B13C3"/>
    <w:rsid w:val="008B1838"/>
    <w:rsid w:val="008B201B"/>
    <w:rsid w:val="008B739B"/>
    <w:rsid w:val="008B7DE7"/>
    <w:rsid w:val="008C0398"/>
    <w:rsid w:val="008C1BEA"/>
    <w:rsid w:val="008C4609"/>
    <w:rsid w:val="008C4C09"/>
    <w:rsid w:val="008C4EF3"/>
    <w:rsid w:val="008C5A22"/>
    <w:rsid w:val="008C7A92"/>
    <w:rsid w:val="008D2C2A"/>
    <w:rsid w:val="008D30E6"/>
    <w:rsid w:val="008D3B25"/>
    <w:rsid w:val="008D68C6"/>
    <w:rsid w:val="008D7BDB"/>
    <w:rsid w:val="008E23BE"/>
    <w:rsid w:val="008E49CB"/>
    <w:rsid w:val="008E5D6E"/>
    <w:rsid w:val="008E6624"/>
    <w:rsid w:val="008F27E4"/>
    <w:rsid w:val="008F476B"/>
    <w:rsid w:val="008F5A87"/>
    <w:rsid w:val="008F65AF"/>
    <w:rsid w:val="00903942"/>
    <w:rsid w:val="00904443"/>
    <w:rsid w:val="00905A67"/>
    <w:rsid w:val="00907D37"/>
    <w:rsid w:val="00910BDB"/>
    <w:rsid w:val="009132D4"/>
    <w:rsid w:val="00916B40"/>
    <w:rsid w:val="00917402"/>
    <w:rsid w:val="0091798A"/>
    <w:rsid w:val="009208D1"/>
    <w:rsid w:val="00920906"/>
    <w:rsid w:val="0092293B"/>
    <w:rsid w:val="00923C8A"/>
    <w:rsid w:val="00923D4F"/>
    <w:rsid w:val="00923DD0"/>
    <w:rsid w:val="009258F6"/>
    <w:rsid w:val="009263C8"/>
    <w:rsid w:val="009263D6"/>
    <w:rsid w:val="00931CD0"/>
    <w:rsid w:val="00933EFE"/>
    <w:rsid w:val="00941801"/>
    <w:rsid w:val="00941B6B"/>
    <w:rsid w:val="009429E7"/>
    <w:rsid w:val="00946716"/>
    <w:rsid w:val="009477D9"/>
    <w:rsid w:val="00950323"/>
    <w:rsid w:val="00951E3D"/>
    <w:rsid w:val="0095251D"/>
    <w:rsid w:val="0096182D"/>
    <w:rsid w:val="00962238"/>
    <w:rsid w:val="00962DFC"/>
    <w:rsid w:val="00963E73"/>
    <w:rsid w:val="00964805"/>
    <w:rsid w:val="00965627"/>
    <w:rsid w:val="00967C6A"/>
    <w:rsid w:val="00970316"/>
    <w:rsid w:val="00970D12"/>
    <w:rsid w:val="0097125F"/>
    <w:rsid w:val="00977A96"/>
    <w:rsid w:val="00985AA0"/>
    <w:rsid w:val="00986333"/>
    <w:rsid w:val="0098705C"/>
    <w:rsid w:val="00987883"/>
    <w:rsid w:val="009901AA"/>
    <w:rsid w:val="00992297"/>
    <w:rsid w:val="00994CD0"/>
    <w:rsid w:val="00995DB3"/>
    <w:rsid w:val="009A0FAD"/>
    <w:rsid w:val="009A569F"/>
    <w:rsid w:val="009A75E4"/>
    <w:rsid w:val="009A7E56"/>
    <w:rsid w:val="009B0579"/>
    <w:rsid w:val="009B0C81"/>
    <w:rsid w:val="009B45C3"/>
    <w:rsid w:val="009B7468"/>
    <w:rsid w:val="009C4773"/>
    <w:rsid w:val="009C483E"/>
    <w:rsid w:val="009C5916"/>
    <w:rsid w:val="009C7D0F"/>
    <w:rsid w:val="009D2100"/>
    <w:rsid w:val="009D2847"/>
    <w:rsid w:val="009E12C0"/>
    <w:rsid w:val="009E1F4B"/>
    <w:rsid w:val="009E50C6"/>
    <w:rsid w:val="009E63D4"/>
    <w:rsid w:val="009F222D"/>
    <w:rsid w:val="009F4D40"/>
    <w:rsid w:val="009F4F5A"/>
    <w:rsid w:val="009F619B"/>
    <w:rsid w:val="00A00A18"/>
    <w:rsid w:val="00A01EE5"/>
    <w:rsid w:val="00A026E4"/>
    <w:rsid w:val="00A04D48"/>
    <w:rsid w:val="00A0577E"/>
    <w:rsid w:val="00A0656B"/>
    <w:rsid w:val="00A0677C"/>
    <w:rsid w:val="00A06EEC"/>
    <w:rsid w:val="00A072DD"/>
    <w:rsid w:val="00A11F45"/>
    <w:rsid w:val="00A16D1C"/>
    <w:rsid w:val="00A24A93"/>
    <w:rsid w:val="00A27CBC"/>
    <w:rsid w:val="00A303C4"/>
    <w:rsid w:val="00A32610"/>
    <w:rsid w:val="00A33350"/>
    <w:rsid w:val="00A35CE6"/>
    <w:rsid w:val="00A35E7B"/>
    <w:rsid w:val="00A36FFE"/>
    <w:rsid w:val="00A434FD"/>
    <w:rsid w:val="00A446DA"/>
    <w:rsid w:val="00A4525C"/>
    <w:rsid w:val="00A45781"/>
    <w:rsid w:val="00A45A65"/>
    <w:rsid w:val="00A50CBF"/>
    <w:rsid w:val="00A52734"/>
    <w:rsid w:val="00A52FE3"/>
    <w:rsid w:val="00A553B6"/>
    <w:rsid w:val="00A60B6E"/>
    <w:rsid w:val="00A6185F"/>
    <w:rsid w:val="00A61C7F"/>
    <w:rsid w:val="00A61F79"/>
    <w:rsid w:val="00A626FC"/>
    <w:rsid w:val="00A62B37"/>
    <w:rsid w:val="00A62CC2"/>
    <w:rsid w:val="00A63856"/>
    <w:rsid w:val="00A70884"/>
    <w:rsid w:val="00A710B2"/>
    <w:rsid w:val="00A71884"/>
    <w:rsid w:val="00A72022"/>
    <w:rsid w:val="00A72999"/>
    <w:rsid w:val="00A73245"/>
    <w:rsid w:val="00A73BBA"/>
    <w:rsid w:val="00A73FD8"/>
    <w:rsid w:val="00A7444E"/>
    <w:rsid w:val="00A751D3"/>
    <w:rsid w:val="00A76F1D"/>
    <w:rsid w:val="00A806C2"/>
    <w:rsid w:val="00A8129E"/>
    <w:rsid w:val="00A84BA5"/>
    <w:rsid w:val="00A84BF3"/>
    <w:rsid w:val="00A85DCA"/>
    <w:rsid w:val="00A942E9"/>
    <w:rsid w:val="00AA2818"/>
    <w:rsid w:val="00AA4359"/>
    <w:rsid w:val="00AA543B"/>
    <w:rsid w:val="00AA5ACA"/>
    <w:rsid w:val="00AA6604"/>
    <w:rsid w:val="00AA7065"/>
    <w:rsid w:val="00AA75D5"/>
    <w:rsid w:val="00AA7E0A"/>
    <w:rsid w:val="00AB0B6C"/>
    <w:rsid w:val="00AB1FCD"/>
    <w:rsid w:val="00AB2A94"/>
    <w:rsid w:val="00AB760A"/>
    <w:rsid w:val="00AC4C6A"/>
    <w:rsid w:val="00AC5167"/>
    <w:rsid w:val="00AC6E60"/>
    <w:rsid w:val="00AD0D79"/>
    <w:rsid w:val="00AD0F5C"/>
    <w:rsid w:val="00AD369B"/>
    <w:rsid w:val="00AD48AD"/>
    <w:rsid w:val="00AD760D"/>
    <w:rsid w:val="00AD7B0D"/>
    <w:rsid w:val="00AD7E86"/>
    <w:rsid w:val="00AE1225"/>
    <w:rsid w:val="00AE20DF"/>
    <w:rsid w:val="00AE29A7"/>
    <w:rsid w:val="00AF246E"/>
    <w:rsid w:val="00AF479D"/>
    <w:rsid w:val="00AF504A"/>
    <w:rsid w:val="00AF635B"/>
    <w:rsid w:val="00AF75C8"/>
    <w:rsid w:val="00B00EE9"/>
    <w:rsid w:val="00B030E6"/>
    <w:rsid w:val="00B059FD"/>
    <w:rsid w:val="00B07332"/>
    <w:rsid w:val="00B149F2"/>
    <w:rsid w:val="00B20E51"/>
    <w:rsid w:val="00B219F9"/>
    <w:rsid w:val="00B23528"/>
    <w:rsid w:val="00B27C68"/>
    <w:rsid w:val="00B31DEE"/>
    <w:rsid w:val="00B32441"/>
    <w:rsid w:val="00B346F4"/>
    <w:rsid w:val="00B34DD8"/>
    <w:rsid w:val="00B36E5C"/>
    <w:rsid w:val="00B42710"/>
    <w:rsid w:val="00B43721"/>
    <w:rsid w:val="00B44194"/>
    <w:rsid w:val="00B448E8"/>
    <w:rsid w:val="00B47060"/>
    <w:rsid w:val="00B47693"/>
    <w:rsid w:val="00B50CD0"/>
    <w:rsid w:val="00B5689F"/>
    <w:rsid w:val="00B57895"/>
    <w:rsid w:val="00B57992"/>
    <w:rsid w:val="00B60E31"/>
    <w:rsid w:val="00B63ADF"/>
    <w:rsid w:val="00B70CD3"/>
    <w:rsid w:val="00B7298C"/>
    <w:rsid w:val="00B73A04"/>
    <w:rsid w:val="00B74631"/>
    <w:rsid w:val="00B74646"/>
    <w:rsid w:val="00B74C16"/>
    <w:rsid w:val="00B75C45"/>
    <w:rsid w:val="00B76664"/>
    <w:rsid w:val="00B76838"/>
    <w:rsid w:val="00B8095D"/>
    <w:rsid w:val="00B81622"/>
    <w:rsid w:val="00B831B3"/>
    <w:rsid w:val="00B8604A"/>
    <w:rsid w:val="00B861FE"/>
    <w:rsid w:val="00B924C4"/>
    <w:rsid w:val="00B92CC7"/>
    <w:rsid w:val="00B92CE9"/>
    <w:rsid w:val="00B9389A"/>
    <w:rsid w:val="00B96A56"/>
    <w:rsid w:val="00B96B7B"/>
    <w:rsid w:val="00BA1F2C"/>
    <w:rsid w:val="00BA2F0B"/>
    <w:rsid w:val="00BA32AD"/>
    <w:rsid w:val="00BA4771"/>
    <w:rsid w:val="00BA4AF0"/>
    <w:rsid w:val="00BA4E68"/>
    <w:rsid w:val="00BA5289"/>
    <w:rsid w:val="00BA6421"/>
    <w:rsid w:val="00BB017B"/>
    <w:rsid w:val="00BB01AD"/>
    <w:rsid w:val="00BB1FB2"/>
    <w:rsid w:val="00BC126B"/>
    <w:rsid w:val="00BC32A7"/>
    <w:rsid w:val="00BC49BB"/>
    <w:rsid w:val="00BD4970"/>
    <w:rsid w:val="00BD4E67"/>
    <w:rsid w:val="00BD6E84"/>
    <w:rsid w:val="00BD750D"/>
    <w:rsid w:val="00BE0058"/>
    <w:rsid w:val="00BE0862"/>
    <w:rsid w:val="00BE148F"/>
    <w:rsid w:val="00BE2C40"/>
    <w:rsid w:val="00BE3905"/>
    <w:rsid w:val="00BE5AA8"/>
    <w:rsid w:val="00BF358E"/>
    <w:rsid w:val="00BF5F1D"/>
    <w:rsid w:val="00BF689F"/>
    <w:rsid w:val="00C02697"/>
    <w:rsid w:val="00C037A6"/>
    <w:rsid w:val="00C03F8A"/>
    <w:rsid w:val="00C05D24"/>
    <w:rsid w:val="00C1004C"/>
    <w:rsid w:val="00C110DF"/>
    <w:rsid w:val="00C200D7"/>
    <w:rsid w:val="00C217A0"/>
    <w:rsid w:val="00C24A2E"/>
    <w:rsid w:val="00C25CFC"/>
    <w:rsid w:val="00C32FE1"/>
    <w:rsid w:val="00C36956"/>
    <w:rsid w:val="00C40577"/>
    <w:rsid w:val="00C405CB"/>
    <w:rsid w:val="00C43658"/>
    <w:rsid w:val="00C4502F"/>
    <w:rsid w:val="00C46047"/>
    <w:rsid w:val="00C50F78"/>
    <w:rsid w:val="00C52B1A"/>
    <w:rsid w:val="00C540E0"/>
    <w:rsid w:val="00C639B5"/>
    <w:rsid w:val="00C673BD"/>
    <w:rsid w:val="00C705ED"/>
    <w:rsid w:val="00C71472"/>
    <w:rsid w:val="00C7337F"/>
    <w:rsid w:val="00C75C1A"/>
    <w:rsid w:val="00C77FF1"/>
    <w:rsid w:val="00C86880"/>
    <w:rsid w:val="00C86E98"/>
    <w:rsid w:val="00C90543"/>
    <w:rsid w:val="00C935B4"/>
    <w:rsid w:val="00C9386D"/>
    <w:rsid w:val="00C9729E"/>
    <w:rsid w:val="00CA06E7"/>
    <w:rsid w:val="00CA3C3D"/>
    <w:rsid w:val="00CA3CCA"/>
    <w:rsid w:val="00CB0024"/>
    <w:rsid w:val="00CB3F3F"/>
    <w:rsid w:val="00CB5B17"/>
    <w:rsid w:val="00CC33AB"/>
    <w:rsid w:val="00CC5289"/>
    <w:rsid w:val="00CC56E7"/>
    <w:rsid w:val="00CC6F6E"/>
    <w:rsid w:val="00CD1079"/>
    <w:rsid w:val="00CD12D8"/>
    <w:rsid w:val="00CD2F98"/>
    <w:rsid w:val="00CD33F3"/>
    <w:rsid w:val="00CD3AD6"/>
    <w:rsid w:val="00CE1F09"/>
    <w:rsid w:val="00CE3711"/>
    <w:rsid w:val="00CE4186"/>
    <w:rsid w:val="00CF2087"/>
    <w:rsid w:val="00CF227B"/>
    <w:rsid w:val="00CF2D53"/>
    <w:rsid w:val="00CF3432"/>
    <w:rsid w:val="00CF46B5"/>
    <w:rsid w:val="00CF55D5"/>
    <w:rsid w:val="00CF5871"/>
    <w:rsid w:val="00D00583"/>
    <w:rsid w:val="00D0292A"/>
    <w:rsid w:val="00D07D46"/>
    <w:rsid w:val="00D108D2"/>
    <w:rsid w:val="00D12835"/>
    <w:rsid w:val="00D130EB"/>
    <w:rsid w:val="00D14104"/>
    <w:rsid w:val="00D204C5"/>
    <w:rsid w:val="00D20F6F"/>
    <w:rsid w:val="00D21BBD"/>
    <w:rsid w:val="00D2238A"/>
    <w:rsid w:val="00D236C8"/>
    <w:rsid w:val="00D24914"/>
    <w:rsid w:val="00D24AB2"/>
    <w:rsid w:val="00D27857"/>
    <w:rsid w:val="00D302D1"/>
    <w:rsid w:val="00D30E85"/>
    <w:rsid w:val="00D326D7"/>
    <w:rsid w:val="00D336E0"/>
    <w:rsid w:val="00D340BE"/>
    <w:rsid w:val="00D40B52"/>
    <w:rsid w:val="00D427F2"/>
    <w:rsid w:val="00D43E68"/>
    <w:rsid w:val="00D443FB"/>
    <w:rsid w:val="00D45042"/>
    <w:rsid w:val="00D47FCB"/>
    <w:rsid w:val="00D50FFB"/>
    <w:rsid w:val="00D52EC6"/>
    <w:rsid w:val="00D53D12"/>
    <w:rsid w:val="00D54453"/>
    <w:rsid w:val="00D54AD0"/>
    <w:rsid w:val="00D556BF"/>
    <w:rsid w:val="00D60710"/>
    <w:rsid w:val="00D61798"/>
    <w:rsid w:val="00D62CB1"/>
    <w:rsid w:val="00D66F7F"/>
    <w:rsid w:val="00D67634"/>
    <w:rsid w:val="00D71F81"/>
    <w:rsid w:val="00D726F9"/>
    <w:rsid w:val="00D731D5"/>
    <w:rsid w:val="00D756A9"/>
    <w:rsid w:val="00D76AAD"/>
    <w:rsid w:val="00D77944"/>
    <w:rsid w:val="00D81F8C"/>
    <w:rsid w:val="00D84579"/>
    <w:rsid w:val="00D859D5"/>
    <w:rsid w:val="00D85C5E"/>
    <w:rsid w:val="00D875E6"/>
    <w:rsid w:val="00D91E89"/>
    <w:rsid w:val="00D94D4A"/>
    <w:rsid w:val="00DA17FB"/>
    <w:rsid w:val="00DA2027"/>
    <w:rsid w:val="00DA469D"/>
    <w:rsid w:val="00DB12D6"/>
    <w:rsid w:val="00DB1A8E"/>
    <w:rsid w:val="00DB2818"/>
    <w:rsid w:val="00DB5D05"/>
    <w:rsid w:val="00DB6A18"/>
    <w:rsid w:val="00DC2A33"/>
    <w:rsid w:val="00DC3ABD"/>
    <w:rsid w:val="00DC5C27"/>
    <w:rsid w:val="00DC6F52"/>
    <w:rsid w:val="00DC74C5"/>
    <w:rsid w:val="00DD0C90"/>
    <w:rsid w:val="00DD491C"/>
    <w:rsid w:val="00DE03E4"/>
    <w:rsid w:val="00DE20EE"/>
    <w:rsid w:val="00DE2591"/>
    <w:rsid w:val="00DE3CE2"/>
    <w:rsid w:val="00DE4754"/>
    <w:rsid w:val="00DE49F7"/>
    <w:rsid w:val="00DE5AD0"/>
    <w:rsid w:val="00DE6920"/>
    <w:rsid w:val="00DF05E9"/>
    <w:rsid w:val="00DF1D1A"/>
    <w:rsid w:val="00DF334B"/>
    <w:rsid w:val="00E01E6C"/>
    <w:rsid w:val="00E0201A"/>
    <w:rsid w:val="00E02DA9"/>
    <w:rsid w:val="00E033E3"/>
    <w:rsid w:val="00E036CB"/>
    <w:rsid w:val="00E03B22"/>
    <w:rsid w:val="00E05DA2"/>
    <w:rsid w:val="00E0700B"/>
    <w:rsid w:val="00E1084C"/>
    <w:rsid w:val="00E11510"/>
    <w:rsid w:val="00E14EB9"/>
    <w:rsid w:val="00E1723C"/>
    <w:rsid w:val="00E2021E"/>
    <w:rsid w:val="00E2162E"/>
    <w:rsid w:val="00E27BC2"/>
    <w:rsid w:val="00E330F9"/>
    <w:rsid w:val="00E338D0"/>
    <w:rsid w:val="00E34747"/>
    <w:rsid w:val="00E3579F"/>
    <w:rsid w:val="00E37814"/>
    <w:rsid w:val="00E415C5"/>
    <w:rsid w:val="00E50DC5"/>
    <w:rsid w:val="00E53B98"/>
    <w:rsid w:val="00E56D5B"/>
    <w:rsid w:val="00E622CA"/>
    <w:rsid w:val="00E64CC6"/>
    <w:rsid w:val="00E718B3"/>
    <w:rsid w:val="00E74B97"/>
    <w:rsid w:val="00E76712"/>
    <w:rsid w:val="00E768A0"/>
    <w:rsid w:val="00E8091B"/>
    <w:rsid w:val="00E8200C"/>
    <w:rsid w:val="00E841E4"/>
    <w:rsid w:val="00E84361"/>
    <w:rsid w:val="00E84A0C"/>
    <w:rsid w:val="00E8586B"/>
    <w:rsid w:val="00E86FF7"/>
    <w:rsid w:val="00E903EF"/>
    <w:rsid w:val="00E90438"/>
    <w:rsid w:val="00E90E54"/>
    <w:rsid w:val="00E91058"/>
    <w:rsid w:val="00E92146"/>
    <w:rsid w:val="00E9417F"/>
    <w:rsid w:val="00EA0B7F"/>
    <w:rsid w:val="00EA228C"/>
    <w:rsid w:val="00EA236B"/>
    <w:rsid w:val="00EA3753"/>
    <w:rsid w:val="00EA5B6D"/>
    <w:rsid w:val="00EA7776"/>
    <w:rsid w:val="00EB2899"/>
    <w:rsid w:val="00EB330F"/>
    <w:rsid w:val="00EB7229"/>
    <w:rsid w:val="00EC15D3"/>
    <w:rsid w:val="00EC1ACB"/>
    <w:rsid w:val="00EC2D62"/>
    <w:rsid w:val="00EC3F88"/>
    <w:rsid w:val="00EC60F9"/>
    <w:rsid w:val="00ED004C"/>
    <w:rsid w:val="00ED01D0"/>
    <w:rsid w:val="00ED1CBB"/>
    <w:rsid w:val="00ED2E6F"/>
    <w:rsid w:val="00ED4220"/>
    <w:rsid w:val="00ED7DB3"/>
    <w:rsid w:val="00ED7E5B"/>
    <w:rsid w:val="00EE0568"/>
    <w:rsid w:val="00EE05FC"/>
    <w:rsid w:val="00EE1189"/>
    <w:rsid w:val="00EE5251"/>
    <w:rsid w:val="00EE528D"/>
    <w:rsid w:val="00EE63C3"/>
    <w:rsid w:val="00EE6C33"/>
    <w:rsid w:val="00EE6DB8"/>
    <w:rsid w:val="00EE70FE"/>
    <w:rsid w:val="00EF0E85"/>
    <w:rsid w:val="00EF2B6D"/>
    <w:rsid w:val="00EF302F"/>
    <w:rsid w:val="00EF540C"/>
    <w:rsid w:val="00F00755"/>
    <w:rsid w:val="00F00938"/>
    <w:rsid w:val="00F00BEB"/>
    <w:rsid w:val="00F02015"/>
    <w:rsid w:val="00F05B87"/>
    <w:rsid w:val="00F06B67"/>
    <w:rsid w:val="00F074DB"/>
    <w:rsid w:val="00F10AFC"/>
    <w:rsid w:val="00F13540"/>
    <w:rsid w:val="00F15F78"/>
    <w:rsid w:val="00F17644"/>
    <w:rsid w:val="00F21E2E"/>
    <w:rsid w:val="00F2326F"/>
    <w:rsid w:val="00F2576A"/>
    <w:rsid w:val="00F25800"/>
    <w:rsid w:val="00F26E9F"/>
    <w:rsid w:val="00F27D53"/>
    <w:rsid w:val="00F31282"/>
    <w:rsid w:val="00F314B7"/>
    <w:rsid w:val="00F31F09"/>
    <w:rsid w:val="00F322A5"/>
    <w:rsid w:val="00F330D9"/>
    <w:rsid w:val="00F34E9E"/>
    <w:rsid w:val="00F34EBF"/>
    <w:rsid w:val="00F361A3"/>
    <w:rsid w:val="00F36F17"/>
    <w:rsid w:val="00F376D9"/>
    <w:rsid w:val="00F37CA9"/>
    <w:rsid w:val="00F43131"/>
    <w:rsid w:val="00F46B63"/>
    <w:rsid w:val="00F529E5"/>
    <w:rsid w:val="00F53292"/>
    <w:rsid w:val="00F5440A"/>
    <w:rsid w:val="00F544EB"/>
    <w:rsid w:val="00F54627"/>
    <w:rsid w:val="00F6326B"/>
    <w:rsid w:val="00F66363"/>
    <w:rsid w:val="00F66E55"/>
    <w:rsid w:val="00F66FE5"/>
    <w:rsid w:val="00F7390D"/>
    <w:rsid w:val="00F73ABB"/>
    <w:rsid w:val="00F74233"/>
    <w:rsid w:val="00F74311"/>
    <w:rsid w:val="00F7621D"/>
    <w:rsid w:val="00F76B2A"/>
    <w:rsid w:val="00F80228"/>
    <w:rsid w:val="00F805FB"/>
    <w:rsid w:val="00F856E5"/>
    <w:rsid w:val="00F86BCE"/>
    <w:rsid w:val="00F94E59"/>
    <w:rsid w:val="00FA2510"/>
    <w:rsid w:val="00FA379D"/>
    <w:rsid w:val="00FA3C18"/>
    <w:rsid w:val="00FA72F5"/>
    <w:rsid w:val="00FA7418"/>
    <w:rsid w:val="00FB1AFD"/>
    <w:rsid w:val="00FB3BA3"/>
    <w:rsid w:val="00FB45B2"/>
    <w:rsid w:val="00FB7D5A"/>
    <w:rsid w:val="00FC4A76"/>
    <w:rsid w:val="00FC5812"/>
    <w:rsid w:val="00FC60A5"/>
    <w:rsid w:val="00FC78A4"/>
    <w:rsid w:val="00FD2B7F"/>
    <w:rsid w:val="00FD3E77"/>
    <w:rsid w:val="00FD71AB"/>
    <w:rsid w:val="00FE080D"/>
    <w:rsid w:val="00FE20AC"/>
    <w:rsid w:val="00FE20B3"/>
    <w:rsid w:val="00FF6905"/>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C5A880"/>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unhideWhenUsed/>
    <w:qFormat/>
    <w:rsid w:val="006B0F0D"/>
    <w:pPr>
      <w:keepNext/>
      <w:keepLines/>
      <w:spacing w:before="260" w:after="260" w:line="416" w:lineRule="auto"/>
      <w:outlineLvl w:val="2"/>
    </w:pPr>
    <w:rPr>
      <w:rFonts w:ascii="Calibri" w:hAnsi="Calibri"/>
      <w:b/>
      <w:bCs/>
      <w:kern w:val="0"/>
      <w:sz w:val="32"/>
      <w:szCs w:val="32"/>
    </w:rPr>
  </w:style>
  <w:style w:type="paragraph" w:styleId="5">
    <w:name w:val="heading 5"/>
    <w:basedOn w:val="a"/>
    <w:next w:val="a"/>
    <w:link w:val="51"/>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註腳文字 字元 字元,註腳文字 字元 字元 字元, 字元1,Cha,¦r"/>
    <w:basedOn w:val="a"/>
    <w:link w:val="11"/>
    <w:uiPriority w:val="99"/>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uiPriority w:val="99"/>
    <w:qFormat/>
    <w:rsid w:val="00CB0024"/>
    <w:rPr>
      <w:vertAlign w:val="superscript"/>
    </w:rPr>
  </w:style>
  <w:style w:type="paragraph" w:styleId="a6">
    <w:name w:val="footer"/>
    <w:basedOn w:val="a"/>
    <w:link w:val="a7"/>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uiPriority w:val="99"/>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qFormat/>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iPriority w:val="99"/>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uiPriority w:val="99"/>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iPriority w:val="99"/>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character" w:customStyle="1" w:styleId="10">
    <w:name w:val="标题 1 字符"/>
    <w:link w:val="1"/>
    <w:uiPriority w:val="9"/>
    <w:qFormat/>
    <w:rsid w:val="006B0F0D"/>
    <w:rPr>
      <w:b/>
      <w:bCs/>
      <w:kern w:val="44"/>
      <w:sz w:val="44"/>
      <w:szCs w:val="44"/>
    </w:rPr>
  </w:style>
  <w:style w:type="character" w:customStyle="1" w:styleId="20">
    <w:name w:val="标题 2 字符"/>
    <w:link w:val="2"/>
    <w:qFormat/>
    <w:rsid w:val="006B0F0D"/>
    <w:rPr>
      <w:rFonts w:ascii="Cambria" w:eastAsia="宋体" w:hAnsi="Cambria" w:cs="Times New Roman"/>
      <w:b/>
      <w:bCs/>
      <w:sz w:val="32"/>
      <w:szCs w:val="32"/>
    </w:rPr>
  </w:style>
  <w:style w:type="character" w:customStyle="1" w:styleId="30">
    <w:name w:val="标题 3 字符"/>
    <w:link w:val="3"/>
    <w:uiPriority w:val="9"/>
    <w:rsid w:val="006B0F0D"/>
    <w:rPr>
      <w:b/>
      <w:bCs/>
      <w:sz w:val="32"/>
      <w:szCs w:val="32"/>
    </w:rPr>
  </w:style>
  <w:style w:type="paragraph" w:customStyle="1" w:styleId="13">
    <w:name w:val="无间隔1"/>
    <w:next w:val="af3"/>
    <w:uiPriority w:val="1"/>
    <w:qFormat/>
    <w:rsid w:val="006B0F0D"/>
    <w:pPr>
      <w:widowControl w:val="0"/>
      <w:jc w:val="both"/>
    </w:pPr>
    <w:rPr>
      <w:kern w:val="2"/>
      <w:sz w:val="21"/>
      <w:szCs w:val="22"/>
    </w:rPr>
  </w:style>
  <w:style w:type="paragraph" w:customStyle="1" w:styleId="14">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4"/>
    <w:uiPriority w:val="99"/>
    <w:semiHidden/>
    <w:rsid w:val="006B0F0D"/>
    <w:rPr>
      <w:sz w:val="18"/>
      <w:szCs w:val="18"/>
    </w:rPr>
  </w:style>
  <w:style w:type="paragraph" w:customStyle="1" w:styleId="15">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unhideWhenUsed/>
    <w:qFormat/>
    <w:rsid w:val="006B0F0D"/>
    <w:rPr>
      <w:sz w:val="18"/>
      <w:szCs w:val="18"/>
    </w:rPr>
  </w:style>
  <w:style w:type="character" w:customStyle="1" w:styleId="af6">
    <w:name w:val="批注框文本 字符"/>
    <w:link w:val="af4"/>
    <w:uiPriority w:val="99"/>
    <w:qFormat/>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rsid w:val="008C1BEA"/>
    <w:rPr>
      <w:kern w:val="2"/>
      <w:sz w:val="21"/>
      <w:szCs w:val="24"/>
    </w:rPr>
  </w:style>
  <w:style w:type="character" w:customStyle="1" w:styleId="afb">
    <w:name w:val="脚注文本 字符"/>
    <w:aliases w:val="脚注文本 Char 字符, Char 字符, 字元 字符,字元 字符,註腳文字 字元 字元 字符,註腳文字 字元 字元 字元 字符, 字元1 字符,脚注文本 Char Char Char Char Char Char Char Char Char Char Char Char Char Char Char Char Char Char Char Char Char 字符, Char Char Char Char Char Char 字符, Char Char Char Char 字符"/>
    <w:uiPriority w:val="99"/>
    <w:qFormat/>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uiPriority w:val="22"/>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nhideWhenUsed/>
    <w:rsid w:val="008839BB"/>
    <w:pPr>
      <w:ind w:leftChars="2500" w:left="100"/>
    </w:pPr>
  </w:style>
  <w:style w:type="character" w:customStyle="1" w:styleId="aff1">
    <w:name w:val="日期 字符"/>
    <w:link w:val="aff0"/>
    <w:rsid w:val="008839BB"/>
    <w:rPr>
      <w:rFonts w:ascii="宋体" w:hAnsi="宋体"/>
      <w:kern w:val="2"/>
      <w:sz w:val="24"/>
      <w:szCs w:val="22"/>
    </w:rPr>
  </w:style>
  <w:style w:type="character" w:customStyle="1" w:styleId="Char5">
    <w:name w:val="尾注文本 Char"/>
    <w:rsid w:val="003E1E5C"/>
    <w:rPr>
      <w:kern w:val="2"/>
      <w:sz w:val="21"/>
      <w:szCs w:val="24"/>
    </w:rPr>
  </w:style>
  <w:style w:type="table" w:styleId="aff2">
    <w:name w:val="Table Grid"/>
    <w:basedOn w:val="a1"/>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character" w:customStyle="1" w:styleId="aff3">
    <w:name w:val="控呇湮佽恅苤蚼 红色"/>
    <w:basedOn w:val="a0"/>
    <w:qFormat/>
    <w:rsid w:val="00EA5B6D"/>
    <w:rPr>
      <w:rFonts w:ascii="控呇湮佽恅苤蚼" w:eastAsia="控呇湮佽恅苤蚼" w:hAnsi="控呇湮佽恅苤蚼"/>
      <w:color w:val="FF0000"/>
    </w:rPr>
  </w:style>
  <w:style w:type="paragraph" w:customStyle="1" w:styleId="Char11">
    <w:name w:val="Char1"/>
    <w:basedOn w:val="a"/>
    <w:rsid w:val="00EA5B6D"/>
    <w:rPr>
      <w:rFonts w:ascii="Tahoma" w:hAnsi="Tahoma"/>
      <w:szCs w:val="20"/>
    </w:rPr>
  </w:style>
  <w:style w:type="paragraph" w:styleId="aff4">
    <w:name w:val="Title"/>
    <w:basedOn w:val="a"/>
    <w:next w:val="a"/>
    <w:link w:val="aff5"/>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5">
    <w:name w:val="标题 字符"/>
    <w:basedOn w:val="a0"/>
    <w:link w:val="aff4"/>
    <w:uiPriority w:val="10"/>
    <w:rsid w:val="00E34747"/>
    <w:rPr>
      <w:rFonts w:asciiTheme="majorHAnsi" w:hAnsiTheme="majorHAnsi" w:cstheme="majorBidi"/>
      <w:b/>
      <w:bCs/>
      <w:kern w:val="2"/>
      <w:sz w:val="32"/>
      <w:szCs w:val="32"/>
    </w:rPr>
  </w:style>
  <w:style w:type="paragraph" w:customStyle="1" w:styleId="4">
    <w:name w:val="样式4"/>
    <w:basedOn w:val="a"/>
    <w:qFormat/>
    <w:rsid w:val="00451C33"/>
    <w:pPr>
      <w:spacing w:line="360" w:lineRule="auto"/>
      <w:jc w:val="center"/>
    </w:pPr>
    <w:rPr>
      <w:rFonts w:asciiTheme="minorHAnsi" w:eastAsiaTheme="minorEastAsia" w:hAnsiTheme="minorHAnsi" w:cstheme="minorBidi"/>
      <w:szCs w:val="21"/>
      <w:lang w:eastAsia="zh-TW"/>
    </w:rPr>
  </w:style>
  <w:style w:type="character" w:customStyle="1" w:styleId="16">
    <w:name w:val="未处理的提及1"/>
    <w:basedOn w:val="a0"/>
    <w:uiPriority w:val="99"/>
    <w:semiHidden/>
    <w:unhideWhenUsed/>
    <w:rsid w:val="00451C33"/>
    <w:rPr>
      <w:color w:val="808080"/>
      <w:shd w:val="clear" w:color="auto" w:fill="E6E6E6"/>
    </w:rPr>
  </w:style>
  <w:style w:type="character" w:styleId="aff6">
    <w:name w:val="FollowedHyperlink"/>
    <w:basedOn w:val="a0"/>
    <w:unhideWhenUsed/>
    <w:rsid w:val="00451C33"/>
    <w:rPr>
      <w:color w:val="954F72" w:themeColor="followedHyperlink"/>
      <w:u w:val="single"/>
    </w:rPr>
  </w:style>
  <w:style w:type="character" w:styleId="aff7">
    <w:name w:val="annotation reference"/>
    <w:basedOn w:val="a0"/>
    <w:semiHidden/>
    <w:unhideWhenUsed/>
    <w:rsid w:val="00D731D5"/>
    <w:rPr>
      <w:sz w:val="21"/>
      <w:szCs w:val="21"/>
    </w:rPr>
  </w:style>
  <w:style w:type="paragraph" w:styleId="aff8">
    <w:name w:val="annotation text"/>
    <w:basedOn w:val="a"/>
    <w:link w:val="aff9"/>
    <w:semiHidden/>
    <w:unhideWhenUsed/>
    <w:rsid w:val="00D731D5"/>
    <w:pPr>
      <w:jc w:val="left"/>
      <w:textAlignment w:val="center"/>
    </w:pPr>
    <w:rPr>
      <w:rFonts w:asciiTheme="minorHAnsi" w:eastAsiaTheme="minorEastAsia" w:hAnsiTheme="minorHAnsi" w:cstheme="minorBidi"/>
      <w:sz w:val="21"/>
    </w:rPr>
  </w:style>
  <w:style w:type="character" w:customStyle="1" w:styleId="aff9">
    <w:name w:val="批注文字 字符"/>
    <w:basedOn w:val="a0"/>
    <w:link w:val="aff8"/>
    <w:uiPriority w:val="99"/>
    <w:semiHidden/>
    <w:rsid w:val="00D731D5"/>
    <w:rPr>
      <w:rFonts w:asciiTheme="minorHAnsi" w:eastAsiaTheme="minorEastAsia" w:hAnsiTheme="minorHAnsi" w:cstheme="minorBidi"/>
      <w:kern w:val="2"/>
      <w:sz w:val="21"/>
      <w:szCs w:val="22"/>
    </w:rPr>
  </w:style>
  <w:style w:type="paragraph" w:styleId="affa">
    <w:name w:val="annotation subject"/>
    <w:basedOn w:val="aff8"/>
    <w:next w:val="aff8"/>
    <w:link w:val="affb"/>
    <w:semiHidden/>
    <w:unhideWhenUsed/>
    <w:rsid w:val="00D731D5"/>
    <w:rPr>
      <w:b/>
      <w:bCs/>
    </w:rPr>
  </w:style>
  <w:style w:type="character" w:customStyle="1" w:styleId="affb">
    <w:name w:val="批注主题 字符"/>
    <w:basedOn w:val="aff9"/>
    <w:link w:val="affa"/>
    <w:uiPriority w:val="99"/>
    <w:semiHidden/>
    <w:rsid w:val="00D731D5"/>
    <w:rPr>
      <w:rFonts w:asciiTheme="minorHAnsi" w:eastAsiaTheme="minorEastAsia" w:hAnsiTheme="minorHAnsi" w:cstheme="minorBidi"/>
      <w:b/>
      <w:bCs/>
      <w:kern w:val="2"/>
      <w:sz w:val="21"/>
      <w:szCs w:val="22"/>
    </w:rPr>
  </w:style>
  <w:style w:type="character" w:customStyle="1" w:styleId="50">
    <w:name w:val="标题 5 字符"/>
    <w:basedOn w:val="a0"/>
    <w:uiPriority w:val="9"/>
    <w:semiHidden/>
    <w:rsid w:val="00004756"/>
    <w:rPr>
      <w:rFonts w:ascii="宋体" w:hAnsi="宋体"/>
      <w:b/>
      <w:bCs/>
      <w:kern w:val="2"/>
      <w:sz w:val="28"/>
      <w:szCs w:val="28"/>
    </w:rPr>
  </w:style>
  <w:style w:type="character" w:customStyle="1" w:styleId="mw-headline">
    <w:name w:val="mw-headline"/>
    <w:basedOn w:val="a0"/>
    <w:rsid w:val="00004756"/>
  </w:style>
  <w:style w:type="character" w:customStyle="1" w:styleId="51">
    <w:name w:val="标题 5 字符1"/>
    <w:link w:val="5"/>
    <w:uiPriority w:val="9"/>
    <w:rsid w:val="00004756"/>
    <w:rPr>
      <w:rFonts w:ascii="宋体-方正超大字符集" w:eastAsia="宋体-方正超大字符集"/>
      <w:b/>
      <w:bCs/>
      <w:kern w:val="2"/>
      <w:sz w:val="24"/>
      <w:szCs w:val="28"/>
    </w:rPr>
  </w:style>
  <w:style w:type="character" w:customStyle="1" w:styleId="17">
    <w:name w:val="副标题 字符1"/>
    <w:aliases w:val="标题2 字符1"/>
    <w:link w:val="affc"/>
    <w:uiPriority w:val="11"/>
    <w:rsid w:val="00004756"/>
    <w:rPr>
      <w:rFonts w:ascii="Cambria" w:hAnsi="Cambria"/>
      <w:b/>
      <w:bCs/>
      <w:kern w:val="28"/>
      <w:sz w:val="24"/>
      <w:szCs w:val="32"/>
    </w:rPr>
  </w:style>
  <w:style w:type="paragraph" w:styleId="affc">
    <w:name w:val="Subtitle"/>
    <w:aliases w:val="标题2"/>
    <w:basedOn w:val="a"/>
    <w:next w:val="a"/>
    <w:link w:val="17"/>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d">
    <w:name w:val="副标题 字符"/>
    <w:aliases w:val="标题2 字符"/>
    <w:basedOn w:val="a0"/>
    <w:uiPriority w:val="11"/>
    <w:rsid w:val="00004756"/>
    <w:rPr>
      <w:rFonts w:asciiTheme="minorHAnsi" w:eastAsiaTheme="minorEastAsia" w:hAnsiTheme="minorHAnsi" w:cstheme="minorBidi"/>
      <w:b/>
      <w:bCs/>
      <w:kern w:val="28"/>
      <w:sz w:val="32"/>
      <w:szCs w:val="32"/>
    </w:rPr>
  </w:style>
  <w:style w:type="paragraph" w:styleId="affe">
    <w:name w:val="Document Map"/>
    <w:basedOn w:val="a"/>
    <w:link w:val="18"/>
    <w:unhideWhenUsed/>
    <w:rsid w:val="00004756"/>
    <w:pPr>
      <w:spacing w:line="360" w:lineRule="auto"/>
      <w:textAlignment w:val="center"/>
    </w:pPr>
    <w:rPr>
      <w:rFonts w:hAnsi="Times New Roman"/>
      <w:sz w:val="18"/>
      <w:szCs w:val="18"/>
    </w:rPr>
  </w:style>
  <w:style w:type="character" w:customStyle="1" w:styleId="afff">
    <w:name w:val="文档结构图 字符"/>
    <w:basedOn w:val="a0"/>
    <w:rsid w:val="00004756"/>
    <w:rPr>
      <w:rFonts w:ascii="Microsoft YaHei UI" w:eastAsia="Microsoft YaHei UI" w:hAnsi="宋体"/>
      <w:kern w:val="2"/>
      <w:sz w:val="18"/>
      <w:szCs w:val="18"/>
    </w:rPr>
  </w:style>
  <w:style w:type="character" w:customStyle="1" w:styleId="18">
    <w:name w:val="文档结构图 字符1"/>
    <w:link w:val="affe"/>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6">
    <w:name w:val="页脚 Char"/>
    <w:uiPriority w:val="99"/>
    <w:rsid w:val="00004756"/>
    <w:rPr>
      <w:rFonts w:ascii="宋体-方正超大字符集" w:eastAsia="宋体-方正超大字符集"/>
      <w:kern w:val="2"/>
      <w:sz w:val="18"/>
      <w:szCs w:val="22"/>
    </w:rPr>
  </w:style>
  <w:style w:type="character" w:customStyle="1" w:styleId="divimport1">
    <w:name w:val="divimport1"/>
    <w:rsid w:val="00217A9A"/>
    <w:rPr>
      <w:rFonts w:ascii="ˎ̥" w:hAnsi="ˎ̥" w:hint="default"/>
      <w:i w:val="0"/>
      <w:iCs w:val="0"/>
      <w:vanish w:val="0"/>
      <w:sz w:val="21"/>
      <w:szCs w:val="21"/>
    </w:rPr>
  </w:style>
  <w:style w:type="paragraph" w:customStyle="1" w:styleId="afff0">
    <w:name w:val="引文"/>
    <w:basedOn w:val="a"/>
    <w:qFormat/>
    <w:rsid w:val="00EC3F88"/>
    <w:pPr>
      <w:widowControl/>
      <w:ind w:leftChars="100" w:left="210" w:firstLineChars="200" w:firstLine="480"/>
      <w:jc w:val="left"/>
    </w:pPr>
    <w:rPr>
      <w:rFonts w:ascii="仿宋" w:eastAsia="仿宋" w:hAnsi="仿宋" w:cs="宋体"/>
      <w:kern w:val="0"/>
      <w:szCs w:val="24"/>
    </w:rPr>
  </w:style>
  <w:style w:type="paragraph" w:customStyle="1" w:styleId="afff1">
    <w:name w:val="注釋"/>
    <w:basedOn w:val="a"/>
    <w:qFormat/>
    <w:rsid w:val="001C743C"/>
    <w:pPr>
      <w:wordWrap w:val="0"/>
      <w:spacing w:line="400" w:lineRule="exact"/>
      <w:ind w:firstLineChars="200" w:firstLine="200"/>
      <w:jc w:val="left"/>
      <w:textAlignment w:val="center"/>
    </w:pPr>
    <w:rPr>
      <w:rFonts w:ascii="Times New Roman" w:hAnsi="Times New Roman" w:cstheme="minorBidi"/>
      <w:sz w:val="18"/>
      <w:szCs w:val="21"/>
    </w:rPr>
  </w:style>
  <w:style w:type="character" w:customStyle="1" w:styleId="StrongEmphasis">
    <w:name w:val="Strong Emphasis"/>
    <w:qFormat/>
    <w:rsid w:val="00923C8A"/>
    <w:rPr>
      <w:b/>
      <w:bCs/>
    </w:rPr>
  </w:style>
  <w:style w:type="character" w:customStyle="1" w:styleId="EndnoteCharacters">
    <w:name w:val="Endnote Characters"/>
    <w:qFormat/>
    <w:rsid w:val="00923C8A"/>
  </w:style>
  <w:style w:type="character" w:customStyle="1" w:styleId="FootnoteCharacters">
    <w:name w:val="Footnote Characters"/>
    <w:qFormat/>
    <w:rsid w:val="00923C8A"/>
  </w:style>
  <w:style w:type="paragraph" w:customStyle="1" w:styleId="EndnoteSymbol">
    <w:name w:val="Endnote Symbol"/>
    <w:basedOn w:val="a"/>
    <w:qFormat/>
    <w:rsid w:val="00923C8A"/>
    <w:pPr>
      <w:widowControl/>
      <w:suppressLineNumbers/>
      <w:suppressAutoHyphens/>
      <w:overflowPunct w:val="0"/>
      <w:ind w:left="339" w:hanging="339"/>
      <w:jc w:val="left"/>
    </w:pPr>
    <w:rPr>
      <w:rFonts w:ascii="Liberation Serif;Times New Roma" w:eastAsia="新宋体" w:hAnsi="Liberation Serif;Times New Roma" w:cs="Mangal"/>
      <w:color w:val="00000A"/>
      <w:sz w:val="20"/>
      <w:szCs w:val="20"/>
      <w:lang w:bidi="hi-IN"/>
    </w:rPr>
  </w:style>
  <w:style w:type="character" w:styleId="afff2">
    <w:name w:val="Unresolved Mention"/>
    <w:basedOn w:val="a0"/>
    <w:uiPriority w:val="99"/>
    <w:semiHidden/>
    <w:unhideWhenUsed/>
    <w:rsid w:val="00254681"/>
    <w:rPr>
      <w:color w:val="605E5C"/>
      <w:shd w:val="clear" w:color="auto" w:fill="E1DFDD"/>
    </w:rPr>
  </w:style>
  <w:style w:type="table" w:customStyle="1" w:styleId="19">
    <w:name w:val="网格型1"/>
    <w:basedOn w:val="a1"/>
    <w:next w:val="aff2"/>
    <w:qFormat/>
    <w:rsid w:val="00F176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Quote"/>
    <w:basedOn w:val="a"/>
    <w:next w:val="a"/>
    <w:link w:val="afff4"/>
    <w:uiPriority w:val="29"/>
    <w:qFormat/>
    <w:rsid w:val="00F05B87"/>
    <w:pPr>
      <w:spacing w:before="200" w:after="160"/>
      <w:ind w:left="864" w:right="864"/>
      <w:jc w:val="center"/>
    </w:pPr>
    <w:rPr>
      <w:i/>
      <w:iCs/>
      <w:color w:val="404040" w:themeColor="text1" w:themeTint="BF"/>
    </w:rPr>
  </w:style>
  <w:style w:type="character" w:customStyle="1" w:styleId="afff4">
    <w:name w:val="引用 字符"/>
    <w:basedOn w:val="a0"/>
    <w:link w:val="afff3"/>
    <w:uiPriority w:val="29"/>
    <w:rsid w:val="00F05B87"/>
    <w:rPr>
      <w:rFonts w:ascii="宋体" w:hAnsi="宋体"/>
      <w:i/>
      <w:iCs/>
      <w:color w:val="404040" w:themeColor="text1" w:themeTint="BF"/>
      <w:kern w:val="2"/>
      <w:sz w:val="24"/>
      <w:szCs w:val="22"/>
    </w:rPr>
  </w:style>
  <w:style w:type="paragraph" w:customStyle="1" w:styleId="1a">
    <w:name w:val="标题1"/>
    <w:basedOn w:val="a"/>
    <w:link w:val="1Char0"/>
    <w:rsid w:val="00B219F9"/>
    <w:pPr>
      <w:snapToGrid w:val="0"/>
      <w:spacing w:line="500" w:lineRule="atLeast"/>
      <w:ind w:firstLineChars="200" w:firstLine="200"/>
      <w:jc w:val="center"/>
    </w:pPr>
    <w:rPr>
      <w:rFonts w:ascii="方正书宋简体" w:eastAsia="方正书宋简体" w:hAnsi="Calibri"/>
      <w:sz w:val="36"/>
      <w:szCs w:val="36"/>
    </w:rPr>
  </w:style>
  <w:style w:type="character" w:customStyle="1" w:styleId="1Char0">
    <w:name w:val="标题1 Char"/>
    <w:link w:val="1a"/>
    <w:rsid w:val="00B219F9"/>
    <w:rPr>
      <w:rFonts w:ascii="方正书宋简体" w:eastAsia="方正书宋简体"/>
      <w:kern w:val="2"/>
      <w:sz w:val="36"/>
      <w:szCs w:val="36"/>
    </w:rPr>
  </w:style>
  <w:style w:type="paragraph" w:customStyle="1" w:styleId="afff5">
    <w:name w:val="作者行"/>
    <w:basedOn w:val="a"/>
    <w:link w:val="Char7"/>
    <w:rsid w:val="00B219F9"/>
    <w:pPr>
      <w:snapToGrid w:val="0"/>
      <w:spacing w:line="520" w:lineRule="atLeast"/>
      <w:jc w:val="center"/>
    </w:pPr>
    <w:rPr>
      <w:rFonts w:ascii="方正仿宋简体" w:eastAsia="方正仿宋简体" w:hAnsi="Times New Roman"/>
      <w:sz w:val="28"/>
      <w:szCs w:val="28"/>
    </w:rPr>
  </w:style>
  <w:style w:type="paragraph" w:customStyle="1" w:styleId="1b">
    <w:name w:val="样式1副标题"/>
    <w:basedOn w:val="affc"/>
    <w:link w:val="1Char2"/>
    <w:rsid w:val="00B219F9"/>
    <w:pPr>
      <w:snapToGrid w:val="0"/>
      <w:spacing w:beforeLines="0" w:before="0" w:afterLines="0" w:after="0" w:line="500" w:lineRule="atLeast"/>
      <w:textAlignment w:val="auto"/>
    </w:pPr>
    <w:rPr>
      <w:rFonts w:ascii="方正楷体简体" w:eastAsia="方正楷体简体"/>
      <w:b w:val="0"/>
      <w:w w:val="120"/>
      <w:kern w:val="2"/>
      <w:sz w:val="28"/>
    </w:rPr>
  </w:style>
  <w:style w:type="character" w:customStyle="1" w:styleId="Char7">
    <w:name w:val="作者行 Char"/>
    <w:link w:val="afff5"/>
    <w:rsid w:val="00B219F9"/>
    <w:rPr>
      <w:rFonts w:ascii="方正仿宋简体" w:eastAsia="方正仿宋简体" w:hAnsi="Times New Roman"/>
      <w:kern w:val="2"/>
      <w:sz w:val="28"/>
      <w:szCs w:val="28"/>
    </w:rPr>
  </w:style>
  <w:style w:type="paragraph" w:customStyle="1" w:styleId="120">
    <w:name w:val="样式1标题2"/>
    <w:basedOn w:val="a"/>
    <w:link w:val="12Char"/>
    <w:rsid w:val="00B219F9"/>
    <w:pPr>
      <w:snapToGrid w:val="0"/>
      <w:spacing w:beforeLines="100" w:afterLines="100" w:line="366" w:lineRule="atLeast"/>
      <w:ind w:firstLineChars="200" w:firstLine="200"/>
      <w:jc w:val="center"/>
    </w:pPr>
    <w:rPr>
      <w:rFonts w:ascii="方正楷体简体" w:eastAsia="方正楷体简体" w:hAnsi="Calibri"/>
      <w:w w:val="120"/>
      <w:sz w:val="28"/>
      <w:szCs w:val="28"/>
    </w:rPr>
  </w:style>
  <w:style w:type="character" w:customStyle="1" w:styleId="1Char2">
    <w:name w:val="样式1副标题 Char"/>
    <w:link w:val="1b"/>
    <w:rsid w:val="00B219F9"/>
    <w:rPr>
      <w:rFonts w:ascii="方正楷体简体" w:eastAsia="方正楷体简体" w:hAnsi="Cambria"/>
      <w:bCs/>
      <w:w w:val="120"/>
      <w:kern w:val="2"/>
      <w:sz w:val="28"/>
      <w:szCs w:val="32"/>
    </w:rPr>
  </w:style>
  <w:style w:type="character" w:customStyle="1" w:styleId="12Char">
    <w:name w:val="样式1标题2 Char"/>
    <w:link w:val="120"/>
    <w:rsid w:val="00B219F9"/>
    <w:rPr>
      <w:rFonts w:ascii="方正楷体简体" w:eastAsia="方正楷体简体"/>
      <w:w w:val="120"/>
      <w:kern w:val="2"/>
      <w:sz w:val="28"/>
      <w:szCs w:val="28"/>
    </w:rPr>
  </w:style>
  <w:style w:type="paragraph" w:customStyle="1" w:styleId="23">
    <w:name w:val="样式2标题3"/>
    <w:basedOn w:val="a"/>
    <w:link w:val="23Char"/>
    <w:rsid w:val="00B219F9"/>
    <w:pPr>
      <w:snapToGrid w:val="0"/>
      <w:spacing w:beforeLines="50" w:afterLines="50" w:line="366" w:lineRule="atLeast"/>
      <w:ind w:firstLineChars="200" w:firstLine="459"/>
    </w:pPr>
    <w:rPr>
      <w:rFonts w:ascii="方正黑体简体" w:eastAsia="方正黑体简体" w:hAnsi="Calibri"/>
      <w:w w:val="110"/>
      <w:sz w:val="21"/>
      <w:szCs w:val="21"/>
    </w:rPr>
  </w:style>
  <w:style w:type="character" w:customStyle="1" w:styleId="23Char">
    <w:name w:val="样式2标题3 Char"/>
    <w:link w:val="23"/>
    <w:rsid w:val="00B219F9"/>
    <w:rPr>
      <w:rFonts w:ascii="方正黑体简体" w:eastAsia="方正黑体简体"/>
      <w:w w:val="110"/>
      <w:kern w:val="2"/>
      <w:sz w:val="21"/>
      <w:szCs w:val="21"/>
    </w:rPr>
  </w:style>
  <w:style w:type="paragraph" w:customStyle="1" w:styleId="22">
    <w:name w:val="副标题，标题2"/>
    <w:basedOn w:val="1b"/>
    <w:next w:val="af8"/>
    <w:link w:val="2Char"/>
    <w:rsid w:val="00B219F9"/>
  </w:style>
  <w:style w:type="paragraph" w:customStyle="1" w:styleId="140">
    <w:name w:val="样式1标题4"/>
    <w:basedOn w:val="a"/>
    <w:link w:val="14Char"/>
    <w:rsid w:val="00B219F9"/>
    <w:pPr>
      <w:snapToGrid w:val="0"/>
      <w:spacing w:line="366" w:lineRule="atLeast"/>
      <w:ind w:firstLineChars="200" w:firstLine="420"/>
    </w:pPr>
    <w:rPr>
      <w:rFonts w:ascii="方正黑体简体" w:eastAsia="方正黑体简体" w:hAnsi="Times New Roman"/>
      <w:sz w:val="21"/>
      <w:szCs w:val="24"/>
    </w:rPr>
  </w:style>
  <w:style w:type="character" w:customStyle="1" w:styleId="2Char">
    <w:name w:val="副标题，标题2 Char"/>
    <w:link w:val="22"/>
    <w:rsid w:val="00B219F9"/>
    <w:rPr>
      <w:rFonts w:ascii="方正楷体简体" w:eastAsia="方正楷体简体" w:hAnsi="Cambria"/>
      <w:bCs/>
      <w:w w:val="120"/>
      <w:kern w:val="2"/>
      <w:sz w:val="28"/>
      <w:szCs w:val="32"/>
    </w:rPr>
  </w:style>
  <w:style w:type="character" w:customStyle="1" w:styleId="14Char">
    <w:name w:val="样式1标题4 Char"/>
    <w:link w:val="140"/>
    <w:rsid w:val="00B219F9"/>
    <w:rPr>
      <w:rFonts w:ascii="方正黑体简体" w:eastAsia="方正黑体简体" w:hAnsi="Times New Roman"/>
      <w:kern w:val="2"/>
      <w:sz w:val="21"/>
      <w:szCs w:val="24"/>
    </w:rPr>
  </w:style>
  <w:style w:type="paragraph" w:customStyle="1" w:styleId="afff6">
    <w:name w:val="标题４"/>
    <w:basedOn w:val="140"/>
    <w:next w:val="af8"/>
    <w:link w:val="Char8"/>
    <w:rsid w:val="00B219F9"/>
    <w:pPr>
      <w:ind w:firstLine="400"/>
    </w:pPr>
  </w:style>
  <w:style w:type="character" w:customStyle="1" w:styleId="Char8">
    <w:name w:val="标题４ Char"/>
    <w:link w:val="afff6"/>
    <w:rsid w:val="00B219F9"/>
    <w:rPr>
      <w:rFonts w:ascii="方正黑体简体" w:eastAsia="方正黑体简体" w:hAnsi="Times New Roman"/>
      <w:kern w:val="2"/>
      <w:sz w:val="21"/>
      <w:szCs w:val="24"/>
    </w:rPr>
  </w:style>
  <w:style w:type="paragraph" w:styleId="afff7">
    <w:name w:val="Body Text Indent"/>
    <w:basedOn w:val="a"/>
    <w:link w:val="afff8"/>
    <w:rsid w:val="00B219F9"/>
    <w:pPr>
      <w:snapToGrid w:val="0"/>
      <w:spacing w:after="120" w:line="366" w:lineRule="atLeast"/>
      <w:ind w:leftChars="200" w:left="420" w:firstLineChars="200" w:firstLine="200"/>
    </w:pPr>
    <w:rPr>
      <w:rFonts w:ascii="Times New Roman" w:eastAsia="方正书宋简体" w:hAnsi="Times New Roman"/>
      <w:sz w:val="20"/>
      <w:szCs w:val="24"/>
    </w:rPr>
  </w:style>
  <w:style w:type="character" w:customStyle="1" w:styleId="afff8">
    <w:name w:val="正文文本缩进 字符"/>
    <w:basedOn w:val="a0"/>
    <w:link w:val="afff7"/>
    <w:rsid w:val="00B219F9"/>
    <w:rPr>
      <w:rFonts w:ascii="Times New Roman" w:eastAsia="方正书宋简体" w:hAnsi="Times New Roman"/>
      <w:kern w:val="2"/>
      <w:szCs w:val="24"/>
    </w:rPr>
  </w:style>
  <w:style w:type="paragraph" w:customStyle="1" w:styleId="afff9">
    <w:name w:val="论丛标题"/>
    <w:basedOn w:val="1"/>
    <w:link w:val="Char9"/>
    <w:qFormat/>
    <w:rsid w:val="00B219F9"/>
    <w:pPr>
      <w:adjustRightInd w:val="0"/>
      <w:snapToGrid w:val="0"/>
      <w:spacing w:before="0" w:after="0" w:line="240" w:lineRule="auto"/>
      <w:jc w:val="center"/>
    </w:pPr>
    <w:rPr>
      <w:rFonts w:ascii="方正书宋简体" w:eastAsia="方正书宋简体" w:hAnsi="Times New Roman"/>
      <w:b w:val="0"/>
      <w:snapToGrid w:val="0"/>
      <w:sz w:val="36"/>
    </w:rPr>
  </w:style>
  <w:style w:type="paragraph" w:customStyle="1" w:styleId="afffa">
    <w:name w:val="论丛副题"/>
    <w:basedOn w:val="22"/>
    <w:link w:val="Chara"/>
    <w:qFormat/>
    <w:rsid w:val="00B219F9"/>
    <w:pPr>
      <w:adjustRightInd w:val="0"/>
      <w:spacing w:line="240" w:lineRule="auto"/>
      <w:outlineLvl w:val="0"/>
    </w:pPr>
    <w:rPr>
      <w:snapToGrid w:val="0"/>
    </w:rPr>
  </w:style>
  <w:style w:type="character" w:customStyle="1" w:styleId="Char9">
    <w:name w:val="论丛标题 Char"/>
    <w:basedOn w:val="10"/>
    <w:link w:val="afff9"/>
    <w:rsid w:val="00B219F9"/>
    <w:rPr>
      <w:rFonts w:ascii="方正书宋简体" w:eastAsia="方正书宋简体" w:hAnsi="Times New Roman"/>
      <w:b w:val="0"/>
      <w:bCs/>
      <w:snapToGrid w:val="0"/>
      <w:kern w:val="44"/>
      <w:sz w:val="36"/>
      <w:szCs w:val="44"/>
    </w:rPr>
  </w:style>
  <w:style w:type="paragraph" w:customStyle="1" w:styleId="afffb">
    <w:name w:val="论丛作者"/>
    <w:basedOn w:val="afff5"/>
    <w:link w:val="Charb"/>
    <w:qFormat/>
    <w:rsid w:val="00B219F9"/>
    <w:pPr>
      <w:adjustRightInd w:val="0"/>
      <w:spacing w:line="240" w:lineRule="auto"/>
      <w:outlineLvl w:val="0"/>
    </w:pPr>
  </w:style>
  <w:style w:type="character" w:customStyle="1" w:styleId="Chara">
    <w:name w:val="论丛副题 Char"/>
    <w:basedOn w:val="2Char"/>
    <w:link w:val="afffa"/>
    <w:rsid w:val="00B219F9"/>
    <w:rPr>
      <w:rFonts w:ascii="方正楷体简体" w:eastAsia="方正楷体简体" w:hAnsi="Cambria"/>
      <w:bCs/>
      <w:snapToGrid w:val="0"/>
      <w:w w:val="120"/>
      <w:kern w:val="2"/>
      <w:sz w:val="28"/>
      <w:szCs w:val="32"/>
    </w:rPr>
  </w:style>
  <w:style w:type="paragraph" w:customStyle="1" w:styleId="afffc">
    <w:name w:val="论丛题注"/>
    <w:basedOn w:val="a4"/>
    <w:link w:val="Charc"/>
    <w:qFormat/>
    <w:rsid w:val="00B219F9"/>
    <w:pPr>
      <w:adjustRightInd w:val="0"/>
      <w:ind w:firstLineChars="200" w:firstLine="200"/>
      <w:jc w:val="both"/>
    </w:pPr>
    <w:rPr>
      <w:rFonts w:eastAsia="方正书宋简体"/>
      <w:snapToGrid w:val="0"/>
      <w:w w:val="110"/>
      <w:kern w:val="0"/>
      <w:sz w:val="15"/>
      <w:szCs w:val="15"/>
      <w:lang w:eastAsia="zh-CN"/>
    </w:rPr>
  </w:style>
  <w:style w:type="character" w:customStyle="1" w:styleId="Charb">
    <w:name w:val="论丛作者 Char"/>
    <w:basedOn w:val="Char7"/>
    <w:link w:val="afffb"/>
    <w:rsid w:val="00B219F9"/>
    <w:rPr>
      <w:rFonts w:ascii="方正仿宋简体" w:eastAsia="方正仿宋简体" w:hAnsi="Times New Roman"/>
      <w:kern w:val="2"/>
      <w:sz w:val="28"/>
      <w:szCs w:val="28"/>
    </w:rPr>
  </w:style>
  <w:style w:type="paragraph" w:customStyle="1" w:styleId="afffd">
    <w:name w:val="论丛提要"/>
    <w:basedOn w:val="a"/>
    <w:link w:val="Chard"/>
    <w:qFormat/>
    <w:rsid w:val="00B219F9"/>
    <w:pPr>
      <w:adjustRightInd w:val="0"/>
      <w:snapToGrid w:val="0"/>
      <w:ind w:leftChars="200" w:left="422"/>
    </w:pPr>
    <w:rPr>
      <w:rFonts w:ascii="方正书宋简体" w:eastAsia="方正书宋简体" w:hAnsi="Times New Roman"/>
      <w:snapToGrid w:val="0"/>
      <w:kern w:val="0"/>
      <w:sz w:val="18"/>
      <w:szCs w:val="18"/>
    </w:rPr>
  </w:style>
  <w:style w:type="character" w:customStyle="1" w:styleId="Charc">
    <w:name w:val="论丛题注 Char"/>
    <w:basedOn w:val="afb"/>
    <w:link w:val="afffc"/>
    <w:rsid w:val="00B219F9"/>
    <w:rPr>
      <w:rFonts w:ascii="Times New Roman" w:eastAsia="方正书宋简体" w:hAnsi="Times New Roman"/>
      <w:snapToGrid w:val="0"/>
      <w:w w:val="110"/>
      <w:sz w:val="15"/>
      <w:szCs w:val="15"/>
    </w:rPr>
  </w:style>
  <w:style w:type="paragraph" w:customStyle="1" w:styleId="1c">
    <w:name w:val="论丛题1"/>
    <w:basedOn w:val="2"/>
    <w:link w:val="1Char3"/>
    <w:qFormat/>
    <w:rsid w:val="00B219F9"/>
    <w:pPr>
      <w:adjustRightInd w:val="0"/>
      <w:snapToGrid w:val="0"/>
      <w:spacing w:beforeLines="100" w:before="377" w:afterLines="100" w:after="377" w:line="366" w:lineRule="exact"/>
      <w:jc w:val="center"/>
    </w:pPr>
    <w:rPr>
      <w:rFonts w:ascii="方正楷体简体" w:eastAsia="方正楷体简体" w:hAnsi="Arial"/>
      <w:b w:val="0"/>
      <w:w w:val="120"/>
      <w:kern w:val="2"/>
      <w:sz w:val="28"/>
    </w:rPr>
  </w:style>
  <w:style w:type="character" w:customStyle="1" w:styleId="Chard">
    <w:name w:val="论丛提要 Char"/>
    <w:basedOn w:val="a0"/>
    <w:link w:val="afffd"/>
    <w:rsid w:val="00B219F9"/>
    <w:rPr>
      <w:rFonts w:ascii="方正书宋简体" w:eastAsia="方正书宋简体" w:hAnsi="Times New Roman"/>
      <w:snapToGrid w:val="0"/>
      <w:sz w:val="18"/>
      <w:szCs w:val="18"/>
    </w:rPr>
  </w:style>
  <w:style w:type="paragraph" w:customStyle="1" w:styleId="afffe">
    <w:name w:val="论丛正文"/>
    <w:basedOn w:val="a"/>
    <w:link w:val="Chare"/>
    <w:qFormat/>
    <w:rsid w:val="00B219F9"/>
    <w:pPr>
      <w:spacing w:line="366" w:lineRule="exact"/>
      <w:ind w:firstLineChars="200" w:firstLine="422"/>
    </w:pPr>
    <w:rPr>
      <w:rFonts w:ascii="方正书宋简体" w:eastAsia="方正书宋简体" w:hAnsi="Times New Roman"/>
      <w:sz w:val="20"/>
      <w:szCs w:val="20"/>
    </w:rPr>
  </w:style>
  <w:style w:type="character" w:customStyle="1" w:styleId="1Char3">
    <w:name w:val="论丛题1 Char"/>
    <w:basedOn w:val="20"/>
    <w:link w:val="1c"/>
    <w:rsid w:val="00B219F9"/>
    <w:rPr>
      <w:rFonts w:ascii="方正楷体简体" w:eastAsia="方正楷体简体" w:hAnsi="Arial" w:cs="Times New Roman"/>
      <w:b w:val="0"/>
      <w:bCs/>
      <w:w w:val="120"/>
      <w:kern w:val="2"/>
      <w:sz w:val="28"/>
      <w:szCs w:val="32"/>
    </w:rPr>
  </w:style>
  <w:style w:type="paragraph" w:customStyle="1" w:styleId="24">
    <w:name w:val="论丛题2"/>
    <w:basedOn w:val="3"/>
    <w:link w:val="2Char0"/>
    <w:qFormat/>
    <w:rsid w:val="00B219F9"/>
    <w:pPr>
      <w:adjustRightInd w:val="0"/>
      <w:snapToGrid w:val="0"/>
      <w:spacing w:beforeLines="50" w:before="188" w:afterLines="50" w:after="188" w:line="366" w:lineRule="exact"/>
      <w:ind w:left="925" w:hanging="505"/>
    </w:pPr>
    <w:rPr>
      <w:rFonts w:ascii="方正黑体简体" w:eastAsia="方正黑体简体" w:hAnsi="Times New Roman"/>
      <w:b w:val="0"/>
      <w:snapToGrid w:val="0"/>
      <w:w w:val="110"/>
      <w:sz w:val="21"/>
    </w:rPr>
  </w:style>
  <w:style w:type="character" w:customStyle="1" w:styleId="Chare">
    <w:name w:val="论丛正文 Char"/>
    <w:basedOn w:val="a0"/>
    <w:link w:val="afffe"/>
    <w:rsid w:val="00B219F9"/>
    <w:rPr>
      <w:rFonts w:ascii="方正书宋简体" w:eastAsia="方正书宋简体" w:hAnsi="Times New Roman"/>
      <w:kern w:val="2"/>
    </w:rPr>
  </w:style>
  <w:style w:type="paragraph" w:customStyle="1" w:styleId="32">
    <w:name w:val="论丛题3"/>
    <w:basedOn w:val="afff6"/>
    <w:link w:val="3Char"/>
    <w:qFormat/>
    <w:rsid w:val="00B219F9"/>
    <w:pPr>
      <w:adjustRightInd w:val="0"/>
      <w:spacing w:line="366" w:lineRule="exact"/>
      <w:ind w:firstLine="442"/>
      <w:outlineLvl w:val="3"/>
    </w:pPr>
    <w:rPr>
      <w:snapToGrid w:val="0"/>
    </w:rPr>
  </w:style>
  <w:style w:type="character" w:customStyle="1" w:styleId="2Char0">
    <w:name w:val="论丛题2 Char"/>
    <w:basedOn w:val="30"/>
    <w:link w:val="24"/>
    <w:rsid w:val="00B219F9"/>
    <w:rPr>
      <w:rFonts w:ascii="方正黑体简体" w:eastAsia="方正黑体简体" w:hAnsi="Times New Roman"/>
      <w:b w:val="0"/>
      <w:bCs/>
      <w:snapToGrid w:val="0"/>
      <w:w w:val="110"/>
      <w:sz w:val="21"/>
      <w:szCs w:val="32"/>
    </w:rPr>
  </w:style>
  <w:style w:type="paragraph" w:customStyle="1" w:styleId="affff">
    <w:name w:val="论丛引例"/>
    <w:basedOn w:val="a"/>
    <w:link w:val="Charf"/>
    <w:qFormat/>
    <w:rsid w:val="00B219F9"/>
    <w:pPr>
      <w:snapToGrid w:val="0"/>
      <w:spacing w:line="366" w:lineRule="exact"/>
      <w:ind w:leftChars="100" w:left="211" w:firstLineChars="200" w:firstLine="422"/>
    </w:pPr>
    <w:rPr>
      <w:rFonts w:ascii="方正仿宋简体" w:eastAsia="方正仿宋简体" w:hAnsi="Times New Roman"/>
      <w:sz w:val="20"/>
      <w:szCs w:val="20"/>
    </w:rPr>
  </w:style>
  <w:style w:type="character" w:customStyle="1" w:styleId="3Char">
    <w:name w:val="论丛题3 Char"/>
    <w:basedOn w:val="Char8"/>
    <w:link w:val="32"/>
    <w:rsid w:val="00B219F9"/>
    <w:rPr>
      <w:rFonts w:ascii="方正黑体简体" w:eastAsia="方正黑体简体" w:hAnsi="Times New Roman"/>
      <w:snapToGrid w:val="0"/>
      <w:kern w:val="2"/>
      <w:sz w:val="21"/>
      <w:szCs w:val="24"/>
    </w:rPr>
  </w:style>
  <w:style w:type="paragraph" w:customStyle="1" w:styleId="affff0">
    <w:name w:val="论丛表题"/>
    <w:basedOn w:val="a"/>
    <w:link w:val="Charf0"/>
    <w:qFormat/>
    <w:rsid w:val="00B219F9"/>
    <w:pPr>
      <w:snapToGrid w:val="0"/>
      <w:spacing w:line="366" w:lineRule="exact"/>
      <w:jc w:val="left"/>
    </w:pPr>
    <w:rPr>
      <w:rFonts w:ascii="方正准圆简体" w:eastAsia="方正准圆简体" w:hAnsi="Times New Roman"/>
      <w:w w:val="110"/>
      <w:sz w:val="18"/>
      <w:szCs w:val="18"/>
    </w:rPr>
  </w:style>
  <w:style w:type="character" w:customStyle="1" w:styleId="Charf">
    <w:name w:val="论丛引例 Char"/>
    <w:basedOn w:val="a0"/>
    <w:link w:val="affff"/>
    <w:rsid w:val="00B219F9"/>
    <w:rPr>
      <w:rFonts w:ascii="方正仿宋简体" w:eastAsia="方正仿宋简体" w:hAnsi="Times New Roman"/>
      <w:kern w:val="2"/>
    </w:rPr>
  </w:style>
  <w:style w:type="paragraph" w:customStyle="1" w:styleId="affff1">
    <w:name w:val="论丛附参题"/>
    <w:basedOn w:val="ad"/>
    <w:link w:val="Charf1"/>
    <w:qFormat/>
    <w:rsid w:val="00B219F9"/>
    <w:pPr>
      <w:spacing w:beforeLines="50" w:afterLines="50" w:line="300" w:lineRule="atLeast"/>
    </w:pPr>
    <w:rPr>
      <w:rFonts w:ascii="方正黑体简体" w:eastAsia="方正黑体简体" w:hAnsi="Times New Roman"/>
      <w:snapToGrid w:val="0"/>
      <w:sz w:val="18"/>
      <w:szCs w:val="18"/>
    </w:rPr>
  </w:style>
  <w:style w:type="character" w:customStyle="1" w:styleId="Charf0">
    <w:name w:val="论丛表题 Char"/>
    <w:basedOn w:val="a0"/>
    <w:link w:val="affff0"/>
    <w:rsid w:val="00B219F9"/>
    <w:rPr>
      <w:rFonts w:ascii="方正准圆简体" w:eastAsia="方正准圆简体" w:hAnsi="Times New Roman"/>
      <w:w w:val="110"/>
      <w:kern w:val="2"/>
      <w:sz w:val="18"/>
      <w:szCs w:val="18"/>
    </w:rPr>
  </w:style>
  <w:style w:type="paragraph" w:customStyle="1" w:styleId="affff2">
    <w:name w:val="论丛附参文"/>
    <w:basedOn w:val="afffe"/>
    <w:link w:val="Charf2"/>
    <w:qFormat/>
    <w:rsid w:val="00B219F9"/>
    <w:pPr>
      <w:spacing w:line="300" w:lineRule="exact"/>
      <w:ind w:firstLine="382"/>
    </w:pPr>
    <w:rPr>
      <w:sz w:val="18"/>
      <w:szCs w:val="18"/>
    </w:rPr>
  </w:style>
  <w:style w:type="character" w:customStyle="1" w:styleId="Charf1">
    <w:name w:val="论丛附参题 Char"/>
    <w:basedOn w:val="afa"/>
    <w:link w:val="affff1"/>
    <w:rsid w:val="00B219F9"/>
    <w:rPr>
      <w:rFonts w:ascii="方正黑体简体" w:eastAsia="方正黑体简体" w:hAnsi="Times New Roman"/>
      <w:snapToGrid w:val="0"/>
      <w:kern w:val="2"/>
      <w:sz w:val="18"/>
      <w:szCs w:val="18"/>
    </w:rPr>
  </w:style>
  <w:style w:type="paragraph" w:customStyle="1" w:styleId="affff3">
    <w:name w:val="论丛英摘"/>
    <w:basedOn w:val="a"/>
    <w:link w:val="Charf3"/>
    <w:qFormat/>
    <w:rsid w:val="00B219F9"/>
    <w:pPr>
      <w:snapToGrid w:val="0"/>
      <w:spacing w:line="366" w:lineRule="exact"/>
    </w:pPr>
    <w:rPr>
      <w:rFonts w:ascii="方正书宋简体" w:eastAsia="方正书宋简体" w:hAnsi="Times New Roman"/>
      <w:sz w:val="21"/>
      <w:szCs w:val="21"/>
    </w:rPr>
  </w:style>
  <w:style w:type="character" w:customStyle="1" w:styleId="Charf2">
    <w:name w:val="论丛附参文 Char"/>
    <w:basedOn w:val="Chare"/>
    <w:link w:val="affff2"/>
    <w:rsid w:val="00B219F9"/>
    <w:rPr>
      <w:rFonts w:ascii="方正书宋简体" w:eastAsia="方正书宋简体" w:hAnsi="Times New Roman"/>
      <w:kern w:val="2"/>
      <w:sz w:val="18"/>
      <w:szCs w:val="18"/>
    </w:rPr>
  </w:style>
  <w:style w:type="character" w:customStyle="1" w:styleId="Charf3">
    <w:name w:val="论丛英摘 Char"/>
    <w:basedOn w:val="a0"/>
    <w:link w:val="affff3"/>
    <w:rsid w:val="00B219F9"/>
    <w:rPr>
      <w:rFonts w:ascii="方正书宋简体" w:eastAsia="方正书宋简体" w:hAnsi="Times New Roman"/>
      <w:kern w:val="2"/>
      <w:sz w:val="21"/>
      <w:szCs w:val="21"/>
    </w:rPr>
  </w:style>
  <w:style w:type="paragraph" w:styleId="affff4">
    <w:name w:val="Revision"/>
    <w:hidden/>
    <w:uiPriority w:val="99"/>
    <w:semiHidden/>
    <w:rsid w:val="00B219F9"/>
    <w:rPr>
      <w:rFonts w:ascii="Times New Roman" w:eastAsia="方正书宋简体" w:hAnsi="Times New Roman"/>
      <w:kern w:val="2"/>
      <w:szCs w:val="24"/>
    </w:rPr>
  </w:style>
  <w:style w:type="table" w:customStyle="1" w:styleId="25">
    <w:name w:val="网格型2"/>
    <w:basedOn w:val="a1"/>
    <w:next w:val="aff2"/>
    <w:uiPriority w:val="39"/>
    <w:rsid w:val="00221F6F"/>
    <w:rPr>
      <w:rFonts w:ascii="PMingLiU" w:eastAsia="PMingLiU" w:hAnsi="宋体"/>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yfontcontent">
    <w:name w:val="ny_font_content"/>
    <w:basedOn w:val="a0"/>
    <w:rsid w:val="0046522D"/>
  </w:style>
  <w:style w:type="table" w:customStyle="1" w:styleId="33">
    <w:name w:val="网格型3"/>
    <w:basedOn w:val="a1"/>
    <w:next w:val="aff2"/>
    <w:rsid w:val="00FB7D5A"/>
    <w:pPr>
      <w:widowControl w:val="0"/>
      <w:jc w:val="both"/>
    </w:pPr>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55724E"/>
    <w:pPr>
      <w:widowControl/>
      <w:spacing w:before="100" w:beforeAutospacing="1" w:after="100" w:afterAutospacing="1"/>
      <w:jc w:val="left"/>
    </w:pPr>
    <w:rPr>
      <w:rFonts w:cs="宋体"/>
      <w:kern w:val="0"/>
      <w:szCs w:val="24"/>
    </w:rPr>
  </w:style>
  <w:style w:type="character" w:customStyle="1" w:styleId="zi21">
    <w:name w:val="zi21"/>
    <w:basedOn w:val="a0"/>
    <w:rsid w:val="004B12E2"/>
    <w:rPr>
      <w:rFonts w:ascii="KaiXinSong" w:eastAsia="KaiXinSong" w:hAnsi="KaiXinSong" w:hint="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12926404">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94908593">
      <w:bodyDiv w:val="1"/>
      <w:marLeft w:val="0"/>
      <w:marRight w:val="0"/>
      <w:marTop w:val="0"/>
      <w:marBottom w:val="0"/>
      <w:divBdr>
        <w:top w:val="none" w:sz="0" w:space="0" w:color="auto"/>
        <w:left w:val="none" w:sz="0" w:space="0" w:color="auto"/>
        <w:bottom w:val="none" w:sz="0" w:space="0" w:color="auto"/>
        <w:right w:val="none" w:sz="0" w:space="0" w:color="auto"/>
      </w:divBdr>
    </w:div>
    <w:div w:id="265044430">
      <w:bodyDiv w:val="1"/>
      <w:marLeft w:val="0"/>
      <w:marRight w:val="0"/>
      <w:marTop w:val="0"/>
      <w:marBottom w:val="0"/>
      <w:divBdr>
        <w:top w:val="none" w:sz="0" w:space="0" w:color="auto"/>
        <w:left w:val="none" w:sz="0" w:space="0" w:color="auto"/>
        <w:bottom w:val="none" w:sz="0" w:space="0" w:color="auto"/>
        <w:right w:val="none" w:sz="0" w:space="0" w:color="auto"/>
      </w:divBdr>
    </w:div>
    <w:div w:id="265233826">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520410">
      <w:bodyDiv w:val="1"/>
      <w:marLeft w:val="0"/>
      <w:marRight w:val="0"/>
      <w:marTop w:val="0"/>
      <w:marBottom w:val="0"/>
      <w:divBdr>
        <w:top w:val="none" w:sz="0" w:space="0" w:color="auto"/>
        <w:left w:val="none" w:sz="0" w:space="0" w:color="auto"/>
        <w:bottom w:val="none" w:sz="0" w:space="0" w:color="auto"/>
        <w:right w:val="none" w:sz="0" w:space="0" w:color="auto"/>
      </w:divBdr>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57659671">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998325">
      <w:bodyDiv w:val="1"/>
      <w:marLeft w:val="0"/>
      <w:marRight w:val="0"/>
      <w:marTop w:val="0"/>
      <w:marBottom w:val="0"/>
      <w:divBdr>
        <w:top w:val="none" w:sz="0" w:space="0" w:color="auto"/>
        <w:left w:val="none" w:sz="0" w:space="0" w:color="auto"/>
        <w:bottom w:val="none" w:sz="0" w:space="0" w:color="auto"/>
        <w:right w:val="none" w:sz="0" w:space="0" w:color="auto"/>
      </w:divBdr>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489716570">
      <w:bodyDiv w:val="1"/>
      <w:marLeft w:val="0"/>
      <w:marRight w:val="0"/>
      <w:marTop w:val="0"/>
      <w:marBottom w:val="0"/>
      <w:divBdr>
        <w:top w:val="none" w:sz="0" w:space="0" w:color="auto"/>
        <w:left w:val="none" w:sz="0" w:space="0" w:color="auto"/>
        <w:bottom w:val="none" w:sz="0" w:space="0" w:color="auto"/>
        <w:right w:val="none" w:sz="0" w:space="0" w:color="auto"/>
      </w:divBdr>
    </w:div>
    <w:div w:id="537739959">
      <w:bodyDiv w:val="1"/>
      <w:marLeft w:val="0"/>
      <w:marRight w:val="0"/>
      <w:marTop w:val="0"/>
      <w:marBottom w:val="0"/>
      <w:divBdr>
        <w:top w:val="none" w:sz="0" w:space="0" w:color="auto"/>
        <w:left w:val="none" w:sz="0" w:space="0" w:color="auto"/>
        <w:bottom w:val="none" w:sz="0" w:space="0" w:color="auto"/>
        <w:right w:val="none" w:sz="0" w:space="0" w:color="auto"/>
      </w:divBdr>
    </w:div>
    <w:div w:id="644890870">
      <w:bodyDiv w:val="1"/>
      <w:marLeft w:val="0"/>
      <w:marRight w:val="0"/>
      <w:marTop w:val="0"/>
      <w:marBottom w:val="0"/>
      <w:divBdr>
        <w:top w:val="none" w:sz="0" w:space="0" w:color="auto"/>
        <w:left w:val="none" w:sz="0" w:space="0" w:color="auto"/>
        <w:bottom w:val="none" w:sz="0" w:space="0" w:color="auto"/>
        <w:right w:val="none" w:sz="0" w:space="0" w:color="auto"/>
      </w:divBdr>
    </w:div>
    <w:div w:id="749621623">
      <w:bodyDiv w:val="1"/>
      <w:marLeft w:val="0"/>
      <w:marRight w:val="0"/>
      <w:marTop w:val="0"/>
      <w:marBottom w:val="0"/>
      <w:divBdr>
        <w:top w:val="none" w:sz="0" w:space="0" w:color="auto"/>
        <w:left w:val="none" w:sz="0" w:space="0" w:color="auto"/>
        <w:bottom w:val="none" w:sz="0" w:space="0" w:color="auto"/>
        <w:right w:val="none" w:sz="0" w:space="0" w:color="auto"/>
      </w:divBdr>
    </w:div>
    <w:div w:id="782305468">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930285020">
      <w:bodyDiv w:val="1"/>
      <w:marLeft w:val="0"/>
      <w:marRight w:val="0"/>
      <w:marTop w:val="0"/>
      <w:marBottom w:val="0"/>
      <w:divBdr>
        <w:top w:val="none" w:sz="0" w:space="0" w:color="auto"/>
        <w:left w:val="none" w:sz="0" w:space="0" w:color="auto"/>
        <w:bottom w:val="none" w:sz="0" w:space="0" w:color="auto"/>
        <w:right w:val="none" w:sz="0" w:space="0" w:color="auto"/>
      </w:divBdr>
    </w:div>
    <w:div w:id="1008290520">
      <w:bodyDiv w:val="1"/>
      <w:marLeft w:val="0"/>
      <w:marRight w:val="0"/>
      <w:marTop w:val="0"/>
      <w:marBottom w:val="0"/>
      <w:divBdr>
        <w:top w:val="none" w:sz="0" w:space="0" w:color="auto"/>
        <w:left w:val="none" w:sz="0" w:space="0" w:color="auto"/>
        <w:bottom w:val="none" w:sz="0" w:space="0" w:color="auto"/>
        <w:right w:val="none" w:sz="0" w:space="0" w:color="auto"/>
      </w:divBdr>
    </w:div>
    <w:div w:id="1057046507">
      <w:bodyDiv w:val="1"/>
      <w:marLeft w:val="0"/>
      <w:marRight w:val="0"/>
      <w:marTop w:val="0"/>
      <w:marBottom w:val="0"/>
      <w:divBdr>
        <w:top w:val="none" w:sz="0" w:space="0" w:color="auto"/>
        <w:left w:val="none" w:sz="0" w:space="0" w:color="auto"/>
        <w:bottom w:val="none" w:sz="0" w:space="0" w:color="auto"/>
        <w:right w:val="none" w:sz="0" w:space="0" w:color="auto"/>
      </w:divBdr>
    </w:div>
    <w:div w:id="1057438386">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 w:id="1714108943">
      <w:bodyDiv w:val="1"/>
      <w:marLeft w:val="0"/>
      <w:marRight w:val="0"/>
      <w:marTop w:val="0"/>
      <w:marBottom w:val="0"/>
      <w:divBdr>
        <w:top w:val="none" w:sz="0" w:space="0" w:color="auto"/>
        <w:left w:val="none" w:sz="0" w:space="0" w:color="auto"/>
        <w:bottom w:val="none" w:sz="0" w:space="0" w:color="auto"/>
        <w:right w:val="none" w:sz="0" w:space="0" w:color="auto"/>
      </w:divBdr>
    </w:div>
    <w:div w:id="1719158991">
      <w:bodyDiv w:val="1"/>
      <w:marLeft w:val="0"/>
      <w:marRight w:val="0"/>
      <w:marTop w:val="0"/>
      <w:marBottom w:val="0"/>
      <w:divBdr>
        <w:top w:val="none" w:sz="0" w:space="0" w:color="auto"/>
        <w:left w:val="none" w:sz="0" w:space="0" w:color="auto"/>
        <w:bottom w:val="none" w:sz="0" w:space="0" w:color="auto"/>
        <w:right w:val="none" w:sz="0" w:space="0" w:color="auto"/>
      </w:divBdr>
    </w:div>
    <w:div w:id="1723403020">
      <w:bodyDiv w:val="1"/>
      <w:marLeft w:val="0"/>
      <w:marRight w:val="0"/>
      <w:marTop w:val="0"/>
      <w:marBottom w:val="0"/>
      <w:divBdr>
        <w:top w:val="none" w:sz="0" w:space="0" w:color="auto"/>
        <w:left w:val="none" w:sz="0" w:space="0" w:color="auto"/>
        <w:bottom w:val="none" w:sz="0" w:space="0" w:color="auto"/>
        <w:right w:val="none" w:sz="0" w:space="0" w:color="auto"/>
      </w:divBdr>
    </w:div>
    <w:div w:id="1777870031">
      <w:bodyDiv w:val="1"/>
      <w:marLeft w:val="0"/>
      <w:marRight w:val="0"/>
      <w:marTop w:val="0"/>
      <w:marBottom w:val="0"/>
      <w:divBdr>
        <w:top w:val="none" w:sz="0" w:space="0" w:color="auto"/>
        <w:left w:val="none" w:sz="0" w:space="0" w:color="auto"/>
        <w:bottom w:val="none" w:sz="0" w:space="0" w:color="auto"/>
        <w:right w:val="none" w:sz="0" w:space="0" w:color="auto"/>
      </w:divBdr>
    </w:div>
    <w:div w:id="1784575659">
      <w:bodyDiv w:val="1"/>
      <w:marLeft w:val="0"/>
      <w:marRight w:val="0"/>
      <w:marTop w:val="0"/>
      <w:marBottom w:val="0"/>
      <w:divBdr>
        <w:top w:val="none" w:sz="0" w:space="0" w:color="auto"/>
        <w:left w:val="none" w:sz="0" w:space="0" w:color="auto"/>
        <w:bottom w:val="none" w:sz="0" w:space="0" w:color="auto"/>
        <w:right w:val="none" w:sz="0" w:space="0" w:color="auto"/>
      </w:divBdr>
    </w:div>
    <w:div w:id="1878854561">
      <w:bodyDiv w:val="1"/>
      <w:marLeft w:val="0"/>
      <w:marRight w:val="0"/>
      <w:marTop w:val="0"/>
      <w:marBottom w:val="0"/>
      <w:divBdr>
        <w:top w:val="none" w:sz="0" w:space="0" w:color="auto"/>
        <w:left w:val="none" w:sz="0" w:space="0" w:color="auto"/>
        <w:bottom w:val="none" w:sz="0" w:space="0" w:color="auto"/>
        <w:right w:val="none" w:sz="0" w:space="0" w:color="auto"/>
      </w:divBdr>
    </w:div>
    <w:div w:id="212049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7.emf"/><Relationship Id="rId26" Type="http://schemas.openxmlformats.org/officeDocument/2006/relationships/image" Target="media/image27.png"/><Relationship Id="rId39" Type="http://schemas.openxmlformats.org/officeDocument/2006/relationships/image" Target="media/image41.png"/><Relationship Id="rId21" Type="http://schemas.openxmlformats.org/officeDocument/2006/relationships/image" Target="media/image20.png"/><Relationship Id="rId34" Type="http://schemas.openxmlformats.org/officeDocument/2006/relationships/image" Target="media/image36.png"/><Relationship Id="rId42" Type="http://schemas.openxmlformats.org/officeDocument/2006/relationships/image" Target="media/image44.png"/><Relationship Id="rId47" Type="http://schemas.openxmlformats.org/officeDocument/2006/relationships/image" Target="media/image49.png"/><Relationship Id="rId50"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4.png"/><Relationship Id="rId29" Type="http://schemas.openxmlformats.org/officeDocument/2006/relationships/image" Target="media/image30.png"/><Relationship Id="rId11" Type="http://schemas.openxmlformats.org/officeDocument/2006/relationships/image" Target="media/image4.png"/><Relationship Id="rId24" Type="http://schemas.openxmlformats.org/officeDocument/2006/relationships/image" Target="media/image25.png"/><Relationship Id="rId32" Type="http://schemas.openxmlformats.org/officeDocument/2006/relationships/image" Target="media/image34.png"/><Relationship Id="rId37" Type="http://schemas.openxmlformats.org/officeDocument/2006/relationships/image" Target="media/image39.png"/><Relationship Id="rId40" Type="http://schemas.openxmlformats.org/officeDocument/2006/relationships/image" Target="media/image42.png"/><Relationship Id="rId45" Type="http://schemas.openxmlformats.org/officeDocument/2006/relationships/image" Target="media/image47.png"/><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19" Type="http://schemas.openxmlformats.org/officeDocument/2006/relationships/image" Target="media/image18.png"/><Relationship Id="rId31" Type="http://schemas.openxmlformats.org/officeDocument/2006/relationships/image" Target="media/image32.png"/><Relationship Id="rId44" Type="http://schemas.openxmlformats.org/officeDocument/2006/relationships/image" Target="media/image46.png"/><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21.png"/><Relationship Id="rId27" Type="http://schemas.openxmlformats.org/officeDocument/2006/relationships/image" Target="media/image28.png"/><Relationship Id="rId30" Type="http://schemas.openxmlformats.org/officeDocument/2006/relationships/image" Target="media/image31.png"/><Relationship Id="rId35" Type="http://schemas.openxmlformats.org/officeDocument/2006/relationships/image" Target="media/image37.png"/><Relationship Id="rId43" Type="http://schemas.openxmlformats.org/officeDocument/2006/relationships/image" Target="media/image45.png"/><Relationship Id="rId48" Type="http://schemas.openxmlformats.org/officeDocument/2006/relationships/image" Target="media/image50.png"/><Relationship Id="rId8" Type="http://schemas.openxmlformats.org/officeDocument/2006/relationships/image" Target="media/image1.png"/><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6.png"/><Relationship Id="rId25" Type="http://schemas.openxmlformats.org/officeDocument/2006/relationships/image" Target="media/image26.emf"/><Relationship Id="rId33" Type="http://schemas.openxmlformats.org/officeDocument/2006/relationships/image" Target="media/image35.png"/><Relationship Id="rId38" Type="http://schemas.openxmlformats.org/officeDocument/2006/relationships/image" Target="media/image40.png"/><Relationship Id="rId46" Type="http://schemas.openxmlformats.org/officeDocument/2006/relationships/image" Target="media/image48.png"/><Relationship Id="rId20" Type="http://schemas.openxmlformats.org/officeDocument/2006/relationships/image" Target="media/image19.png"/><Relationship Id="rId41" Type="http://schemas.openxmlformats.org/officeDocument/2006/relationships/image" Target="media/image43.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3.png"/><Relationship Id="rId23" Type="http://schemas.openxmlformats.org/officeDocument/2006/relationships/image" Target="media/image22.png"/><Relationship Id="rId28" Type="http://schemas.openxmlformats.org/officeDocument/2006/relationships/image" Target="media/image29.png"/><Relationship Id="rId36" Type="http://schemas.openxmlformats.org/officeDocument/2006/relationships/image" Target="media/image38.png"/><Relationship Id="rId49" Type="http://schemas.openxmlformats.org/officeDocument/2006/relationships/image" Target="media/image51.png"/></Relationships>
</file>

<file path=word/_rels/endnotes.xml.rels><?xml version="1.0" encoding="UTF-8" standalone="yes"?>
<Relationships xmlns="http://schemas.openxmlformats.org/package/2006/relationships"><Relationship Id="rId8" Type="http://schemas.openxmlformats.org/officeDocument/2006/relationships/image" Target="media/image12.png"/><Relationship Id="rId13" Type="http://schemas.openxmlformats.org/officeDocument/2006/relationships/image" Target="media/image23.png"/><Relationship Id="rId3" Type="http://schemas.openxmlformats.org/officeDocument/2006/relationships/image" Target="media/image6.png"/><Relationship Id="rId7" Type="http://schemas.openxmlformats.org/officeDocument/2006/relationships/image" Target="media/image11.png"/><Relationship Id="rId12" Type="http://schemas.openxmlformats.org/officeDocument/2006/relationships/image" Target="media/image17.emf"/><Relationship Id="rId2" Type="http://schemas.openxmlformats.org/officeDocument/2006/relationships/image" Target="media/image7.jpeg"/><Relationship Id="rId16" Type="http://schemas.openxmlformats.org/officeDocument/2006/relationships/image" Target="media/image33.png"/><Relationship Id="rId1" Type="http://schemas.openxmlformats.org/officeDocument/2006/relationships/image" Target="media/image4.png"/><Relationship Id="rId6" Type="http://schemas.openxmlformats.org/officeDocument/2006/relationships/image" Target="media/image10.png"/><Relationship Id="rId11" Type="http://schemas.openxmlformats.org/officeDocument/2006/relationships/image" Target="media/image19.png"/><Relationship Id="rId5" Type="http://schemas.openxmlformats.org/officeDocument/2006/relationships/image" Target="media/image9.png"/><Relationship Id="rId15" Type="http://schemas.openxmlformats.org/officeDocument/2006/relationships/image" Target="media/image25.png"/><Relationship Id="rId10" Type="http://schemas.openxmlformats.org/officeDocument/2006/relationships/image" Target="media/image15.png"/><Relationship Id="rId4" Type="http://schemas.openxmlformats.org/officeDocument/2006/relationships/image" Target="media/image8.emf"/><Relationship Id="rId9" Type="http://schemas.microsoft.com/office/2007/relationships/hdphoto" Target="media/hdphoto1.wdp"/><Relationship Id="rId14" Type="http://schemas.openxmlformats.org/officeDocument/2006/relationships/image" Target="media/image24.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9310F-7012-4450-8A63-6F4A23EE0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1797</TotalTime>
  <Pages>200</Pages>
  <Words>14514</Words>
  <Characters>82733</Characters>
  <Application>Microsoft Office Word</Application>
  <DocSecurity>0</DocSecurity>
  <Lines>689</Lines>
  <Paragraphs>194</Paragraphs>
  <ScaleCrop>false</ScaleCrop>
  <Company>GWZ</Company>
  <LinksUpToDate>false</LinksUpToDate>
  <CharactersWithSpaces>97053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Lin Zhe</cp:lastModifiedBy>
  <cp:revision>514</cp:revision>
  <dcterms:created xsi:type="dcterms:W3CDTF">2019-09-16T14:32:00Z</dcterms:created>
  <dcterms:modified xsi:type="dcterms:W3CDTF">2023-04-25T11:18:00Z</dcterms:modified>
</cp:coreProperties>
</file>