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C4863" w14:textId="77777777" w:rsidR="000D0B2A" w:rsidRDefault="00000000">
      <w:pPr>
        <w:pStyle w:val="aff6"/>
        <w:rPr>
          <w:rFonts w:eastAsia="PMingLiU"/>
        </w:rPr>
      </w:pPr>
      <w:bookmarkStart w:id="0" w:name="OLE_LINK1"/>
      <w:r>
        <w:rPr>
          <w:rFonts w:hint="eastAsia"/>
        </w:rPr>
        <w:t>今本《逸周书·商誓》“敬诸”新释</w:t>
      </w:r>
    </w:p>
    <w:p w14:paraId="1D51BF74" w14:textId="77777777" w:rsidR="000D0B2A" w:rsidRDefault="000D0B2A">
      <w:pPr>
        <w:keepNext/>
        <w:keepLines/>
        <w:tabs>
          <w:tab w:val="center" w:pos="4153"/>
          <w:tab w:val="right" w:pos="8306"/>
        </w:tabs>
        <w:spacing w:line="240" w:lineRule="exact"/>
        <w:jc w:val="center"/>
        <w:outlineLvl w:val="0"/>
        <w:rPr>
          <w:rFonts w:ascii="仿宋" w:eastAsia="仿宋" w:hAnsi="仿宋"/>
          <w:kern w:val="44"/>
          <w:szCs w:val="40"/>
        </w:rPr>
      </w:pPr>
    </w:p>
    <w:p w14:paraId="642A9589" w14:textId="77777777" w:rsidR="000D0B2A" w:rsidRDefault="00000000">
      <w:pPr>
        <w:pStyle w:val="aff7"/>
        <w:rPr>
          <w:lang w:eastAsia="zh-CN"/>
        </w:rPr>
      </w:pPr>
      <w:r>
        <w:rPr>
          <w:rFonts w:hint="eastAsia"/>
          <w:lang w:eastAsia="zh-CN"/>
        </w:rPr>
        <w:t>（首发）</w:t>
      </w:r>
    </w:p>
    <w:p w14:paraId="50B7A526" w14:textId="77777777" w:rsidR="000D0B2A" w:rsidRDefault="00000000">
      <w:pPr>
        <w:pStyle w:val="aff7"/>
        <w:rPr>
          <w:lang w:eastAsia="zh-CN"/>
        </w:rPr>
      </w:pPr>
      <w:r>
        <w:rPr>
          <w:rFonts w:hint="eastAsia"/>
          <w:lang w:eastAsia="zh-CN"/>
        </w:rPr>
        <w:t>张怀通</w:t>
      </w:r>
    </w:p>
    <w:p w14:paraId="304790BA" w14:textId="77777777" w:rsidR="000D0B2A" w:rsidRDefault="00000000">
      <w:pPr>
        <w:pStyle w:val="aff7"/>
        <w:rPr>
          <w:lang w:eastAsia="zh-CN"/>
        </w:rPr>
      </w:pPr>
      <w:r>
        <w:rPr>
          <w:rFonts w:hint="eastAsia"/>
          <w:lang w:eastAsia="zh-CN"/>
        </w:rPr>
        <w:t>河北师范大学历史文化学院</w:t>
      </w:r>
    </w:p>
    <w:p w14:paraId="4487F4F4" w14:textId="77777777" w:rsidR="000D0B2A" w:rsidRDefault="000D0B2A">
      <w:pPr>
        <w:spacing w:line="240" w:lineRule="exact"/>
        <w:rPr>
          <w:rFonts w:ascii="Calibri" w:hAnsi="Calibri"/>
          <w:sz w:val="21"/>
        </w:rPr>
      </w:pPr>
    </w:p>
    <w:p w14:paraId="2ECD1620" w14:textId="77777777" w:rsidR="000D0B2A" w:rsidRDefault="00000000">
      <w:pPr>
        <w:pStyle w:val="aff5"/>
        <w:ind w:firstLine="562"/>
        <w:rPr>
          <w:rFonts w:ascii="楷体" w:eastAsia="楷体" w:hAnsi="楷体"/>
        </w:rPr>
      </w:pPr>
      <w:bookmarkStart w:id="1" w:name="_Hlk91185535"/>
      <w:r>
        <w:rPr>
          <w:rFonts w:ascii="楷体" w:eastAsia="楷体" w:hAnsi="楷体" w:hint="eastAsia"/>
          <w:b/>
          <w:bCs/>
        </w:rPr>
        <w:t>摘 要：</w:t>
      </w:r>
      <w:r>
        <w:rPr>
          <w:rFonts w:ascii="楷体" w:eastAsia="楷体" w:hAnsi="楷体" w:hint="eastAsia"/>
        </w:rPr>
        <w:t>“敬诸”是今本《逸周书·商誓》中的一个短语，“敬”是恭敬、虔敬之意，“诸”是句末语气助词，如同“哉”。“敬诸”就是“敬哉”。“诸”作为句末语气助词的源头是《尧典》、《皋陶谟》中的叹词“都”与清华简《厚父》、《四告》中的叹词“者鲁”。“都”（《尧典》）—“敬诸（哉）”（《商誓》）—“敬之哉”（《商誓》）—“汝其敬哉，虔卹乃事”（《摄命》），形成华夏民族早期语言源流（之一）。“敬诸”可能是商周时代商人的语言，《商誓》的记录者可能是弃商投周的太史辛甲大夫。</w:t>
      </w:r>
    </w:p>
    <w:p w14:paraId="0CD6892B" w14:textId="77777777" w:rsidR="000D0B2A" w:rsidRDefault="00000000">
      <w:pPr>
        <w:pStyle w:val="aff5"/>
        <w:ind w:firstLine="562"/>
        <w:rPr>
          <w:rFonts w:ascii="楷体" w:eastAsia="楷体" w:hAnsi="楷体"/>
          <w:bCs/>
        </w:rPr>
      </w:pPr>
      <w:r>
        <w:rPr>
          <w:rFonts w:ascii="楷体" w:eastAsia="楷体" w:hAnsi="楷体" w:hint="eastAsia"/>
          <w:b/>
          <w:bCs/>
        </w:rPr>
        <w:t>关键词：</w:t>
      </w:r>
      <w:r>
        <w:rPr>
          <w:rFonts w:ascii="楷体" w:eastAsia="楷体" w:hAnsi="楷体" w:hint="eastAsia"/>
        </w:rPr>
        <w:t>敬诸，敬哉，都，者鲁，《商誓》，辛甲</w:t>
      </w:r>
      <w:bookmarkEnd w:id="1"/>
    </w:p>
    <w:p w14:paraId="1D58EB4C" w14:textId="77777777" w:rsidR="000D0B2A" w:rsidRDefault="000D0B2A">
      <w:pPr>
        <w:tabs>
          <w:tab w:val="center" w:pos="4153"/>
          <w:tab w:val="left" w:pos="4934"/>
        </w:tabs>
        <w:ind w:firstLine="440"/>
        <w:jc w:val="center"/>
        <w:rPr>
          <w:rFonts w:ascii="仿宋" w:eastAsia="仿宋" w:hAnsi="仿宋"/>
          <w:sz w:val="22"/>
          <w:szCs w:val="21"/>
        </w:rPr>
      </w:pPr>
    </w:p>
    <w:p w14:paraId="774790AE" w14:textId="77777777" w:rsidR="000D0B2A" w:rsidRDefault="00000000">
      <w:pPr>
        <w:pStyle w:val="aff4"/>
        <w:ind w:firstLineChars="200" w:firstLine="560"/>
        <w:rPr>
          <w:rFonts w:cs="宋体"/>
        </w:rPr>
      </w:pPr>
      <w:r>
        <w:rPr>
          <w:rFonts w:cs="宋体" w:hint="eastAsia"/>
        </w:rPr>
        <w:t>《商誓》是今本《逸周书》的第四十三篇，是武王于牧野之战后的戊辰日在商郊举行征会诸侯、献民、九牧盛大典礼之上发布的“讨贰”、“讨不服”的誓言</w:t>
      </w:r>
      <w:r>
        <w:rPr>
          <w:rStyle w:val="afc"/>
          <w:rFonts w:cs="宋体" w:hint="eastAsia"/>
          <w:szCs w:val="24"/>
        </w:rPr>
        <w:endnoteReference w:id="1"/>
      </w:r>
      <w:r>
        <w:rPr>
          <w:rFonts w:cs="宋体" w:hint="eastAsia"/>
        </w:rPr>
        <w:t>。虽然“系周初之作”，“重要性绝不下于《尚书》中的周初各篇”</w:t>
      </w:r>
      <w:r>
        <w:rPr>
          <w:rStyle w:val="afc"/>
          <w:rFonts w:cs="宋体" w:hint="eastAsia"/>
          <w:szCs w:val="24"/>
        </w:rPr>
        <w:endnoteReference w:id="2"/>
      </w:r>
      <w:r>
        <w:rPr>
          <w:rFonts w:cs="宋体" w:hint="eastAsia"/>
        </w:rPr>
        <w:t>，但由于历史上缺乏整理，文字语句的讹夺衍</w:t>
      </w:r>
      <w:r>
        <w:rPr>
          <w:rFonts w:cs="宋体" w:hint="eastAsia"/>
        </w:rPr>
        <w:lastRenderedPageBreak/>
        <w:t>误较多。自清代中期以来，经学者不断校勘注释，《商誓》语言中一些窒碍之处得到了疏解，其文本基本上能够通读。但仍然遗留了个别问题，需要我们继续努力，尝试着予以解决，“敬诸”就是其中之一。</w:t>
      </w:r>
    </w:p>
    <w:p w14:paraId="0F866DC2" w14:textId="77777777" w:rsidR="000D0B2A" w:rsidRDefault="00000000">
      <w:pPr>
        <w:pStyle w:val="5"/>
        <w:jc w:val="center"/>
      </w:pPr>
      <w:r>
        <w:rPr>
          <w:rFonts w:hint="eastAsia"/>
        </w:rPr>
        <w:t>一、“敬诸”语境与学者的解释</w:t>
      </w:r>
    </w:p>
    <w:p w14:paraId="332D5969" w14:textId="77777777" w:rsidR="000D0B2A" w:rsidRDefault="00000000">
      <w:pPr>
        <w:pStyle w:val="aff5"/>
        <w:ind w:firstLine="560"/>
      </w:pPr>
      <w:r>
        <w:rPr>
          <w:rFonts w:hint="eastAsia"/>
        </w:rPr>
        <w:t>“敬诸”是一个短语，在《商誓》中一共出现了四次，其上下文分别是这样的：</w:t>
      </w:r>
    </w:p>
    <w:p w14:paraId="6DCBD1E1" w14:textId="77777777" w:rsidR="000D0B2A" w:rsidRDefault="00000000">
      <w:pPr>
        <w:pStyle w:val="aff3"/>
        <w:spacing w:before="540" w:after="540"/>
        <w:ind w:leftChars="200" w:left="480" w:firstLine="496"/>
        <w:rPr>
          <w:rFonts w:cs="楷体"/>
          <w:lang w:eastAsia="zh-CN"/>
        </w:rPr>
      </w:pPr>
      <w:r>
        <w:rPr>
          <w:rFonts w:cs="楷体" w:hint="eastAsia"/>
          <w:lang w:eastAsia="zh-CN"/>
        </w:rPr>
        <w:t>1、王若曰：告尔伊旧何父</w:t>
      </w:r>
      <w:r>
        <w:rPr>
          <w:rFonts w:cs="楷体" w:hint="eastAsia"/>
        </w:rPr>
        <w:sym w:font="Wingdings 2" w:char="00A3"/>
      </w:r>
      <w:r>
        <w:rPr>
          <w:rFonts w:cs="楷体" w:hint="eastAsia"/>
        </w:rPr>
        <w:sym w:font="Wingdings 2" w:char="00A3"/>
      </w:r>
      <w:r>
        <w:rPr>
          <w:rFonts w:cs="楷体" w:hint="eastAsia"/>
        </w:rPr>
        <w:sym w:font="Wingdings 2" w:char="00A3"/>
      </w:r>
      <w:r>
        <w:rPr>
          <w:rFonts w:cs="楷体" w:hint="eastAsia"/>
        </w:rPr>
        <w:sym w:font="Wingdings 2" w:char="00A3"/>
      </w:r>
      <w:r>
        <w:rPr>
          <w:rFonts w:cs="楷体" w:hint="eastAsia"/>
          <w:lang w:eastAsia="zh-CN"/>
        </w:rPr>
        <w:t>几、耿、肃、执，……及太史比【友】、小史昔【友】，及百官、里居【君】、献民，</w:t>
      </w:r>
      <w:r>
        <w:rPr>
          <w:rFonts w:cs="楷体" w:hint="eastAsia"/>
        </w:rPr>
        <w:sym w:font="Wingdings 2" w:char="00A3"/>
      </w:r>
      <w:r>
        <w:rPr>
          <w:rFonts w:cs="楷体" w:hint="eastAsia"/>
        </w:rPr>
        <w:sym w:font="Wingdings 2" w:char="00A3"/>
      </w:r>
      <w:r>
        <w:rPr>
          <w:rFonts w:cs="楷体" w:hint="eastAsia"/>
        </w:rPr>
        <w:sym w:font="Wingdings 2" w:char="00A3"/>
      </w:r>
      <w:r>
        <w:rPr>
          <w:rFonts w:cs="楷体" w:hint="eastAsia"/>
          <w:lang w:eastAsia="zh-CN"/>
        </w:rPr>
        <w:t>来尹师之。敬诸！戒疾听朕言，用胥生蠲尹。</w:t>
      </w:r>
    </w:p>
    <w:p w14:paraId="3F3FA28B" w14:textId="77777777" w:rsidR="000D0B2A" w:rsidRDefault="00000000">
      <w:pPr>
        <w:pStyle w:val="aff3"/>
        <w:spacing w:before="540" w:after="540"/>
        <w:ind w:leftChars="200" w:left="480" w:firstLine="496"/>
        <w:rPr>
          <w:rFonts w:cs="楷体"/>
          <w:lang w:eastAsia="zh-CN"/>
        </w:rPr>
      </w:pPr>
      <w:r>
        <w:rPr>
          <w:rFonts w:cs="楷体" w:hint="eastAsia"/>
          <w:lang w:eastAsia="zh-CN"/>
        </w:rPr>
        <w:t>2、王曰：嗟！尔众，予言若敢顾天命，予来致上帝之威命明罚。今惟新诰命尔。敬诸！朕话言自一言至于十话言，其惟明命尔。</w:t>
      </w:r>
    </w:p>
    <w:p w14:paraId="074B8771" w14:textId="77777777" w:rsidR="000D0B2A" w:rsidRDefault="00000000">
      <w:pPr>
        <w:pStyle w:val="aff3"/>
        <w:spacing w:before="540" w:after="540"/>
        <w:ind w:leftChars="200" w:left="480" w:firstLine="496"/>
        <w:rPr>
          <w:rFonts w:cs="楷体"/>
          <w:lang w:eastAsia="zh-CN"/>
        </w:rPr>
      </w:pPr>
      <w:r>
        <w:rPr>
          <w:rFonts w:cs="楷体" w:hint="eastAsia"/>
          <w:lang w:eastAsia="zh-CN"/>
        </w:rPr>
        <w:t>3、王曰：……予惟甲子，克致天之大罚，</w:t>
      </w:r>
      <w:r>
        <w:rPr>
          <w:rFonts w:cs="楷体" w:hint="eastAsia"/>
        </w:rPr>
        <w:sym w:font="Wingdings 2" w:char="00A3"/>
      </w:r>
      <w:r>
        <w:rPr>
          <w:rFonts w:cs="楷体" w:hint="eastAsia"/>
          <w:lang w:eastAsia="zh-CN"/>
        </w:rPr>
        <w:t>帝之来，革纣之</w:t>
      </w:r>
      <w:r>
        <w:rPr>
          <w:rFonts w:cs="楷体" w:hint="eastAsia"/>
        </w:rPr>
        <w:sym w:font="Wingdings 2" w:char="00A3"/>
      </w:r>
      <w:r>
        <w:rPr>
          <w:rFonts w:cs="楷体" w:hint="eastAsia"/>
          <w:lang w:eastAsia="zh-CN"/>
        </w:rPr>
        <w:t>，予亦无敢违大命。敬诸！昔在我西土，我其有言，胥告商之百【姓】无罪，其维一夫。予既殛纣承天命，予亦来休命，尔百姓里居君子，其周即命。</w:t>
      </w:r>
    </w:p>
    <w:p w14:paraId="77979E76" w14:textId="77777777" w:rsidR="000D0B2A" w:rsidRDefault="00000000">
      <w:pPr>
        <w:pStyle w:val="aff3"/>
        <w:spacing w:before="540" w:after="540"/>
        <w:ind w:leftChars="200" w:left="480" w:firstLine="496"/>
        <w:rPr>
          <w:rFonts w:cs="楷体"/>
          <w:lang w:eastAsia="zh-CN"/>
        </w:rPr>
      </w:pPr>
      <w:r>
        <w:rPr>
          <w:rFonts w:cs="楷体" w:hint="eastAsia"/>
          <w:lang w:eastAsia="zh-CN"/>
        </w:rPr>
        <w:t>4、今予维笃佑尔，我史视尔靖疑胥。敬请【诸】！其斯一话。敢逸僭，予则上帝之明命。予尔拜，拜</w:t>
      </w:r>
      <w:r>
        <w:rPr>
          <w:rFonts w:cs="楷体" w:hint="eastAsia"/>
        </w:rPr>
        <w:sym w:font="Wingdings 2" w:char="00A3"/>
      </w:r>
      <w:r>
        <w:rPr>
          <w:rFonts w:cs="楷体" w:hint="eastAsia"/>
          <w:lang w:eastAsia="zh-CN"/>
        </w:rPr>
        <w:t>百姓，越尔庶义庶刑。予维及西土，我乃其来即刑。乃敬之哉！庶听朕言，罔胥告。</w:t>
      </w:r>
      <w:r>
        <w:rPr>
          <w:rStyle w:val="afc"/>
          <w:rFonts w:cs="楷体" w:hint="eastAsia"/>
          <w:szCs w:val="24"/>
          <w:lang w:eastAsia="zh-CN"/>
        </w:rPr>
        <w:endnoteReference w:id="3"/>
      </w:r>
    </w:p>
    <w:p w14:paraId="0EA71FB6" w14:textId="77777777" w:rsidR="000D0B2A" w:rsidRDefault="00000000">
      <w:pPr>
        <w:pStyle w:val="aff5"/>
        <w:ind w:firstLine="560"/>
      </w:pPr>
      <w:r>
        <w:rPr>
          <w:rFonts w:hint="eastAsia"/>
        </w:rPr>
        <w:lastRenderedPageBreak/>
        <w:t>清代学者唐大沛对第一条材料中的“敬诸”连同其后的“戒”作一句读，认为“‘戒’疑‘哉’之讹。（‘诸’即‘之’），‘诸【敬】之’也见《士昏礼》记注。‘敬诸哉’犹言‘敬之哉’，篇末亦有‘敬之哉’句。”</w:t>
      </w:r>
      <w:r>
        <w:rPr>
          <w:rStyle w:val="afc"/>
          <w:rFonts w:cs="宋体" w:hint="eastAsia"/>
          <w:szCs w:val="24"/>
        </w:rPr>
        <w:endnoteReference w:id="4"/>
      </w:r>
      <w:r>
        <w:rPr>
          <w:rFonts w:hint="eastAsia"/>
        </w:rPr>
        <w:t>唐氏所讲“敬之哉”在上引第四条材料中，大家可以参看。当代学者黄怀信先生认为：“诸，‘之乎’合音。”</w:t>
      </w:r>
      <w:r>
        <w:rPr>
          <w:rStyle w:val="afc"/>
          <w:rFonts w:cs="宋体" w:hint="eastAsia"/>
          <w:szCs w:val="24"/>
        </w:rPr>
        <w:endnoteReference w:id="5"/>
      </w:r>
      <w:r>
        <w:rPr>
          <w:rFonts w:hint="eastAsia"/>
        </w:rPr>
        <w:t>张闻玉、牛鸿恩等学者的看法多依从唐、黄之说，大致没有超出以上两种解释的范围，为避免枝蔓，此不赘述。</w:t>
      </w:r>
    </w:p>
    <w:p w14:paraId="3C7852EC" w14:textId="77777777" w:rsidR="000D0B2A" w:rsidRDefault="00000000">
      <w:pPr>
        <w:pStyle w:val="aff5"/>
        <w:ind w:firstLine="560"/>
      </w:pPr>
      <w:r>
        <w:rPr>
          <w:rFonts w:hint="eastAsia"/>
        </w:rPr>
        <w:t>笔者认为，唐、黄二位学者对于“敬诸”及其相关字词的解释没有中肯，应该结合语境与文意，重新进行解释。</w:t>
      </w:r>
    </w:p>
    <w:p w14:paraId="6F11FE59" w14:textId="77777777" w:rsidR="000D0B2A" w:rsidRDefault="00000000">
      <w:pPr>
        <w:pStyle w:val="5"/>
        <w:jc w:val="center"/>
      </w:pPr>
      <w:r>
        <w:rPr>
          <w:rFonts w:hint="eastAsia"/>
        </w:rPr>
        <w:t>二、“敬诸”应是“敬哉”</w:t>
      </w:r>
    </w:p>
    <w:p w14:paraId="20579BA3" w14:textId="77777777" w:rsidR="000D0B2A" w:rsidRDefault="00000000">
      <w:pPr>
        <w:pStyle w:val="aff5"/>
        <w:ind w:firstLine="560"/>
      </w:pPr>
      <w:r>
        <w:rPr>
          <w:rFonts w:hint="eastAsia"/>
        </w:rPr>
        <w:t>四例“敬诸”是一个独立成句的短语，应该与“戒”等字词截然分开。其中的“敬”很好理解，就是恭敬、虔敬的意思，毋需多说。其中的“诸”是一个句末语气助词，意义与作用如同“哉”。“诸”的这个意思在传世与出土文献中较为少见，但确实存在，只是《逸周书》的注释者、研究者没有留意而已。例如：</w:t>
      </w:r>
    </w:p>
    <w:p w14:paraId="5BFA8711" w14:textId="77777777" w:rsidR="000D0B2A" w:rsidRDefault="00000000">
      <w:pPr>
        <w:pStyle w:val="aff3"/>
        <w:spacing w:before="540" w:after="540"/>
        <w:ind w:leftChars="200" w:left="480" w:firstLine="496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（1）《法言·问明》：“蜀庄之才之珍也，不作苟见，不治苟得，久幽而不改其操，虽隋、和何以加诸！”</w:t>
      </w:r>
      <w:r>
        <w:rPr>
          <w:rStyle w:val="afc"/>
          <w:rFonts w:cs="楷体" w:hint="eastAsia"/>
          <w:szCs w:val="24"/>
          <w:lang w:eastAsia="zh-CN"/>
        </w:rPr>
        <w:endnoteReference w:id="6"/>
      </w:r>
      <w:r>
        <w:rPr>
          <w:rFonts w:cs="楷体" w:hint="eastAsia"/>
          <w:lang w:eastAsia="zh-CN"/>
        </w:rPr>
        <w:t>按：《史记·绛侯周勃世家赞》</w:t>
      </w:r>
      <w:r>
        <w:rPr>
          <w:rFonts w:cs="楷体" w:hint="eastAsia"/>
          <w:lang w:eastAsia="zh-CN"/>
        </w:rPr>
        <w:lastRenderedPageBreak/>
        <w:t>类似的语境作“虽伊尹、周公，何以加哉！”</w:t>
      </w:r>
      <w:r>
        <w:rPr>
          <w:rStyle w:val="afc"/>
          <w:rFonts w:cs="楷体" w:hint="eastAsia"/>
          <w:szCs w:val="24"/>
          <w:lang w:eastAsia="zh-CN"/>
        </w:rPr>
        <w:endnoteReference w:id="7"/>
      </w:r>
    </w:p>
    <w:p w14:paraId="351C82A0" w14:textId="77777777" w:rsidR="000D0B2A" w:rsidRDefault="00000000">
      <w:pPr>
        <w:pStyle w:val="aff3"/>
        <w:spacing w:before="540" w:after="540"/>
        <w:ind w:leftChars="200" w:left="480" w:firstLine="496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（2）《左传》襄公二十八年：“十一月乙亥，尝于大公之庙，庆舍涖事。卢蒲姜告之，且止之，弗听，曰：‘谁敢者？’遂如公。”按：《左传》襄公八年相同的语境作“谁敢哉？”</w:t>
      </w:r>
      <w:r>
        <w:rPr>
          <w:rStyle w:val="afc"/>
          <w:rFonts w:cs="楷体" w:hint="eastAsia"/>
          <w:szCs w:val="24"/>
          <w:lang w:eastAsia="zh-CN"/>
        </w:rPr>
        <w:endnoteReference w:id="8"/>
      </w:r>
    </w:p>
    <w:p w14:paraId="21CBF9BC" w14:textId="77777777" w:rsidR="000D0B2A" w:rsidRDefault="00000000">
      <w:pPr>
        <w:pStyle w:val="aff4"/>
        <w:ind w:firstLineChars="200" w:firstLine="560"/>
        <w:rPr>
          <w:rFonts w:cs="宋体"/>
        </w:rPr>
      </w:pPr>
      <w:r>
        <w:rPr>
          <w:rFonts w:cs="宋体" w:hint="eastAsia"/>
        </w:rPr>
        <w:t>对于例（1），裴学海先生说：“‘诸’犹‘哉’也。”</w:t>
      </w:r>
      <w:r>
        <w:rPr>
          <w:rStyle w:val="afc"/>
          <w:rFonts w:cs="宋体" w:hint="eastAsia"/>
          <w:szCs w:val="24"/>
        </w:rPr>
        <w:endnoteReference w:id="9"/>
      </w:r>
      <w:r>
        <w:rPr>
          <w:rFonts w:cs="宋体" w:hint="eastAsia"/>
        </w:rPr>
        <w:t>对于例（2），裴学海先生说：诸、都、者三字音义相通，“‘者’犹‘哉’也”，“《书》、《传》中，凡言‘何者’者，皆即‘何哉？’”</w:t>
      </w:r>
      <w:r>
        <w:rPr>
          <w:rStyle w:val="afc"/>
          <w:rFonts w:cs="宋体" w:hint="eastAsia"/>
          <w:szCs w:val="24"/>
        </w:rPr>
        <w:endnoteReference w:id="10"/>
      </w:r>
      <w:r>
        <w:rPr>
          <w:rFonts w:cs="宋体" w:hint="eastAsia"/>
        </w:rPr>
        <w:t>裴先生的观点正确可从。</w:t>
      </w:r>
    </w:p>
    <w:p w14:paraId="29387152" w14:textId="77777777" w:rsidR="000D0B2A" w:rsidRDefault="00000000">
      <w:pPr>
        <w:pStyle w:val="aff4"/>
        <w:ind w:firstLineChars="200" w:firstLine="560"/>
        <w:rPr>
          <w:rFonts w:cs="宋体"/>
        </w:rPr>
      </w:pPr>
      <w:r>
        <w:rPr>
          <w:rFonts w:cs="宋体" w:hint="eastAsia"/>
        </w:rPr>
        <w:t>除了等同于“哉”，作为句末语气助词的“诸”，有时也等同于“焉”、“乎”、“也”等。例如：</w:t>
      </w:r>
    </w:p>
    <w:p w14:paraId="75603053" w14:textId="77777777" w:rsidR="000D0B2A" w:rsidRDefault="00000000">
      <w:pPr>
        <w:pStyle w:val="aff3"/>
        <w:spacing w:before="540" w:after="540"/>
        <w:ind w:leftChars="200" w:left="480" w:firstLine="496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（3）《左传》文公五年：“臧文仲闻六与蓼灭，曰：‘皋陶、庭坚不祀忽诸。’”</w:t>
      </w:r>
      <w:r>
        <w:rPr>
          <w:rStyle w:val="afc"/>
          <w:rFonts w:cs="楷体" w:hint="eastAsia"/>
          <w:szCs w:val="24"/>
          <w:lang w:eastAsia="zh-CN"/>
        </w:rPr>
        <w:endnoteReference w:id="11"/>
      </w:r>
    </w:p>
    <w:p w14:paraId="062AE2AE" w14:textId="77777777" w:rsidR="000D0B2A" w:rsidRDefault="00000000">
      <w:pPr>
        <w:pStyle w:val="aff3"/>
        <w:spacing w:before="540" w:after="540"/>
        <w:ind w:left="0" w:firstLineChars="400" w:firstLine="992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（4）《诗经·邶风·日月》：“日居月诸，照临下土。”</w:t>
      </w:r>
      <w:r>
        <w:rPr>
          <w:rStyle w:val="afc"/>
          <w:rFonts w:cs="楷体" w:hint="eastAsia"/>
          <w:szCs w:val="24"/>
          <w:lang w:eastAsia="zh-CN"/>
        </w:rPr>
        <w:endnoteReference w:id="12"/>
      </w:r>
    </w:p>
    <w:p w14:paraId="3646F0DF" w14:textId="77777777" w:rsidR="000D0B2A" w:rsidRDefault="00000000">
      <w:pPr>
        <w:pStyle w:val="aff3"/>
        <w:spacing w:before="540" w:after="540"/>
        <w:ind w:leftChars="200" w:left="480" w:firstLine="496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（5）《论语·阳货》：“恶紫之夺朱也，恶郑声之乱雅乐也，恶利口之覆邦家者。”</w:t>
      </w:r>
      <w:r>
        <w:rPr>
          <w:rStyle w:val="afc"/>
          <w:rFonts w:cs="楷体" w:hint="eastAsia"/>
          <w:szCs w:val="24"/>
          <w:lang w:eastAsia="zh-CN"/>
        </w:rPr>
        <w:endnoteReference w:id="13"/>
      </w:r>
    </w:p>
    <w:p w14:paraId="5A9375AC" w14:textId="77777777" w:rsidR="000D0B2A" w:rsidRDefault="00000000">
      <w:pPr>
        <w:pStyle w:val="aff4"/>
        <w:ind w:firstLineChars="200" w:firstLine="560"/>
        <w:rPr>
          <w:rFonts w:cs="宋体"/>
        </w:rPr>
      </w:pPr>
      <w:r>
        <w:rPr>
          <w:rFonts w:cs="宋体" w:hint="eastAsia"/>
        </w:rPr>
        <w:t>对于例（3），裴学海先生说：“‘忽诸’与（《左传》）庄十一年‘其</w:t>
      </w:r>
      <w:r>
        <w:rPr>
          <w:rFonts w:cs="宋体" w:hint="eastAsia"/>
        </w:rPr>
        <w:lastRenderedPageBreak/>
        <w:t>亡也忽焉’之‘忽焉’同义。”</w:t>
      </w:r>
      <w:r>
        <w:rPr>
          <w:rStyle w:val="afc"/>
          <w:rFonts w:cs="宋体" w:hint="eastAsia"/>
          <w:szCs w:val="24"/>
        </w:rPr>
        <w:endnoteReference w:id="14"/>
      </w:r>
      <w:r>
        <w:rPr>
          <w:rFonts w:cs="宋体" w:hint="eastAsia"/>
        </w:rPr>
        <w:t>裴先生的观点正确可从。对于例（4），毛传的解释是：“日乎月乎，照临之也。”</w:t>
      </w:r>
      <w:r>
        <w:rPr>
          <w:rStyle w:val="afc"/>
          <w:rFonts w:cs="宋体" w:hint="eastAsia"/>
          <w:szCs w:val="24"/>
        </w:rPr>
        <w:endnoteReference w:id="15"/>
      </w:r>
      <w:r>
        <w:rPr>
          <w:rFonts w:cs="宋体" w:hint="eastAsia"/>
        </w:rPr>
        <w:t>这个“诸”，不言而喻，等同于“乎”。例（5）中“者”与“也”对应，意义与作用自然相同。</w:t>
      </w:r>
    </w:p>
    <w:p w14:paraId="66163F71" w14:textId="77777777" w:rsidR="000D0B2A" w:rsidRDefault="00000000">
      <w:pPr>
        <w:pStyle w:val="aff4"/>
        <w:rPr>
          <w:rFonts w:cs="宋体"/>
        </w:rPr>
      </w:pPr>
      <w:r>
        <w:rPr>
          <w:rFonts w:cs="宋体" w:hint="eastAsia"/>
        </w:rPr>
        <w:t>“诸”等同于“哉”，那么“敬诸”就是“敬哉”。将其放到《商誓》的语境之中，既文通字顺，又语义昭然。首先，从四条材料的总体特征看，“敬诸”都是出现在武王着重申明自己某一特定讲话之前，要求听者对于自己的讲话要采取恭敬认真的态度，有诫勉警告的意思蕴含其中。第一条材料中“敬诸”与“戒疾听朕言”对应，第二条中与“朕话言自一言至于十话言”对应，第三条中与“我其有言”对应，第四条中与“其斯一话”对应。其次，从四条材料的各自特点看，第一个“敬诸”是武王从《商誓》全局高度对听者的总体要求，第二个“敬诸”是对第一个“敬诸”的重申，表现了武王庄重恳切的心理。第三个“敬诸”是武王针对伐纣之前自己在西土作出的承诺——“百【姓】无罪，其维一夫”而讲。第四个“敬诸”是武王就自己对听者的警示而讲。无论是总体，还是局部，四个“敬诸”都体现了《商誓》之“誓”的体裁的特色，都紧扣了武王举行征会诸侯、献民、九牧盛大典礼的主题。</w:t>
      </w:r>
    </w:p>
    <w:p w14:paraId="7E8CCAD5" w14:textId="77777777" w:rsidR="000D0B2A" w:rsidRDefault="00000000">
      <w:pPr>
        <w:pStyle w:val="aff4"/>
        <w:ind w:firstLineChars="200" w:firstLine="560"/>
        <w:rPr>
          <w:rFonts w:cs="宋体"/>
        </w:rPr>
      </w:pPr>
      <w:r>
        <w:rPr>
          <w:rFonts w:cs="宋体" w:hint="eastAsia"/>
        </w:rPr>
        <w:t>第四条材料中有一个“敬之哉”，与“庶听朕言”对应，后者是</w:t>
      </w:r>
      <w:r>
        <w:rPr>
          <w:rFonts w:cs="宋体" w:hint="eastAsia"/>
        </w:rPr>
        <w:lastRenderedPageBreak/>
        <w:t>前者“之”指代的对象。无论语境，还是文意，“敬之哉”与“敬诸（敬哉）”都基本相同，因此“敬诸（敬哉）”可以视为“敬之哉”的缩略，那么“诸”等同于“哉”就得到了《商誓》的内证，更加坐实了上文所得结论的正确。</w:t>
      </w:r>
    </w:p>
    <w:p w14:paraId="7A4E4616" w14:textId="77777777" w:rsidR="000D0B2A" w:rsidRDefault="00000000">
      <w:pPr>
        <w:pStyle w:val="5"/>
        <w:jc w:val="center"/>
      </w:pPr>
      <w:r>
        <w:rPr>
          <w:rFonts w:hint="eastAsia"/>
        </w:rPr>
        <w:t>三、“敬诸”的语法源流</w:t>
      </w:r>
    </w:p>
    <w:p w14:paraId="27E3ABCF" w14:textId="77777777" w:rsidR="000D0B2A" w:rsidRDefault="00000000">
      <w:pPr>
        <w:pStyle w:val="aff4"/>
        <w:ind w:firstLineChars="200" w:firstLine="560"/>
        <w:rPr>
          <w:rFonts w:cs="宋体"/>
        </w:rPr>
      </w:pPr>
      <w:r>
        <w:rPr>
          <w:rFonts w:cs="宋体" w:hint="eastAsia"/>
        </w:rPr>
        <w:t>句末语气助词“诸”的源头是叹词“都”或“者鲁”。首先看“都”，例如：</w:t>
      </w:r>
    </w:p>
    <w:p w14:paraId="6442FABD" w14:textId="77777777" w:rsidR="000D0B2A" w:rsidRDefault="00000000">
      <w:pPr>
        <w:pStyle w:val="aff3"/>
        <w:spacing w:before="540" w:after="540"/>
        <w:ind w:left="0" w:firstLineChars="400" w:firstLine="992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（6）《尧典》：“驩兜曰：都！共工方鸠僝功。”</w:t>
      </w:r>
      <w:r>
        <w:rPr>
          <w:rStyle w:val="afc"/>
          <w:rFonts w:cs="楷体" w:hint="eastAsia"/>
          <w:spacing w:val="0"/>
          <w:szCs w:val="24"/>
          <w:shd w:val="clear" w:color="auto" w:fill="FFFFFF"/>
          <w:lang w:eastAsia="zh-CN"/>
        </w:rPr>
        <w:endnoteReference w:id="16"/>
      </w:r>
    </w:p>
    <w:p w14:paraId="789A1CFE" w14:textId="77777777" w:rsidR="000D0B2A" w:rsidRDefault="00000000">
      <w:pPr>
        <w:pStyle w:val="aff3"/>
        <w:spacing w:before="540" w:after="540"/>
        <w:ind w:left="0" w:firstLineChars="400" w:firstLine="992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（7）《皋陶谟》：“皋陶曰：都！慎厥身修思永。”</w:t>
      </w:r>
    </w:p>
    <w:p w14:paraId="4B573189" w14:textId="77777777" w:rsidR="000D0B2A" w:rsidRDefault="00000000">
      <w:pPr>
        <w:pStyle w:val="aff3"/>
        <w:spacing w:before="540" w:after="540"/>
        <w:ind w:left="0" w:firstLineChars="400" w:firstLine="992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（8）《皋陶谟》：“皋陶曰：都!在知人,在安民。”</w:t>
      </w:r>
    </w:p>
    <w:p w14:paraId="6B1438F2" w14:textId="77777777" w:rsidR="000D0B2A" w:rsidRDefault="00000000">
      <w:pPr>
        <w:pStyle w:val="aff3"/>
        <w:spacing w:before="540" w:after="540"/>
        <w:ind w:left="0" w:firstLineChars="400" w:firstLine="992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（9）《皋陶谟》：“皋陶曰：都！亦行有九德。”</w:t>
      </w:r>
    </w:p>
    <w:p w14:paraId="01D99680" w14:textId="77777777" w:rsidR="000D0B2A" w:rsidRDefault="00000000">
      <w:pPr>
        <w:pStyle w:val="aff3"/>
        <w:spacing w:before="540" w:after="540"/>
        <w:ind w:left="0" w:firstLineChars="400" w:firstLine="992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（10）《皋陶谟》：“禹拜曰：都！帝，予何言？予思日孜孜。”</w:t>
      </w:r>
    </w:p>
    <w:p w14:paraId="136F6646" w14:textId="77777777" w:rsidR="000D0B2A" w:rsidRDefault="00000000">
      <w:pPr>
        <w:pStyle w:val="aff3"/>
        <w:spacing w:before="540" w:after="540"/>
        <w:ind w:left="0" w:firstLineChars="400" w:firstLine="992"/>
        <w:rPr>
          <w:rFonts w:cs="楷体"/>
          <w:lang w:eastAsia="zh-CN"/>
        </w:rPr>
      </w:pPr>
      <w:r>
        <w:rPr>
          <w:rFonts w:cs="楷体" w:hint="eastAsia"/>
          <w:lang w:eastAsia="zh-CN"/>
        </w:rPr>
        <w:t>（11）《皋陶谟》：“禹曰：都！帝，慎乃在位！”</w:t>
      </w:r>
      <w:r>
        <w:rPr>
          <w:rStyle w:val="afc"/>
          <w:rFonts w:cs="楷体" w:hint="eastAsia"/>
          <w:szCs w:val="24"/>
          <w:lang w:eastAsia="zh-CN"/>
        </w:rPr>
        <w:endnoteReference w:id="17"/>
      </w:r>
    </w:p>
    <w:p w14:paraId="33B340A2" w14:textId="77777777" w:rsidR="000D0B2A" w:rsidRDefault="00000000" w:rsidP="00950813">
      <w:pPr>
        <w:pStyle w:val="aff4"/>
      </w:pPr>
      <w:r>
        <w:rPr>
          <w:rFonts w:hint="eastAsia"/>
        </w:rPr>
        <w:t>一共是六个叹词“都”，其意义与作用可分为三类。第一类，例（6）中的“都”，是赞美、赞叹之声。第二类，例（7）、（8）、（9）、（10）中的“都”表示一般性的感叹语气。第三类，例（11）中的“都”表</w:t>
      </w:r>
      <w:r>
        <w:rPr>
          <w:rFonts w:hint="eastAsia"/>
        </w:rPr>
        <w:lastRenderedPageBreak/>
        <w:t>示呼唤的语气，有要求、祈愿、勉励之意</w:t>
      </w:r>
      <w:r>
        <w:rPr>
          <w:rStyle w:val="afc"/>
          <w:rFonts w:cs="宋体" w:hint="eastAsia"/>
          <w:szCs w:val="24"/>
        </w:rPr>
        <w:endnoteReference w:id="18"/>
      </w:r>
      <w:r>
        <w:rPr>
          <w:rFonts w:hint="eastAsia"/>
        </w:rPr>
        <w:t>。三类之中，“敬诸”之“诸”的直接源头应是第三类即例（11）中的“都”。</w:t>
      </w:r>
    </w:p>
    <w:p w14:paraId="7EC34FFA" w14:textId="77777777" w:rsidR="000D0B2A" w:rsidRDefault="00000000">
      <w:pPr>
        <w:pStyle w:val="aff4"/>
        <w:ind w:firstLineChars="200" w:firstLine="560"/>
        <w:rPr>
          <w:rFonts w:cs="宋体"/>
        </w:rPr>
      </w:pPr>
      <w:r>
        <w:rPr>
          <w:rFonts w:cs="宋体" w:hint="eastAsia"/>
        </w:rPr>
        <w:t>其次看“者鲁”，例如：</w:t>
      </w:r>
    </w:p>
    <w:p w14:paraId="25E034D0" w14:textId="77777777" w:rsidR="000D0B2A" w:rsidRDefault="00000000">
      <w:pPr>
        <w:pStyle w:val="aff3"/>
        <w:spacing w:before="540" w:after="540"/>
        <w:ind w:firstLine="496"/>
        <w:rPr>
          <w:rFonts w:cs="楷体"/>
          <w:lang w:eastAsia="zh-CN"/>
        </w:rPr>
      </w:pPr>
      <w:r>
        <w:rPr>
          <w:rFonts w:hint="eastAsia"/>
          <w:lang w:eastAsia="zh-CN"/>
        </w:rPr>
        <w:t>（12）清华简《厚父》：“厚父拜稽首曰:者鲁！天子，故天降下民,设万邦,作之君,作之师,惟曰其助上帝乱下民。”</w:t>
      </w:r>
      <w:r>
        <w:rPr>
          <w:rStyle w:val="afc"/>
          <w:rFonts w:cs="楷体" w:hint="eastAsia"/>
          <w:szCs w:val="24"/>
          <w:lang w:eastAsia="zh-CN"/>
        </w:rPr>
        <w:endnoteReference w:id="19"/>
      </w:r>
    </w:p>
    <w:p w14:paraId="2556E74E" w14:textId="77777777" w:rsidR="000D0B2A" w:rsidRDefault="00000000">
      <w:pPr>
        <w:pStyle w:val="aff3"/>
        <w:spacing w:before="540" w:after="540"/>
        <w:ind w:firstLine="496"/>
        <w:rPr>
          <w:rFonts w:cs="楷体"/>
          <w:lang w:eastAsia="zh-CN"/>
        </w:rPr>
      </w:pPr>
      <w:r>
        <w:rPr>
          <w:rFonts w:hint="eastAsia"/>
          <w:lang w:eastAsia="zh-CN"/>
        </w:rPr>
        <w:t>（13）清华简《四告》（一）：“者鲁！天尹皋繇，配享兹馨香，肆祔血盟，有之二元父羊、父豕、朱鹿，非讨余有周旦。”</w:t>
      </w:r>
    </w:p>
    <w:p w14:paraId="11F469B7" w14:textId="77777777" w:rsidR="000D0B2A" w:rsidRDefault="00000000">
      <w:pPr>
        <w:pStyle w:val="aff3"/>
        <w:spacing w:before="540" w:after="540"/>
        <w:ind w:firstLine="496"/>
        <w:rPr>
          <w:rFonts w:cs="楷体"/>
          <w:lang w:eastAsia="zh-CN"/>
        </w:rPr>
      </w:pPr>
      <w:r>
        <w:rPr>
          <w:rFonts w:hint="eastAsia"/>
          <w:lang w:eastAsia="zh-CN"/>
        </w:rPr>
        <w:t>（14）清华简《四告》（一）：“者鲁！天尹皋繇，毋忍斁哉，</w:t>
      </w:r>
      <w:r>
        <w:rPr>
          <w:rFonts w:hint="eastAsia"/>
          <w:noProof/>
        </w:rPr>
        <w:drawing>
          <wp:inline distT="0" distB="0" distL="0" distR="0" wp14:anchorId="19600EEA" wp14:editId="1528DF5B">
            <wp:extent cx="105410" cy="105410"/>
            <wp:effectExtent l="0" t="0" r="8890" b="889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" cy="10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保王身，广启厥心，示之明猷，渊心优优，毋违朕言，眔余和协。”</w:t>
      </w:r>
      <w:r>
        <w:rPr>
          <w:rStyle w:val="afc"/>
          <w:rFonts w:cs="楷体" w:hint="eastAsia"/>
          <w:szCs w:val="24"/>
          <w:lang w:eastAsia="zh-CN"/>
        </w:rPr>
        <w:endnoteReference w:id="20"/>
      </w:r>
    </w:p>
    <w:p w14:paraId="688844CE" w14:textId="77777777" w:rsidR="000D0B2A" w:rsidRDefault="00000000">
      <w:pPr>
        <w:pStyle w:val="aff5"/>
        <w:ind w:firstLine="560"/>
        <w:rPr>
          <w:rFonts w:cs="宋体"/>
        </w:rPr>
      </w:pPr>
      <w:r>
        <w:rPr>
          <w:rFonts w:cs="宋体" w:hint="eastAsia"/>
        </w:rPr>
        <w:t>在清华简《四告》的（二）、（四）中还有三个“者鲁”，为了避免枝蔓，此处不再赘引。李学勤先生针对《厚父》说:“‘都鲁’是感叹词,也见于清华简尚待整理的另一篇,应即《尚书·尧典》等篇中的‘都’。”</w:t>
      </w:r>
      <w:r>
        <w:rPr>
          <w:rStyle w:val="afc"/>
          <w:rFonts w:cs="宋体" w:hint="eastAsia"/>
          <w:szCs w:val="24"/>
          <w:shd w:val="clear" w:color="auto" w:fill="FFFFFF"/>
        </w:rPr>
        <w:endnoteReference w:id="21"/>
      </w:r>
      <w:r>
        <w:rPr>
          <w:rFonts w:cs="宋体" w:hint="eastAsia"/>
        </w:rPr>
        <w:t>李先生所说另一篇清华简，可能就是《四告》。笔者认为，在各种关于“者鲁”的解释中，李先生的看法最为朴实准确，可以信从。例（12）中的“者鲁”是一个一般性叹词，例（13）、（14）中的“者鲁”有祈愿、要求的意思。从这个意义上看，两例“者鲁”应是“敬诸”之“诸”的源头。</w:t>
      </w:r>
    </w:p>
    <w:p w14:paraId="4EC47CEF" w14:textId="77777777" w:rsidR="000D0B2A" w:rsidRDefault="00000000">
      <w:pPr>
        <w:pStyle w:val="aff5"/>
        <w:ind w:firstLine="560"/>
        <w:rPr>
          <w:rFonts w:cs="宋体"/>
        </w:rPr>
      </w:pPr>
      <w:r>
        <w:rPr>
          <w:rFonts w:cs="宋体" w:hint="eastAsia"/>
        </w:rPr>
        <w:lastRenderedPageBreak/>
        <w:t>裘燮君先生说：“句尾语气词源于叹词，叹词发生在前，句尾语气词发生在后。”</w:t>
      </w:r>
      <w:r>
        <w:rPr>
          <w:rStyle w:val="afc"/>
          <w:rFonts w:cs="宋体" w:hint="eastAsia"/>
          <w:szCs w:val="24"/>
        </w:rPr>
        <w:endnoteReference w:id="22"/>
      </w:r>
      <w:r>
        <w:rPr>
          <w:rFonts w:cs="宋体" w:hint="eastAsia"/>
        </w:rPr>
        <w:t>此其一。其二，叹词向句末语气助词的过渡，需要带有实意的形容词的中转。闻一多先生说：“按句法发展的程序说，带感叹字的句子，应当是由那感叹字滋长出来的。……为什么我们必须这样说呢？因为实字之增加是歌者对于情绪的自觉之表现。感叹字是情绪的发泄，实字是对情绪的形容，分析与解释。前者是冲动的，后者是理智的。由冲动的发泄情绪，到理智的形容，分析，解释情绪，歌者是由主观转入了客观的地位。辨明了感叹字与实字主客的地位，二者的产生谁先谁后，便不言而喻了。”</w:t>
      </w:r>
      <w:r>
        <w:rPr>
          <w:rStyle w:val="afc"/>
          <w:rFonts w:cs="宋体" w:hint="eastAsia"/>
          <w:szCs w:val="24"/>
        </w:rPr>
        <w:endnoteReference w:id="23"/>
      </w:r>
      <w:r>
        <w:rPr>
          <w:rFonts w:cs="宋体" w:hint="eastAsia"/>
        </w:rPr>
        <w:t>由闻、裘二位学者的论述可知，“敬诸”之“敬”就是一个将意义与作用是祈使、劝勉的叹词“都”转变为句末语气助词“诸”的中介。这一发展演变的过程大约如下：</w:t>
      </w:r>
    </w:p>
    <w:p w14:paraId="62F9BE74" w14:textId="77777777" w:rsidR="000D0B2A" w:rsidRDefault="00000000">
      <w:pPr>
        <w:pStyle w:val="aff5"/>
        <w:ind w:firstLine="560"/>
        <w:rPr>
          <w:rFonts w:cs="宋体"/>
        </w:rPr>
      </w:pPr>
      <w:r>
        <w:rPr>
          <w:rFonts w:cs="宋体" w:hint="eastAsia"/>
        </w:rPr>
        <w:t>都（者鲁，叹词）——敬诸（敬哉，助词，短语）——敬之哉（短语）——汝其敬哉，虔卹乃事（镶嵌式句子，清华简《摄命》</w:t>
      </w:r>
      <w:r>
        <w:rPr>
          <w:rStyle w:val="afc"/>
          <w:rFonts w:cs="宋体" w:hint="eastAsia"/>
          <w:szCs w:val="24"/>
        </w:rPr>
        <w:endnoteReference w:id="24"/>
      </w:r>
      <w:r>
        <w:rPr>
          <w:rFonts w:cs="宋体" w:hint="eastAsia"/>
        </w:rPr>
        <w:t>）——虽伊尹、周公，何以加哉（一般性句子）。</w:t>
      </w:r>
    </w:p>
    <w:p w14:paraId="220C5BFB" w14:textId="77777777" w:rsidR="000D0B2A" w:rsidRDefault="00000000">
      <w:pPr>
        <w:pStyle w:val="5"/>
        <w:jc w:val="center"/>
      </w:pPr>
      <w:r>
        <w:rPr>
          <w:rFonts w:hint="eastAsia"/>
        </w:rPr>
        <w:t>四、对《商誓》记录者的推测</w:t>
      </w:r>
    </w:p>
    <w:p w14:paraId="4F317EFB" w14:textId="77777777" w:rsidR="000D0B2A" w:rsidRDefault="00000000">
      <w:pPr>
        <w:pStyle w:val="aff5"/>
        <w:ind w:firstLine="560"/>
        <w:rPr>
          <w:rFonts w:cs="宋体"/>
        </w:rPr>
      </w:pPr>
      <w:r>
        <w:rPr>
          <w:rFonts w:cs="宋体" w:hint="eastAsia"/>
        </w:rPr>
        <w:t>“敬诸”作为短语，只出现在《商誓》中，其他传世与出土文献未见。与之类似的“敬哉”在传世与出土文献中多见，是一个常用词</w:t>
      </w:r>
      <w:r>
        <w:rPr>
          <w:rFonts w:cs="宋体" w:hint="eastAsia"/>
        </w:rPr>
        <w:lastRenderedPageBreak/>
        <w:t>语。例如：叔</w:t>
      </w:r>
      <w:r>
        <w:rPr>
          <w:rFonts w:cs="宋体" w:hint="eastAsia"/>
          <w:noProof/>
        </w:rPr>
        <w:drawing>
          <wp:inline distT="0" distB="0" distL="114300" distR="114300" wp14:anchorId="5C0D7050" wp14:editId="0A9A8721">
            <wp:extent cx="152400" cy="161925"/>
            <wp:effectExtent l="0" t="0" r="0" b="952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父卣（西周早期，《集成》10.5428）中的“叔</w:t>
      </w:r>
      <w:r>
        <w:rPr>
          <w:rFonts w:cs="宋体" w:hint="eastAsia"/>
          <w:noProof/>
        </w:rPr>
        <w:drawing>
          <wp:inline distT="0" distB="0" distL="114300" distR="114300" wp14:anchorId="653EBD33" wp14:editId="32ED40EB">
            <wp:extent cx="153035" cy="161925"/>
            <wp:effectExtent l="0" t="0" r="18415" b="9525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3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父曰：……呜呼，</w:t>
      </w:r>
      <w:r>
        <w:rPr>
          <w:rFonts w:cs="宋体" w:hint="eastAsia"/>
          <w:noProof/>
        </w:rPr>
        <w:drawing>
          <wp:inline distT="0" distB="0" distL="114300" distR="114300" wp14:anchorId="52E046B8" wp14:editId="0105E866">
            <wp:extent cx="170815" cy="161925"/>
            <wp:effectExtent l="0" t="0" r="635" b="952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081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</w:rPr>
        <w:t>，敬哉！兹小彝妹吹，见余，唯用其啐汝”</w:t>
      </w:r>
      <w:r>
        <w:rPr>
          <w:rStyle w:val="afc"/>
          <w:rFonts w:cs="宋体" w:hint="eastAsia"/>
        </w:rPr>
        <w:endnoteReference w:id="25"/>
      </w:r>
      <w:r>
        <w:rPr>
          <w:rFonts w:cs="宋体" w:hint="eastAsia"/>
        </w:rPr>
        <w:t>；今本《逸周书·和寤》中的“王曰：呜呼，敬之哉！无竞惟人，人允忠”</w:t>
      </w:r>
      <w:r>
        <w:rPr>
          <w:rStyle w:val="afc"/>
          <w:rFonts w:cs="宋体" w:hint="eastAsia"/>
          <w:szCs w:val="24"/>
        </w:rPr>
        <w:endnoteReference w:id="26"/>
      </w:r>
      <w:r>
        <w:rPr>
          <w:rFonts w:cs="宋体" w:hint="eastAsia"/>
        </w:rPr>
        <w:t>；《尚书·康诰》中的“王曰：封，敬哉！无作怨，勿用非谋非彝蔽时忱，丕则敏德”</w:t>
      </w:r>
      <w:r>
        <w:rPr>
          <w:rStyle w:val="afc"/>
          <w:rFonts w:cs="宋体" w:hint="eastAsia"/>
        </w:rPr>
        <w:endnoteReference w:id="27"/>
      </w:r>
      <w:r>
        <w:rPr>
          <w:rFonts w:cs="宋体" w:hint="eastAsia"/>
        </w:rPr>
        <w:t>；清华简《摄命》中的“王曰：摄，敬哉！毋闭于乃唯冲子小子”</w:t>
      </w:r>
      <w:r>
        <w:rPr>
          <w:rStyle w:val="afc"/>
          <w:rFonts w:cs="宋体" w:hint="eastAsia"/>
          <w:szCs w:val="24"/>
        </w:rPr>
        <w:endnoteReference w:id="28"/>
      </w:r>
      <w:r>
        <w:rPr>
          <w:rFonts w:cs="宋体" w:hint="eastAsia"/>
        </w:rPr>
        <w:t>等等。对此，我们不禁要问，“敬诸”作为一种语言现象只出现在《商誓》之中，为什么？</w:t>
      </w:r>
    </w:p>
    <w:p w14:paraId="38E13202" w14:textId="77777777" w:rsidR="000D0B2A" w:rsidRDefault="00000000">
      <w:pPr>
        <w:pStyle w:val="aff5"/>
        <w:ind w:firstLine="560"/>
        <w:rPr>
          <w:rFonts w:cs="宋体"/>
        </w:rPr>
      </w:pPr>
      <w:r>
        <w:rPr>
          <w:rFonts w:cs="宋体" w:hint="eastAsia"/>
        </w:rPr>
        <w:t>梳理上文列举的“敬诸”等辞例，我们发现，早期文献中将“诸”作为句末语气助词来使用的人物的国别，主要是东方的邶、鲁、齐。邶，是殷商后期商人的核心地区，鲁、齐深受商人文化的影响。因此笔者推测，《商誓》中的“敬诸”可能是当时东方地区的语言，而尤以商人王畿地区语言的可能性为最大。那么，在商周鼎革之际弃商投周并作了周太史的辛甲大夫，或许是这次武王讲话的记录者，由此形成了带有商人王畿地区语言特点的《商誓》文本</w:t>
      </w:r>
      <w:r>
        <w:rPr>
          <w:rStyle w:val="afc"/>
          <w:rFonts w:cs="宋体" w:hint="eastAsia"/>
          <w:szCs w:val="24"/>
        </w:rPr>
        <w:endnoteReference w:id="29"/>
      </w:r>
      <w:r>
        <w:rPr>
          <w:rFonts w:cs="宋体" w:hint="eastAsia"/>
        </w:rPr>
        <w:t>。</w:t>
      </w:r>
    </w:p>
    <w:p w14:paraId="324853DD" w14:textId="77777777" w:rsidR="000D0B2A" w:rsidRDefault="00000000">
      <w:pPr>
        <w:pStyle w:val="aff5"/>
        <w:ind w:firstLine="560"/>
        <w:rPr>
          <w:rFonts w:cs="宋体"/>
        </w:rPr>
      </w:pPr>
      <w:r>
        <w:rPr>
          <w:rFonts w:cs="宋体" w:hint="eastAsia"/>
        </w:rPr>
        <w:t>同样的原因，《尧典》、《皋陶谟》作为“稽古”的作品，最有可能出于齐鲁儒家之手，因此使用了西方国家未曾使用的春秋战国时代已经废止了的叹词“都”。这些“都”应该出自较为原始的学者用以“稽古”的素材。因此，《尧典》、《皋陶谟》虽然晚出，文本与素材</w:t>
      </w:r>
      <w:r>
        <w:rPr>
          <w:rFonts w:cs="宋体" w:hint="eastAsia"/>
        </w:rPr>
        <w:lastRenderedPageBreak/>
        <w:t>存在背离的现象，但从材料时代的角度看，无疑“都”在前，“敬诸”在后，从而与语法的发展同步，共同形成华夏民族的早期语言源流（之一）。</w:t>
      </w:r>
    </w:p>
    <w:bookmarkEnd w:id="0"/>
    <w:p w14:paraId="1BC616A9" w14:textId="77777777" w:rsidR="000D0B2A" w:rsidRDefault="000D0B2A">
      <w:pPr>
        <w:pStyle w:val="aff5"/>
        <w:ind w:firstLine="560"/>
      </w:pPr>
    </w:p>
    <w:sectPr w:rsidR="000D0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6FA99" w14:textId="77777777" w:rsidR="00C1646B" w:rsidRDefault="00C1646B">
      <w:r>
        <w:separator/>
      </w:r>
    </w:p>
  </w:endnote>
  <w:endnote w:type="continuationSeparator" w:id="0">
    <w:p w14:paraId="679AC39D" w14:textId="77777777" w:rsidR="00C1646B" w:rsidRDefault="00C1646B">
      <w:r>
        <w:continuationSeparator/>
      </w:r>
    </w:p>
  </w:endnote>
  <w:endnote w:id="1">
    <w:p w14:paraId="3626543C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asciiTheme="minorEastAsia" w:eastAsiaTheme="minorEastAsia" w:hAnsiTheme="minorEastAsia" w:cstheme="minorEastAsia" w:hint="eastAsia"/>
        </w:rPr>
        <w:endnoteRef/>
      </w:r>
      <w:r>
        <w:rPr>
          <w:rFonts w:asciiTheme="minorEastAsia" w:eastAsiaTheme="minorEastAsia" w:hAnsiTheme="minorEastAsia" w:cstheme="minorEastAsia" w:hint="eastAsia"/>
        </w:rPr>
        <w:t xml:space="preserve"> </w:t>
      </w:r>
      <w:r>
        <w:rPr>
          <w:rFonts w:cs="宋体" w:hint="eastAsia"/>
          <w:sz w:val="21"/>
          <w:szCs w:val="21"/>
        </w:rPr>
        <w:t>张怀通：《&lt;商誓&gt;与武王征会典礼——兼论商周时代的王政》，《中原文化研究》2023年第2期。</w:t>
      </w:r>
    </w:p>
  </w:endnote>
  <w:endnote w:id="2">
    <w:p w14:paraId="777A424F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李学勤：《&lt;商誓&gt;篇研究》，《古文献丛论》，北京，中国人民大学出版社，2010年。</w:t>
      </w:r>
    </w:p>
  </w:endnote>
  <w:endnote w:id="3">
    <w:p w14:paraId="284EB99A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孔晁注、程荣校：《逸周书》，长春，吉林大学出版社，1992年，第278-279页。</w:t>
      </w:r>
    </w:p>
    <w:p w14:paraId="6F3307CF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笔者按：上引第四条材料中的“敬请【诸】”，依据的是庄述祖的主张。丁宗洛、朱右曾认为应是“诰”，不符合文例，不予采纳。学者观点俱见黄怀信等《逸周书汇校集注》（修订本），上海，上海古籍出版社，2007年，第464页。</w:t>
      </w:r>
    </w:p>
  </w:endnote>
  <w:endnote w:id="4">
    <w:p w14:paraId="13BF7940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唐大沛：《逸周书分编句释》，宋志英、晁岳佩选编《&lt;逸周书&gt;研究文献辑刊》（七），北京，国家图书馆出版社，2015年，第47页。</w:t>
      </w:r>
    </w:p>
  </w:endnote>
  <w:endnote w:id="5">
    <w:p w14:paraId="339B5934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黄怀信：《逸周书校补注译》（修订本），西安，三秦出版社，2006年，第208页。</w:t>
      </w:r>
    </w:p>
  </w:endnote>
  <w:endnote w:id="6">
    <w:p w14:paraId="69B9E845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汪荣宝撰、陈仲夫点校：《法言义疏》，北京，中华书局，1987年，第200页。</w:t>
      </w:r>
    </w:p>
  </w:endnote>
  <w:endnote w:id="7">
    <w:p w14:paraId="1C108ABE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司马迁：《史记》，北京，中华书局，1982年，第2080页。</w:t>
      </w:r>
    </w:p>
  </w:endnote>
  <w:endnote w:id="8">
    <w:p w14:paraId="41A74F2C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杨伯峻：《春秋左传注》（修订本），北京，中华书局，1990年，第1147-1148、959页。</w:t>
      </w:r>
    </w:p>
  </w:endnote>
  <w:endnote w:id="9">
    <w:p w14:paraId="4A953502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裴学海：《古书虚字集释》，北京，中华书局，1954年，第766页。</w:t>
      </w:r>
    </w:p>
    <w:p w14:paraId="591F6863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笔者按：此处所引辞例，皆出自裴学海先生的《古书虚字集释》（北京，中华书局，1954年）。大家也可以参看宗福邦等主编《故训汇纂》（北京，商务印书馆，2007年，第3977-3979、3414、4354-4355页）中的关于“诸”、“者”、“都”的各种训释。请大家明鉴。</w:t>
      </w:r>
    </w:p>
  </w:endnote>
  <w:endnote w:id="10">
    <w:p w14:paraId="24F495ED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裴学海：《古书虚字集释》，北京，中华书局，1954年，第763、757、758页。</w:t>
      </w:r>
    </w:p>
  </w:endnote>
  <w:endnote w:id="11">
    <w:p w14:paraId="56287785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杨伯峻：《春秋左传注》（修订本），北京，中华书局，1990年，第540页。</w:t>
      </w:r>
    </w:p>
  </w:endnote>
  <w:endnote w:id="12">
    <w:p w14:paraId="697DFBA9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毛亨传、郑玄笺、孔颖达疏：《毛诗正义》，阮元校刻《十三经注疏》，北京，中华书局，1980年，第298页。</w:t>
      </w:r>
    </w:p>
  </w:endnote>
  <w:endnote w:id="13">
    <w:p w14:paraId="212C7423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杨伯峻：《论语译注》，北京，中华书局，1980年，第187页。</w:t>
      </w:r>
    </w:p>
  </w:endnote>
  <w:endnote w:id="14">
    <w:p w14:paraId="41703237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裴学海：《古书虚字集释》，北京，中华书局，1954年，第757页。</w:t>
      </w:r>
    </w:p>
  </w:endnote>
  <w:endnote w:id="15">
    <w:p w14:paraId="0843371C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毛亨传、郑玄笺、孔颖达疏：《毛诗正义》，阮元校刻《十三经注疏》，北京，中华书局，1980年，第298页。</w:t>
      </w:r>
    </w:p>
  </w:endnote>
  <w:endnote w:id="16">
    <w:p w14:paraId="15A5D975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杨筠如：《尚书核诂》，西安，陕西人民出版社，1959年，第11页。</w:t>
      </w:r>
    </w:p>
  </w:endnote>
  <w:endnote w:id="17">
    <w:p w14:paraId="16941E65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杨筠如：《尚书核诂》，西安，陕西人民出版社，1959年，第30、31、32、37、40页。</w:t>
      </w:r>
    </w:p>
  </w:endnote>
  <w:endnote w:id="18">
    <w:p w14:paraId="4B5EC7B5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钱宗武：《今文尚书语法研究》，北京，商务印书馆，2004年，第337页。</w:t>
      </w:r>
    </w:p>
  </w:endnote>
  <w:endnote w:id="19">
    <w:p w14:paraId="0E203B61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清华大学出土文献研究与保护中心编、李学勤主编：《清华大学藏战国竹简》（伍），上海，中西书局，2015年，第110页。</w:t>
      </w:r>
    </w:p>
  </w:endnote>
  <w:endnote w:id="20">
    <w:p w14:paraId="0592BCCD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清华大学出土文献研究与保护中心编、李学勤主编：《清华大学藏战国竹简》（拾），上海，中西书局，2020年，第110、111页。</w:t>
      </w:r>
    </w:p>
  </w:endnote>
  <w:endnote w:id="21">
    <w:p w14:paraId="6961BFAA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李学勤：《清华简〈厚父〉与〈孟子〉引〈书〉》，《清华简及古代文明》，南昌，江西教育出版社，2017年。</w:t>
      </w:r>
    </w:p>
  </w:endnote>
  <w:endnote w:id="22">
    <w:p w14:paraId="6602C9A0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裘燮君：《商周虚词研究》，北京，中华书局，2008年，第132页。</w:t>
      </w:r>
    </w:p>
  </w:endnote>
  <w:endnote w:id="23">
    <w:p w14:paraId="13FDFC68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闻一多：《歌与诗》，孙党伯、袁謇正主编《闻一多全集·文学史编》，武汉，湖北人民出版社，1993年。</w:t>
      </w:r>
    </w:p>
  </w:endnote>
  <w:endnote w:id="24">
    <w:p w14:paraId="11C8F03C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清华大学出土文献研究与保护中心编、李学勤主编：《清华大学藏战国竹简》（捌），上海，中西书局，2018年，第110页。</w:t>
      </w:r>
    </w:p>
  </w:endnote>
  <w:endnote w:id="25">
    <w:p w14:paraId="64B4E817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李学勤：《元氏青铜器与西周的邢国》，《新出青铜器研究》（增订本），北京，人民美术出版社，2016年。</w:t>
      </w:r>
    </w:p>
  </w:endnote>
  <w:endnote w:id="26">
    <w:p w14:paraId="0B38A056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朱右曾：《逸周书集训校释》，宋志英、晁岳佩选编《&lt;逸周书&gt;研究文献辑刊》（八），北京，国家图书馆出版社，2015年，第87页。</w:t>
      </w:r>
    </w:p>
  </w:endnote>
  <w:endnote w:id="27">
    <w:p w14:paraId="166BBEE3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杨筠如：《尚书核诂》，西安，陕西人民出版社，1959年，第182页。</w:t>
      </w:r>
    </w:p>
  </w:endnote>
  <w:endnote w:id="28">
    <w:p w14:paraId="3E86D46B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清华大学出土文献研究与保护中心编、李学勤主编：《清华大学藏战国竹简》（捌），上海，中西书局，2018年，第110页。</w:t>
      </w:r>
    </w:p>
  </w:endnote>
  <w:endnote w:id="29">
    <w:p w14:paraId="558FF16D" w14:textId="77777777" w:rsidR="000D0B2A" w:rsidRDefault="00000000">
      <w:pPr>
        <w:pStyle w:val="ae"/>
        <w:rPr>
          <w:rFonts w:cs="宋体"/>
          <w:sz w:val="21"/>
          <w:szCs w:val="21"/>
        </w:rPr>
      </w:pPr>
      <w:r>
        <w:rPr>
          <w:rStyle w:val="afc"/>
          <w:rFonts w:cs="宋体" w:hint="eastAsia"/>
          <w:sz w:val="21"/>
          <w:szCs w:val="21"/>
        </w:rPr>
        <w:endnoteRef/>
      </w:r>
      <w:r>
        <w:rPr>
          <w:rFonts w:cs="宋体" w:hint="eastAsia"/>
          <w:sz w:val="21"/>
          <w:szCs w:val="21"/>
        </w:rPr>
        <w:t xml:space="preserve"> 笔者按：《商誓》云：“王曰：靃！予天命维既咸，汝克承天休于我有周，斯小国于有命不易。”其中的“靃”是一个叹词，在其他“尚书”类文献中未见，但商末甲骨文中有这个字，作“</w:t>
      </w:r>
      <w:r>
        <w:rPr>
          <w:rFonts w:cs="宋体" w:hint="eastAsia"/>
          <w:noProof/>
          <w:sz w:val="21"/>
          <w:szCs w:val="21"/>
        </w:rPr>
        <w:drawing>
          <wp:inline distT="0" distB="0" distL="114300" distR="114300" wp14:anchorId="75DDBA26" wp14:editId="563B310D">
            <wp:extent cx="121920" cy="121920"/>
            <wp:effectExtent l="0" t="0" r="1143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  <w:sz w:val="21"/>
          <w:szCs w:val="21"/>
        </w:rPr>
        <w:t>”（《合集》35887）形，是一个地名。这或可证明《商誓》记录者所使用的语言确实与商人有关。</w:t>
      </w:r>
    </w:p>
    <w:p w14:paraId="0E2DB34C" w14:textId="77777777" w:rsidR="000D0B2A" w:rsidRDefault="00000000">
      <w:pPr>
        <w:pStyle w:val="ae"/>
      </w:pPr>
      <w:r>
        <w:rPr>
          <w:rFonts w:cs="宋体" w:hint="eastAsia"/>
          <w:sz w:val="21"/>
          <w:szCs w:val="21"/>
        </w:rPr>
        <w:t>再：在学者公认的周人文献中，《商誓》在时间上是第一篇，也是西周开国第一篇。此前的记载牧野之战经过及善后事宜的《克殷》，有纪事本末体的特征，应是事后在原始档案基础上编辑加工而来，这意味着《克殷》所载史实在前，而形成在《商誓》之后。今本《逸周书》中的《大开》、《宝典》，清华简《保训》等文王武王篇章，文本中都有一些令人疑惑的地方，可能是经后人整理构拟而来，这意味着它们的形成更在《商誓》之后。《商誓》相对于此前的文武篇章，无论是记录水平，还是语言运用水平，一下子提高了一大截儿，这个提升的高度与速度，用“陡然”形容，一点都不过分。个中原因，或与辛甲大夫的投奔有莫大关系。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经典繁超宋">
    <w:altName w:val="宋体"/>
    <w:charset w:val="86"/>
    <w:family w:val="modern"/>
    <w:pitch w:val="default"/>
    <w:sig w:usb0="00000000" w:usb1="00000000" w:usb2="0000001E" w:usb3="00000000" w:csb0="00040000" w:csb1="00000000"/>
  </w:font>
  <w:font w:name="宋体-方正超大字符集">
    <w:altName w:val="宋体"/>
    <w:charset w:val="86"/>
    <w:family w:val="script"/>
    <w:pitch w:val="default"/>
    <w:sig w:usb0="00000000" w:usb1="00000000" w:usb2="00000010" w:usb3="00000000" w:csb0="00040000" w:csb1="00000000"/>
  </w:font>
  <w:font w:name="控呇湮佽恅苤蚼">
    <w:altName w:val="PMingLiU-ExtB"/>
    <w:charset w:val="88"/>
    <w:family w:val="modern"/>
    <w:pitch w:val="default"/>
    <w:sig w:usb0="00000000" w:usb1="00000000" w:usb2="00000010" w:usb3="00000000" w:csb0="0010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金文宋體">
    <w:altName w:val="宋体"/>
    <w:charset w:val="86"/>
    <w:family w:val="modern"/>
    <w:pitch w:val="default"/>
    <w:sig w:usb0="00000000" w:usb1="00000000" w:usb2="00000010" w:usb3="00000000" w:csb0="000C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7A31" w14:textId="77777777" w:rsidR="000D0B2A" w:rsidRDefault="00000000">
    <w:pPr>
      <w:pStyle w:val="af1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7C465362" w14:textId="77777777" w:rsidR="000D0B2A" w:rsidRDefault="000D0B2A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B9B33" w14:textId="77777777" w:rsidR="000D0B2A" w:rsidRDefault="00000000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3年2月24日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202</w:t>
    </w:r>
    <w:r>
      <w:rPr>
        <w:rFonts w:hint="eastAsia"/>
        <w:sz w:val="18"/>
        <w:szCs w:val="18"/>
      </w:rPr>
      <w:t>3年2月26日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3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8</w:t>
    </w:r>
    <w:r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98BB1" w14:textId="77777777" w:rsidR="009200E0" w:rsidRDefault="009200E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E4B61" w14:textId="77777777" w:rsidR="00C1646B" w:rsidRDefault="00C1646B">
      <w:r>
        <w:separator/>
      </w:r>
    </w:p>
  </w:footnote>
  <w:footnote w:type="continuationSeparator" w:id="0">
    <w:p w14:paraId="6A95869C" w14:textId="77777777" w:rsidR="00C1646B" w:rsidRDefault="00C16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0C79" w14:textId="77777777" w:rsidR="009200E0" w:rsidRDefault="009200E0">
    <w:pPr>
      <w:pStyle w:val="af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06C2" w14:textId="77777777" w:rsidR="000D0B2A" w:rsidRDefault="00000000">
    <w:pPr>
      <w:pStyle w:val="af3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299912F9" w14:textId="5DC9E44A" w:rsidR="000D0B2A" w:rsidRDefault="00000000">
    <w:pPr>
      <w:pStyle w:val="af3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9200E0">
      <w:t>1001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4FCEC" w14:textId="77777777" w:rsidR="009200E0" w:rsidRDefault="009200E0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TY5ZDE1YzljMGRkYmEyM2EyOWFmNjMyNDEwMGZjMDIifQ=="/>
  </w:docVars>
  <w:rsids>
    <w:rsidRoot w:val="00CB0024"/>
    <w:rsid w:val="00003788"/>
    <w:rsid w:val="000038DD"/>
    <w:rsid w:val="00006D1D"/>
    <w:rsid w:val="00011970"/>
    <w:rsid w:val="00012A78"/>
    <w:rsid w:val="000133A5"/>
    <w:rsid w:val="0001730A"/>
    <w:rsid w:val="00017F20"/>
    <w:rsid w:val="00021234"/>
    <w:rsid w:val="00022497"/>
    <w:rsid w:val="000269A2"/>
    <w:rsid w:val="0003057F"/>
    <w:rsid w:val="00031027"/>
    <w:rsid w:val="00032E60"/>
    <w:rsid w:val="00033997"/>
    <w:rsid w:val="00033F9D"/>
    <w:rsid w:val="00035922"/>
    <w:rsid w:val="00037D45"/>
    <w:rsid w:val="00041E3D"/>
    <w:rsid w:val="00043973"/>
    <w:rsid w:val="0004553B"/>
    <w:rsid w:val="00050E7C"/>
    <w:rsid w:val="00051CC3"/>
    <w:rsid w:val="000626A6"/>
    <w:rsid w:val="00062FE9"/>
    <w:rsid w:val="00063A25"/>
    <w:rsid w:val="00066107"/>
    <w:rsid w:val="0006648C"/>
    <w:rsid w:val="00073508"/>
    <w:rsid w:val="00076F82"/>
    <w:rsid w:val="00077C36"/>
    <w:rsid w:val="00084150"/>
    <w:rsid w:val="0008479B"/>
    <w:rsid w:val="000860FF"/>
    <w:rsid w:val="000A4A8F"/>
    <w:rsid w:val="000B02C6"/>
    <w:rsid w:val="000B20F1"/>
    <w:rsid w:val="000B3534"/>
    <w:rsid w:val="000B3E82"/>
    <w:rsid w:val="000B4C47"/>
    <w:rsid w:val="000B7803"/>
    <w:rsid w:val="000C306D"/>
    <w:rsid w:val="000C439A"/>
    <w:rsid w:val="000C6DDF"/>
    <w:rsid w:val="000D0719"/>
    <w:rsid w:val="000D0B2A"/>
    <w:rsid w:val="000D135F"/>
    <w:rsid w:val="000D13F8"/>
    <w:rsid w:val="000D5531"/>
    <w:rsid w:val="000D6B61"/>
    <w:rsid w:val="000E2C1A"/>
    <w:rsid w:val="000E2C87"/>
    <w:rsid w:val="000E3AF3"/>
    <w:rsid w:val="000E4237"/>
    <w:rsid w:val="000E738A"/>
    <w:rsid w:val="000E7C8B"/>
    <w:rsid w:val="000F0036"/>
    <w:rsid w:val="000F28A8"/>
    <w:rsid w:val="000F2B65"/>
    <w:rsid w:val="000F4BED"/>
    <w:rsid w:val="000F6F48"/>
    <w:rsid w:val="00102E1C"/>
    <w:rsid w:val="00104E73"/>
    <w:rsid w:val="00110B5F"/>
    <w:rsid w:val="00112DD9"/>
    <w:rsid w:val="00116C85"/>
    <w:rsid w:val="0012030A"/>
    <w:rsid w:val="00131D4E"/>
    <w:rsid w:val="001332B7"/>
    <w:rsid w:val="001347BB"/>
    <w:rsid w:val="00140894"/>
    <w:rsid w:val="001433AC"/>
    <w:rsid w:val="0014382E"/>
    <w:rsid w:val="001450B7"/>
    <w:rsid w:val="001500E3"/>
    <w:rsid w:val="00154CEE"/>
    <w:rsid w:val="00156D70"/>
    <w:rsid w:val="001641C2"/>
    <w:rsid w:val="00164C7B"/>
    <w:rsid w:val="00167A77"/>
    <w:rsid w:val="00167A7A"/>
    <w:rsid w:val="00170566"/>
    <w:rsid w:val="001712CA"/>
    <w:rsid w:val="001726A6"/>
    <w:rsid w:val="001801DC"/>
    <w:rsid w:val="0018778C"/>
    <w:rsid w:val="001938D1"/>
    <w:rsid w:val="00194437"/>
    <w:rsid w:val="00194702"/>
    <w:rsid w:val="001957D4"/>
    <w:rsid w:val="00195BA5"/>
    <w:rsid w:val="00196304"/>
    <w:rsid w:val="0019751F"/>
    <w:rsid w:val="001A02A8"/>
    <w:rsid w:val="001A19B2"/>
    <w:rsid w:val="001A4915"/>
    <w:rsid w:val="001A5188"/>
    <w:rsid w:val="001B293E"/>
    <w:rsid w:val="001B3E07"/>
    <w:rsid w:val="001B4395"/>
    <w:rsid w:val="001B492F"/>
    <w:rsid w:val="001B4FFD"/>
    <w:rsid w:val="001B682E"/>
    <w:rsid w:val="001B710F"/>
    <w:rsid w:val="001C0EEC"/>
    <w:rsid w:val="001C5F88"/>
    <w:rsid w:val="001D1713"/>
    <w:rsid w:val="001D2B45"/>
    <w:rsid w:val="001D427D"/>
    <w:rsid w:val="001D4E56"/>
    <w:rsid w:val="001D786F"/>
    <w:rsid w:val="001E6598"/>
    <w:rsid w:val="001E6D43"/>
    <w:rsid w:val="001F1BFC"/>
    <w:rsid w:val="001F6F0F"/>
    <w:rsid w:val="00211416"/>
    <w:rsid w:val="00214B92"/>
    <w:rsid w:val="00216AB7"/>
    <w:rsid w:val="002211DE"/>
    <w:rsid w:val="002262DD"/>
    <w:rsid w:val="00230ADF"/>
    <w:rsid w:val="00231125"/>
    <w:rsid w:val="002346A0"/>
    <w:rsid w:val="00237037"/>
    <w:rsid w:val="002372F1"/>
    <w:rsid w:val="00240D78"/>
    <w:rsid w:val="00240EAB"/>
    <w:rsid w:val="00243FD0"/>
    <w:rsid w:val="0024748E"/>
    <w:rsid w:val="0025043C"/>
    <w:rsid w:val="00253015"/>
    <w:rsid w:val="002546C2"/>
    <w:rsid w:val="0027142D"/>
    <w:rsid w:val="002732E6"/>
    <w:rsid w:val="0027743E"/>
    <w:rsid w:val="002819AA"/>
    <w:rsid w:val="0028213F"/>
    <w:rsid w:val="00283EDC"/>
    <w:rsid w:val="0028564F"/>
    <w:rsid w:val="00291D8E"/>
    <w:rsid w:val="00292887"/>
    <w:rsid w:val="00292EE5"/>
    <w:rsid w:val="00294EE4"/>
    <w:rsid w:val="00294FD3"/>
    <w:rsid w:val="002963F1"/>
    <w:rsid w:val="002A0E2F"/>
    <w:rsid w:val="002A1C81"/>
    <w:rsid w:val="002A1D71"/>
    <w:rsid w:val="002A5820"/>
    <w:rsid w:val="002A6194"/>
    <w:rsid w:val="002A746C"/>
    <w:rsid w:val="002B32DA"/>
    <w:rsid w:val="002C4C02"/>
    <w:rsid w:val="002C668C"/>
    <w:rsid w:val="002C70BF"/>
    <w:rsid w:val="002C7445"/>
    <w:rsid w:val="002C7CEA"/>
    <w:rsid w:val="002D039D"/>
    <w:rsid w:val="002D4626"/>
    <w:rsid w:val="002D5CCD"/>
    <w:rsid w:val="002D74D8"/>
    <w:rsid w:val="002E2792"/>
    <w:rsid w:val="002E503F"/>
    <w:rsid w:val="002F1FE6"/>
    <w:rsid w:val="002F2D81"/>
    <w:rsid w:val="00300BB1"/>
    <w:rsid w:val="00303DD2"/>
    <w:rsid w:val="0030510A"/>
    <w:rsid w:val="00311E98"/>
    <w:rsid w:val="00313A1D"/>
    <w:rsid w:val="0031705D"/>
    <w:rsid w:val="00317DBF"/>
    <w:rsid w:val="00317E80"/>
    <w:rsid w:val="00321472"/>
    <w:rsid w:val="00321EBC"/>
    <w:rsid w:val="00324A0C"/>
    <w:rsid w:val="003254FE"/>
    <w:rsid w:val="00330794"/>
    <w:rsid w:val="00332FF4"/>
    <w:rsid w:val="00334313"/>
    <w:rsid w:val="00334D88"/>
    <w:rsid w:val="0033589E"/>
    <w:rsid w:val="003367D1"/>
    <w:rsid w:val="00347F61"/>
    <w:rsid w:val="003516DF"/>
    <w:rsid w:val="003541B9"/>
    <w:rsid w:val="00355808"/>
    <w:rsid w:val="0036013B"/>
    <w:rsid w:val="003637BF"/>
    <w:rsid w:val="00364E7A"/>
    <w:rsid w:val="003657B7"/>
    <w:rsid w:val="00365AA8"/>
    <w:rsid w:val="00373178"/>
    <w:rsid w:val="00375FA4"/>
    <w:rsid w:val="00376418"/>
    <w:rsid w:val="00377962"/>
    <w:rsid w:val="003804C5"/>
    <w:rsid w:val="00380E0F"/>
    <w:rsid w:val="00382F27"/>
    <w:rsid w:val="00384194"/>
    <w:rsid w:val="00390262"/>
    <w:rsid w:val="003914E2"/>
    <w:rsid w:val="00394082"/>
    <w:rsid w:val="00395D81"/>
    <w:rsid w:val="00397D77"/>
    <w:rsid w:val="003A0D1A"/>
    <w:rsid w:val="003A7B90"/>
    <w:rsid w:val="003B45B0"/>
    <w:rsid w:val="003B5515"/>
    <w:rsid w:val="003C12E0"/>
    <w:rsid w:val="003C3289"/>
    <w:rsid w:val="003C4800"/>
    <w:rsid w:val="003C4D06"/>
    <w:rsid w:val="003C57BB"/>
    <w:rsid w:val="003C62CD"/>
    <w:rsid w:val="003D46B8"/>
    <w:rsid w:val="003D5DF4"/>
    <w:rsid w:val="003E1354"/>
    <w:rsid w:val="003E1502"/>
    <w:rsid w:val="003E1E5C"/>
    <w:rsid w:val="003E5FD9"/>
    <w:rsid w:val="003E6BB9"/>
    <w:rsid w:val="003F2D79"/>
    <w:rsid w:val="003F5354"/>
    <w:rsid w:val="003F604F"/>
    <w:rsid w:val="003F6BBD"/>
    <w:rsid w:val="00403C1D"/>
    <w:rsid w:val="0040573D"/>
    <w:rsid w:val="004127DD"/>
    <w:rsid w:val="00417F20"/>
    <w:rsid w:val="00420CE9"/>
    <w:rsid w:val="00430178"/>
    <w:rsid w:val="0043067E"/>
    <w:rsid w:val="00430CA7"/>
    <w:rsid w:val="00430F52"/>
    <w:rsid w:val="00431BEA"/>
    <w:rsid w:val="00440BE0"/>
    <w:rsid w:val="0044129F"/>
    <w:rsid w:val="00445B35"/>
    <w:rsid w:val="004555EF"/>
    <w:rsid w:val="00456FAD"/>
    <w:rsid w:val="004628E8"/>
    <w:rsid w:val="004634C4"/>
    <w:rsid w:val="0046380B"/>
    <w:rsid w:val="00466A1C"/>
    <w:rsid w:val="00471E95"/>
    <w:rsid w:val="004725B4"/>
    <w:rsid w:val="004756A5"/>
    <w:rsid w:val="0048364F"/>
    <w:rsid w:val="00483CD8"/>
    <w:rsid w:val="004860A2"/>
    <w:rsid w:val="004918C3"/>
    <w:rsid w:val="004975C8"/>
    <w:rsid w:val="004A0388"/>
    <w:rsid w:val="004A1861"/>
    <w:rsid w:val="004A2C87"/>
    <w:rsid w:val="004A7E18"/>
    <w:rsid w:val="004B0674"/>
    <w:rsid w:val="004B0D90"/>
    <w:rsid w:val="004B12DE"/>
    <w:rsid w:val="004B405F"/>
    <w:rsid w:val="004B4723"/>
    <w:rsid w:val="004D1FA3"/>
    <w:rsid w:val="004D4C84"/>
    <w:rsid w:val="004D57DB"/>
    <w:rsid w:val="004E0A07"/>
    <w:rsid w:val="004E264D"/>
    <w:rsid w:val="004E6445"/>
    <w:rsid w:val="004E654E"/>
    <w:rsid w:val="004E6E8E"/>
    <w:rsid w:val="004F09C9"/>
    <w:rsid w:val="004F11D3"/>
    <w:rsid w:val="004F244C"/>
    <w:rsid w:val="004F4CF4"/>
    <w:rsid w:val="004F62FC"/>
    <w:rsid w:val="00503A9E"/>
    <w:rsid w:val="005051B7"/>
    <w:rsid w:val="0051092B"/>
    <w:rsid w:val="0051265D"/>
    <w:rsid w:val="00513092"/>
    <w:rsid w:val="0051587D"/>
    <w:rsid w:val="00515C06"/>
    <w:rsid w:val="0051605E"/>
    <w:rsid w:val="005169A1"/>
    <w:rsid w:val="00516D8D"/>
    <w:rsid w:val="00517428"/>
    <w:rsid w:val="0052033E"/>
    <w:rsid w:val="00520A7B"/>
    <w:rsid w:val="005268F5"/>
    <w:rsid w:val="005308E6"/>
    <w:rsid w:val="00531EA3"/>
    <w:rsid w:val="0053295D"/>
    <w:rsid w:val="0053723F"/>
    <w:rsid w:val="00541E3D"/>
    <w:rsid w:val="00542D51"/>
    <w:rsid w:val="005444A2"/>
    <w:rsid w:val="005465C3"/>
    <w:rsid w:val="00546876"/>
    <w:rsid w:val="005536B1"/>
    <w:rsid w:val="005549F6"/>
    <w:rsid w:val="00560EBB"/>
    <w:rsid w:val="00561F0D"/>
    <w:rsid w:val="00562694"/>
    <w:rsid w:val="00564069"/>
    <w:rsid w:val="00570DB1"/>
    <w:rsid w:val="00570E9F"/>
    <w:rsid w:val="00571CEA"/>
    <w:rsid w:val="005755E3"/>
    <w:rsid w:val="005816FB"/>
    <w:rsid w:val="00584AEE"/>
    <w:rsid w:val="00586B2B"/>
    <w:rsid w:val="005875DF"/>
    <w:rsid w:val="005935F3"/>
    <w:rsid w:val="00593E4B"/>
    <w:rsid w:val="00594347"/>
    <w:rsid w:val="005959E9"/>
    <w:rsid w:val="0059627F"/>
    <w:rsid w:val="005A0754"/>
    <w:rsid w:val="005A2D63"/>
    <w:rsid w:val="005A3011"/>
    <w:rsid w:val="005A33F5"/>
    <w:rsid w:val="005A419C"/>
    <w:rsid w:val="005B29BC"/>
    <w:rsid w:val="005B69A6"/>
    <w:rsid w:val="005C1A21"/>
    <w:rsid w:val="005C1F1C"/>
    <w:rsid w:val="005C51B2"/>
    <w:rsid w:val="005D22B2"/>
    <w:rsid w:val="005D2F69"/>
    <w:rsid w:val="005E2C50"/>
    <w:rsid w:val="005E45B5"/>
    <w:rsid w:val="005E5DB1"/>
    <w:rsid w:val="005F05E8"/>
    <w:rsid w:val="005F3127"/>
    <w:rsid w:val="005F3E33"/>
    <w:rsid w:val="0060101E"/>
    <w:rsid w:val="00602939"/>
    <w:rsid w:val="00606E86"/>
    <w:rsid w:val="00610E9E"/>
    <w:rsid w:val="006166C7"/>
    <w:rsid w:val="00617AB7"/>
    <w:rsid w:val="00620A4F"/>
    <w:rsid w:val="00620F72"/>
    <w:rsid w:val="00621D7A"/>
    <w:rsid w:val="0062260A"/>
    <w:rsid w:val="00623408"/>
    <w:rsid w:val="006241F3"/>
    <w:rsid w:val="006245DA"/>
    <w:rsid w:val="00625949"/>
    <w:rsid w:val="0062642B"/>
    <w:rsid w:val="0063183B"/>
    <w:rsid w:val="0063231F"/>
    <w:rsid w:val="00634446"/>
    <w:rsid w:val="00634CBD"/>
    <w:rsid w:val="00635CF4"/>
    <w:rsid w:val="00635FA4"/>
    <w:rsid w:val="00640B39"/>
    <w:rsid w:val="00644D5B"/>
    <w:rsid w:val="00650E61"/>
    <w:rsid w:val="0065256A"/>
    <w:rsid w:val="00657CD5"/>
    <w:rsid w:val="00666D65"/>
    <w:rsid w:val="00672EC8"/>
    <w:rsid w:val="00673C78"/>
    <w:rsid w:val="006778A0"/>
    <w:rsid w:val="00682D5D"/>
    <w:rsid w:val="00686575"/>
    <w:rsid w:val="006907C4"/>
    <w:rsid w:val="00693A5D"/>
    <w:rsid w:val="006A0C48"/>
    <w:rsid w:val="006A1B0D"/>
    <w:rsid w:val="006A34B2"/>
    <w:rsid w:val="006A3CC0"/>
    <w:rsid w:val="006A3D5C"/>
    <w:rsid w:val="006A3F90"/>
    <w:rsid w:val="006A5FF2"/>
    <w:rsid w:val="006B0F0D"/>
    <w:rsid w:val="006B1483"/>
    <w:rsid w:val="006B1CF9"/>
    <w:rsid w:val="006B47EE"/>
    <w:rsid w:val="006B6EEA"/>
    <w:rsid w:val="006B7475"/>
    <w:rsid w:val="006C41B9"/>
    <w:rsid w:val="006C502F"/>
    <w:rsid w:val="006C5096"/>
    <w:rsid w:val="006C6BAA"/>
    <w:rsid w:val="006D3921"/>
    <w:rsid w:val="006D408B"/>
    <w:rsid w:val="006E0E0C"/>
    <w:rsid w:val="006E2F87"/>
    <w:rsid w:val="006E6474"/>
    <w:rsid w:val="006E760F"/>
    <w:rsid w:val="006E7B7B"/>
    <w:rsid w:val="006F28BC"/>
    <w:rsid w:val="006F300C"/>
    <w:rsid w:val="006F52F5"/>
    <w:rsid w:val="006F79DD"/>
    <w:rsid w:val="007002F8"/>
    <w:rsid w:val="007007CC"/>
    <w:rsid w:val="00701226"/>
    <w:rsid w:val="0070713C"/>
    <w:rsid w:val="007103F0"/>
    <w:rsid w:val="007119D9"/>
    <w:rsid w:val="00713580"/>
    <w:rsid w:val="007138A4"/>
    <w:rsid w:val="00715D6B"/>
    <w:rsid w:val="007166DE"/>
    <w:rsid w:val="007204C1"/>
    <w:rsid w:val="00724062"/>
    <w:rsid w:val="007242F3"/>
    <w:rsid w:val="007317E0"/>
    <w:rsid w:val="00734046"/>
    <w:rsid w:val="0073487E"/>
    <w:rsid w:val="00740478"/>
    <w:rsid w:val="00740BC5"/>
    <w:rsid w:val="00741D16"/>
    <w:rsid w:val="00742DDD"/>
    <w:rsid w:val="007430E0"/>
    <w:rsid w:val="00743438"/>
    <w:rsid w:val="00747A38"/>
    <w:rsid w:val="0075360F"/>
    <w:rsid w:val="007606F5"/>
    <w:rsid w:val="0076174E"/>
    <w:rsid w:val="007708C6"/>
    <w:rsid w:val="00771D41"/>
    <w:rsid w:val="007721C4"/>
    <w:rsid w:val="0077379F"/>
    <w:rsid w:val="00773918"/>
    <w:rsid w:val="00775AF2"/>
    <w:rsid w:val="00781023"/>
    <w:rsid w:val="007810E0"/>
    <w:rsid w:val="007850CB"/>
    <w:rsid w:val="007A7F1F"/>
    <w:rsid w:val="007B0257"/>
    <w:rsid w:val="007B0B09"/>
    <w:rsid w:val="007B0D07"/>
    <w:rsid w:val="007B1A80"/>
    <w:rsid w:val="007B6745"/>
    <w:rsid w:val="007C4028"/>
    <w:rsid w:val="007C62ED"/>
    <w:rsid w:val="007C6D48"/>
    <w:rsid w:val="007D1AB8"/>
    <w:rsid w:val="007D5FCD"/>
    <w:rsid w:val="007D776B"/>
    <w:rsid w:val="007F45BF"/>
    <w:rsid w:val="0080242C"/>
    <w:rsid w:val="00805018"/>
    <w:rsid w:val="00807BBC"/>
    <w:rsid w:val="008114A2"/>
    <w:rsid w:val="00811640"/>
    <w:rsid w:val="00811B04"/>
    <w:rsid w:val="00813ADC"/>
    <w:rsid w:val="00814362"/>
    <w:rsid w:val="008145F2"/>
    <w:rsid w:val="00814B3A"/>
    <w:rsid w:val="00823499"/>
    <w:rsid w:val="00827BEE"/>
    <w:rsid w:val="008316D6"/>
    <w:rsid w:val="00831C58"/>
    <w:rsid w:val="00831E6C"/>
    <w:rsid w:val="0083342E"/>
    <w:rsid w:val="008368CB"/>
    <w:rsid w:val="00841AC0"/>
    <w:rsid w:val="00844552"/>
    <w:rsid w:val="0085243E"/>
    <w:rsid w:val="00852FB6"/>
    <w:rsid w:val="00852FD1"/>
    <w:rsid w:val="008554FB"/>
    <w:rsid w:val="00857A21"/>
    <w:rsid w:val="00857AC9"/>
    <w:rsid w:val="00865714"/>
    <w:rsid w:val="00866978"/>
    <w:rsid w:val="00866FD9"/>
    <w:rsid w:val="0087434A"/>
    <w:rsid w:val="008839BB"/>
    <w:rsid w:val="00883E9F"/>
    <w:rsid w:val="00884DD1"/>
    <w:rsid w:val="00886963"/>
    <w:rsid w:val="008875BA"/>
    <w:rsid w:val="0089710F"/>
    <w:rsid w:val="008A0A8B"/>
    <w:rsid w:val="008A3266"/>
    <w:rsid w:val="008A7F84"/>
    <w:rsid w:val="008B1838"/>
    <w:rsid w:val="008B201B"/>
    <w:rsid w:val="008B7347"/>
    <w:rsid w:val="008B7DE7"/>
    <w:rsid w:val="008C0398"/>
    <w:rsid w:val="008C1BEA"/>
    <w:rsid w:val="008C4C09"/>
    <w:rsid w:val="008C4EF3"/>
    <w:rsid w:val="008C5A22"/>
    <w:rsid w:val="008C6FD3"/>
    <w:rsid w:val="008C7A92"/>
    <w:rsid w:val="008D30E6"/>
    <w:rsid w:val="008D3A53"/>
    <w:rsid w:val="008D3B25"/>
    <w:rsid w:val="008D7BDB"/>
    <w:rsid w:val="008E49CB"/>
    <w:rsid w:val="008E5D6E"/>
    <w:rsid w:val="008E6624"/>
    <w:rsid w:val="008E7200"/>
    <w:rsid w:val="008F4C76"/>
    <w:rsid w:val="008F5C80"/>
    <w:rsid w:val="008F65AF"/>
    <w:rsid w:val="00903942"/>
    <w:rsid w:val="00904443"/>
    <w:rsid w:val="00905A67"/>
    <w:rsid w:val="0091798A"/>
    <w:rsid w:val="009200E0"/>
    <w:rsid w:val="00920906"/>
    <w:rsid w:val="00920BC8"/>
    <w:rsid w:val="00923D4F"/>
    <w:rsid w:val="009263C8"/>
    <w:rsid w:val="00933EFE"/>
    <w:rsid w:val="0093759B"/>
    <w:rsid w:val="00941801"/>
    <w:rsid w:val="00941B6B"/>
    <w:rsid w:val="009429E7"/>
    <w:rsid w:val="009477D9"/>
    <w:rsid w:val="00950813"/>
    <w:rsid w:val="00950E20"/>
    <w:rsid w:val="00951E3D"/>
    <w:rsid w:val="0095432F"/>
    <w:rsid w:val="009568AB"/>
    <w:rsid w:val="00962238"/>
    <w:rsid w:val="00962DFC"/>
    <w:rsid w:val="00964805"/>
    <w:rsid w:val="00970316"/>
    <w:rsid w:val="00970D12"/>
    <w:rsid w:val="00971027"/>
    <w:rsid w:val="0097125F"/>
    <w:rsid w:val="00977A96"/>
    <w:rsid w:val="00980CC8"/>
    <w:rsid w:val="00986333"/>
    <w:rsid w:val="0098705C"/>
    <w:rsid w:val="00987883"/>
    <w:rsid w:val="009911B7"/>
    <w:rsid w:val="00992297"/>
    <w:rsid w:val="00994CD0"/>
    <w:rsid w:val="00995DB3"/>
    <w:rsid w:val="009A0FAD"/>
    <w:rsid w:val="009A569F"/>
    <w:rsid w:val="009A75E4"/>
    <w:rsid w:val="009C4773"/>
    <w:rsid w:val="009C5916"/>
    <w:rsid w:val="009C7D0F"/>
    <w:rsid w:val="009D27AC"/>
    <w:rsid w:val="009E12C0"/>
    <w:rsid w:val="009E1F4B"/>
    <w:rsid w:val="009E2BED"/>
    <w:rsid w:val="009E50C6"/>
    <w:rsid w:val="009E63D4"/>
    <w:rsid w:val="009F4D40"/>
    <w:rsid w:val="009F540E"/>
    <w:rsid w:val="00A00A18"/>
    <w:rsid w:val="00A01321"/>
    <w:rsid w:val="00A02166"/>
    <w:rsid w:val="00A026E4"/>
    <w:rsid w:val="00A04D48"/>
    <w:rsid w:val="00A0577E"/>
    <w:rsid w:val="00A06EEC"/>
    <w:rsid w:val="00A072DD"/>
    <w:rsid w:val="00A16D1C"/>
    <w:rsid w:val="00A303C4"/>
    <w:rsid w:val="00A33350"/>
    <w:rsid w:val="00A35CE6"/>
    <w:rsid w:val="00A4243D"/>
    <w:rsid w:val="00A43B2B"/>
    <w:rsid w:val="00A442B6"/>
    <w:rsid w:val="00A4525C"/>
    <w:rsid w:val="00A52734"/>
    <w:rsid w:val="00A553B6"/>
    <w:rsid w:val="00A60907"/>
    <w:rsid w:val="00A60B6E"/>
    <w:rsid w:val="00A626FC"/>
    <w:rsid w:val="00A63856"/>
    <w:rsid w:val="00A64354"/>
    <w:rsid w:val="00A64CC3"/>
    <w:rsid w:val="00A654C6"/>
    <w:rsid w:val="00A710B2"/>
    <w:rsid w:val="00A71884"/>
    <w:rsid w:val="00A72999"/>
    <w:rsid w:val="00A73FD8"/>
    <w:rsid w:val="00A7444E"/>
    <w:rsid w:val="00A76F1D"/>
    <w:rsid w:val="00A8129E"/>
    <w:rsid w:val="00A84561"/>
    <w:rsid w:val="00A84BF3"/>
    <w:rsid w:val="00A87B29"/>
    <w:rsid w:val="00A95269"/>
    <w:rsid w:val="00AA2818"/>
    <w:rsid w:val="00AA4359"/>
    <w:rsid w:val="00AA4F68"/>
    <w:rsid w:val="00AA543B"/>
    <w:rsid w:val="00AA5ACA"/>
    <w:rsid w:val="00AA6604"/>
    <w:rsid w:val="00AA7065"/>
    <w:rsid w:val="00AB2B64"/>
    <w:rsid w:val="00AC25D9"/>
    <w:rsid w:val="00AC4C6A"/>
    <w:rsid w:val="00AD0AB7"/>
    <w:rsid w:val="00AD0F5C"/>
    <w:rsid w:val="00AD369B"/>
    <w:rsid w:val="00AD48AD"/>
    <w:rsid w:val="00AD5029"/>
    <w:rsid w:val="00AD7B0D"/>
    <w:rsid w:val="00AD7E86"/>
    <w:rsid w:val="00AE20DF"/>
    <w:rsid w:val="00AE29A7"/>
    <w:rsid w:val="00AF246E"/>
    <w:rsid w:val="00AF479D"/>
    <w:rsid w:val="00AF635B"/>
    <w:rsid w:val="00AF75C8"/>
    <w:rsid w:val="00B00EE9"/>
    <w:rsid w:val="00B030E6"/>
    <w:rsid w:val="00B059FD"/>
    <w:rsid w:val="00B06C3B"/>
    <w:rsid w:val="00B07332"/>
    <w:rsid w:val="00B20E51"/>
    <w:rsid w:val="00B23528"/>
    <w:rsid w:val="00B27C68"/>
    <w:rsid w:val="00B313D5"/>
    <w:rsid w:val="00B31DEE"/>
    <w:rsid w:val="00B3372F"/>
    <w:rsid w:val="00B33B76"/>
    <w:rsid w:val="00B34DD8"/>
    <w:rsid w:val="00B37214"/>
    <w:rsid w:val="00B41F47"/>
    <w:rsid w:val="00B4264A"/>
    <w:rsid w:val="00B43721"/>
    <w:rsid w:val="00B47060"/>
    <w:rsid w:val="00B47693"/>
    <w:rsid w:val="00B50CD0"/>
    <w:rsid w:val="00B61F5C"/>
    <w:rsid w:val="00B63ADF"/>
    <w:rsid w:val="00B7298C"/>
    <w:rsid w:val="00B73A04"/>
    <w:rsid w:val="00B75C45"/>
    <w:rsid w:val="00B806B1"/>
    <w:rsid w:val="00B8095D"/>
    <w:rsid w:val="00B817EC"/>
    <w:rsid w:val="00B831B3"/>
    <w:rsid w:val="00B8604A"/>
    <w:rsid w:val="00B92CC7"/>
    <w:rsid w:val="00B92CE9"/>
    <w:rsid w:val="00BA1F2C"/>
    <w:rsid w:val="00BA2BB2"/>
    <w:rsid w:val="00BA32AD"/>
    <w:rsid w:val="00BA4771"/>
    <w:rsid w:val="00BA4E68"/>
    <w:rsid w:val="00BA5289"/>
    <w:rsid w:val="00BA6421"/>
    <w:rsid w:val="00BA67C7"/>
    <w:rsid w:val="00BB017B"/>
    <w:rsid w:val="00BB3A4E"/>
    <w:rsid w:val="00BB6F3D"/>
    <w:rsid w:val="00BC126B"/>
    <w:rsid w:val="00BC49BB"/>
    <w:rsid w:val="00BD0F3E"/>
    <w:rsid w:val="00BD4E67"/>
    <w:rsid w:val="00BD750D"/>
    <w:rsid w:val="00BE148F"/>
    <w:rsid w:val="00BE5AA8"/>
    <w:rsid w:val="00BF077E"/>
    <w:rsid w:val="00BF358E"/>
    <w:rsid w:val="00BF5F1D"/>
    <w:rsid w:val="00C01C0A"/>
    <w:rsid w:val="00C029DF"/>
    <w:rsid w:val="00C033AC"/>
    <w:rsid w:val="00C037A6"/>
    <w:rsid w:val="00C03F8A"/>
    <w:rsid w:val="00C1646B"/>
    <w:rsid w:val="00C200D7"/>
    <w:rsid w:val="00C21416"/>
    <w:rsid w:val="00C217A0"/>
    <w:rsid w:val="00C223C3"/>
    <w:rsid w:val="00C24A2E"/>
    <w:rsid w:val="00C25CFC"/>
    <w:rsid w:val="00C32F13"/>
    <w:rsid w:val="00C36956"/>
    <w:rsid w:val="00C4043D"/>
    <w:rsid w:val="00C40577"/>
    <w:rsid w:val="00C405CB"/>
    <w:rsid w:val="00C410F4"/>
    <w:rsid w:val="00C41BDD"/>
    <w:rsid w:val="00C43658"/>
    <w:rsid w:val="00C46047"/>
    <w:rsid w:val="00C52B1A"/>
    <w:rsid w:val="00C540E0"/>
    <w:rsid w:val="00C601E8"/>
    <w:rsid w:val="00C601F4"/>
    <w:rsid w:val="00C639B5"/>
    <w:rsid w:val="00C673BD"/>
    <w:rsid w:val="00C7337F"/>
    <w:rsid w:val="00C7545C"/>
    <w:rsid w:val="00C75C1A"/>
    <w:rsid w:val="00C86742"/>
    <w:rsid w:val="00C86E98"/>
    <w:rsid w:val="00C90543"/>
    <w:rsid w:val="00C935B4"/>
    <w:rsid w:val="00C9386D"/>
    <w:rsid w:val="00C94789"/>
    <w:rsid w:val="00C9729E"/>
    <w:rsid w:val="00CA455C"/>
    <w:rsid w:val="00CB0024"/>
    <w:rsid w:val="00CB3F3F"/>
    <w:rsid w:val="00CC33AB"/>
    <w:rsid w:val="00CC537A"/>
    <w:rsid w:val="00CC6F6E"/>
    <w:rsid w:val="00CD12D8"/>
    <w:rsid w:val="00CD3AD6"/>
    <w:rsid w:val="00CD3ECC"/>
    <w:rsid w:val="00CE1F09"/>
    <w:rsid w:val="00CF2087"/>
    <w:rsid w:val="00CF2D53"/>
    <w:rsid w:val="00CF3432"/>
    <w:rsid w:val="00CF55D5"/>
    <w:rsid w:val="00CF5EB2"/>
    <w:rsid w:val="00CF736F"/>
    <w:rsid w:val="00D00583"/>
    <w:rsid w:val="00D12364"/>
    <w:rsid w:val="00D12835"/>
    <w:rsid w:val="00D14104"/>
    <w:rsid w:val="00D202FA"/>
    <w:rsid w:val="00D208AF"/>
    <w:rsid w:val="00D216E9"/>
    <w:rsid w:val="00D24914"/>
    <w:rsid w:val="00D326D7"/>
    <w:rsid w:val="00D33111"/>
    <w:rsid w:val="00D4023B"/>
    <w:rsid w:val="00D40B52"/>
    <w:rsid w:val="00D50E87"/>
    <w:rsid w:val="00D51572"/>
    <w:rsid w:val="00D54453"/>
    <w:rsid w:val="00D54B65"/>
    <w:rsid w:val="00D556BF"/>
    <w:rsid w:val="00D5750D"/>
    <w:rsid w:val="00D57577"/>
    <w:rsid w:val="00D60710"/>
    <w:rsid w:val="00D61798"/>
    <w:rsid w:val="00D62CB1"/>
    <w:rsid w:val="00D67634"/>
    <w:rsid w:val="00D71F81"/>
    <w:rsid w:val="00D726F9"/>
    <w:rsid w:val="00D756A9"/>
    <w:rsid w:val="00D765DA"/>
    <w:rsid w:val="00D828B6"/>
    <w:rsid w:val="00D84579"/>
    <w:rsid w:val="00D850D5"/>
    <w:rsid w:val="00D859D5"/>
    <w:rsid w:val="00D85C5E"/>
    <w:rsid w:val="00D91E89"/>
    <w:rsid w:val="00D94761"/>
    <w:rsid w:val="00D94D4A"/>
    <w:rsid w:val="00DA17FB"/>
    <w:rsid w:val="00DA2027"/>
    <w:rsid w:val="00DA469D"/>
    <w:rsid w:val="00DA518F"/>
    <w:rsid w:val="00DA7F87"/>
    <w:rsid w:val="00DB1A8E"/>
    <w:rsid w:val="00DB2818"/>
    <w:rsid w:val="00DB652D"/>
    <w:rsid w:val="00DB74DD"/>
    <w:rsid w:val="00DC1D68"/>
    <w:rsid w:val="00DC1FFA"/>
    <w:rsid w:val="00DC2A33"/>
    <w:rsid w:val="00DC5C27"/>
    <w:rsid w:val="00DC74C5"/>
    <w:rsid w:val="00DD0C90"/>
    <w:rsid w:val="00DD491C"/>
    <w:rsid w:val="00DE03E4"/>
    <w:rsid w:val="00DE20EE"/>
    <w:rsid w:val="00DE2591"/>
    <w:rsid w:val="00DE4754"/>
    <w:rsid w:val="00DE5345"/>
    <w:rsid w:val="00DE5AD0"/>
    <w:rsid w:val="00DE6887"/>
    <w:rsid w:val="00DE6920"/>
    <w:rsid w:val="00DF05E9"/>
    <w:rsid w:val="00DF0F4C"/>
    <w:rsid w:val="00DF6704"/>
    <w:rsid w:val="00E014C1"/>
    <w:rsid w:val="00E01E6C"/>
    <w:rsid w:val="00E03097"/>
    <w:rsid w:val="00E03B22"/>
    <w:rsid w:val="00E06AC8"/>
    <w:rsid w:val="00E0700B"/>
    <w:rsid w:val="00E10BC9"/>
    <w:rsid w:val="00E1303F"/>
    <w:rsid w:val="00E166E9"/>
    <w:rsid w:val="00E2162E"/>
    <w:rsid w:val="00E27BC2"/>
    <w:rsid w:val="00E330F9"/>
    <w:rsid w:val="00E3579F"/>
    <w:rsid w:val="00E37814"/>
    <w:rsid w:val="00E415C5"/>
    <w:rsid w:val="00E46E79"/>
    <w:rsid w:val="00E51572"/>
    <w:rsid w:val="00E520D0"/>
    <w:rsid w:val="00E52CD1"/>
    <w:rsid w:val="00E53B98"/>
    <w:rsid w:val="00E54175"/>
    <w:rsid w:val="00E74B97"/>
    <w:rsid w:val="00E768A0"/>
    <w:rsid w:val="00E770D4"/>
    <w:rsid w:val="00E77BCC"/>
    <w:rsid w:val="00E8039B"/>
    <w:rsid w:val="00E8091B"/>
    <w:rsid w:val="00E84361"/>
    <w:rsid w:val="00E84A0C"/>
    <w:rsid w:val="00E90438"/>
    <w:rsid w:val="00E91058"/>
    <w:rsid w:val="00E95B02"/>
    <w:rsid w:val="00EA236B"/>
    <w:rsid w:val="00EA3753"/>
    <w:rsid w:val="00EA75F6"/>
    <w:rsid w:val="00EA7776"/>
    <w:rsid w:val="00EA7FBC"/>
    <w:rsid w:val="00EB3041"/>
    <w:rsid w:val="00EB330F"/>
    <w:rsid w:val="00EB562A"/>
    <w:rsid w:val="00EB7229"/>
    <w:rsid w:val="00EC15D3"/>
    <w:rsid w:val="00EC3366"/>
    <w:rsid w:val="00EC4B8E"/>
    <w:rsid w:val="00EC60F9"/>
    <w:rsid w:val="00EC7693"/>
    <w:rsid w:val="00ED01D0"/>
    <w:rsid w:val="00ED2CF4"/>
    <w:rsid w:val="00ED2E6F"/>
    <w:rsid w:val="00ED4220"/>
    <w:rsid w:val="00ED4850"/>
    <w:rsid w:val="00ED7DB3"/>
    <w:rsid w:val="00EE0429"/>
    <w:rsid w:val="00EE0568"/>
    <w:rsid w:val="00EE4142"/>
    <w:rsid w:val="00EE528D"/>
    <w:rsid w:val="00EE6C33"/>
    <w:rsid w:val="00EE6DB8"/>
    <w:rsid w:val="00EF0E85"/>
    <w:rsid w:val="00EF2B6D"/>
    <w:rsid w:val="00EF302F"/>
    <w:rsid w:val="00F001B7"/>
    <w:rsid w:val="00F00938"/>
    <w:rsid w:val="00F02015"/>
    <w:rsid w:val="00F06B67"/>
    <w:rsid w:val="00F10AFC"/>
    <w:rsid w:val="00F232AB"/>
    <w:rsid w:val="00F27D53"/>
    <w:rsid w:val="00F31282"/>
    <w:rsid w:val="00F322A5"/>
    <w:rsid w:val="00F34E9E"/>
    <w:rsid w:val="00F34EBF"/>
    <w:rsid w:val="00F36F17"/>
    <w:rsid w:val="00F448C4"/>
    <w:rsid w:val="00F459C2"/>
    <w:rsid w:val="00F53292"/>
    <w:rsid w:val="00F5440A"/>
    <w:rsid w:val="00F54627"/>
    <w:rsid w:val="00F5784F"/>
    <w:rsid w:val="00F6326B"/>
    <w:rsid w:val="00F66363"/>
    <w:rsid w:val="00F66FE5"/>
    <w:rsid w:val="00F70568"/>
    <w:rsid w:val="00F73ABB"/>
    <w:rsid w:val="00F74311"/>
    <w:rsid w:val="00F74BDA"/>
    <w:rsid w:val="00F76B2A"/>
    <w:rsid w:val="00F77362"/>
    <w:rsid w:val="00F80228"/>
    <w:rsid w:val="00F803F6"/>
    <w:rsid w:val="00F805FB"/>
    <w:rsid w:val="00F8173E"/>
    <w:rsid w:val="00F856E5"/>
    <w:rsid w:val="00F96BFC"/>
    <w:rsid w:val="00FA3C18"/>
    <w:rsid w:val="00FA72F5"/>
    <w:rsid w:val="00FB45B2"/>
    <w:rsid w:val="00FB6C12"/>
    <w:rsid w:val="00FC0AB0"/>
    <w:rsid w:val="00FC1005"/>
    <w:rsid w:val="00FC4A76"/>
    <w:rsid w:val="00FD3E77"/>
    <w:rsid w:val="00FD3FA1"/>
    <w:rsid w:val="00FD6B30"/>
    <w:rsid w:val="00FD71AB"/>
    <w:rsid w:val="00FE080D"/>
    <w:rsid w:val="00FE20AC"/>
    <w:rsid w:val="00FF0AE3"/>
    <w:rsid w:val="03110501"/>
    <w:rsid w:val="150703AF"/>
    <w:rsid w:val="74B479EE"/>
    <w:rsid w:val="7F6C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7F85DA"/>
  <w15:docId w15:val="{50DC87EB-9137-4DED-B6C7-B30DCA356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unhideWhenUsed="1" w:qFormat="1"/>
    <w:lsdException w:name="header" w:unhideWhenUsed="1" w:qFormat="1"/>
    <w:lsdException w:name="footer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eastAsiaTheme="majorEastAsia" w:hAnsiTheme="majorHAnsi" w:cstheme="majorBid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1"/>
    <w:uiPriority w:val="9"/>
    <w:unhideWhenUsed/>
    <w:qFormat/>
    <w:pPr>
      <w:keepNext/>
      <w:keepLines/>
      <w:widowControl/>
      <w:spacing w:before="280" w:after="290" w:line="376" w:lineRule="auto"/>
      <w:jc w:val="left"/>
      <w:outlineLvl w:val="4"/>
    </w:pPr>
    <w:rPr>
      <w:rFonts w:cs="宋体"/>
      <w:b/>
      <w:bCs/>
      <w:kern w:val="0"/>
      <w:sz w:val="28"/>
      <w:szCs w:val="28"/>
    </w:rPr>
  </w:style>
  <w:style w:type="paragraph" w:styleId="6">
    <w:name w:val="heading 6"/>
    <w:basedOn w:val="a"/>
    <w:next w:val="a"/>
    <w:uiPriority w:val="9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a5"/>
    <w:uiPriority w:val="99"/>
    <w:semiHidden/>
    <w:unhideWhenUsed/>
    <w:qFormat/>
    <w:pPr>
      <w:widowControl/>
      <w:jc w:val="left"/>
    </w:pPr>
    <w:rPr>
      <w:rFonts w:cs="宋体"/>
      <w:kern w:val="0"/>
      <w:sz w:val="18"/>
      <w:szCs w:val="18"/>
    </w:rPr>
  </w:style>
  <w:style w:type="paragraph" w:styleId="a6">
    <w:name w:val="annotation text"/>
    <w:basedOn w:val="a"/>
    <w:link w:val="a7"/>
    <w:uiPriority w:val="99"/>
    <w:unhideWhenUsed/>
    <w:qFormat/>
    <w:pPr>
      <w:widowControl/>
      <w:jc w:val="left"/>
    </w:pPr>
    <w:rPr>
      <w:rFonts w:cs="宋体"/>
      <w:kern w:val="0"/>
      <w:szCs w:val="24"/>
    </w:rPr>
  </w:style>
  <w:style w:type="paragraph" w:styleId="a8">
    <w:name w:val="Body Text"/>
    <w:basedOn w:val="a"/>
    <w:link w:val="a9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a">
    <w:name w:val="Body Text Indent"/>
    <w:basedOn w:val="a"/>
    <w:link w:val="ab"/>
    <w:qFormat/>
    <w:pPr>
      <w:spacing w:after="120"/>
      <w:ind w:leftChars="200" w:left="420"/>
    </w:pPr>
    <w:rPr>
      <w:rFonts w:ascii="Times New Roman" w:hAnsi="Times New Roman"/>
      <w:sz w:val="21"/>
      <w:szCs w:val="24"/>
    </w:rPr>
  </w:style>
  <w:style w:type="paragraph" w:styleId="21">
    <w:name w:val="List 2"/>
    <w:basedOn w:val="a"/>
    <w:qFormat/>
    <w:pPr>
      <w:ind w:leftChars="200" w:left="100" w:hangingChars="200" w:hanging="200"/>
    </w:pPr>
    <w:rPr>
      <w:rFonts w:ascii="Times New Roman" w:hAnsi="Times New Roman"/>
      <w:sz w:val="21"/>
      <w:szCs w:val="24"/>
    </w:rPr>
  </w:style>
  <w:style w:type="paragraph" w:styleId="ac">
    <w:name w:val="Date"/>
    <w:basedOn w:val="a"/>
    <w:next w:val="a"/>
    <w:link w:val="ad"/>
    <w:uiPriority w:val="99"/>
    <w:unhideWhenUsed/>
    <w:qFormat/>
    <w:pPr>
      <w:ind w:leftChars="2500" w:left="100"/>
    </w:pPr>
  </w:style>
  <w:style w:type="paragraph" w:styleId="ae">
    <w:name w:val="endnote text"/>
    <w:basedOn w:val="a"/>
    <w:link w:val="11"/>
    <w:uiPriority w:val="99"/>
    <w:unhideWhenUsed/>
    <w:qFormat/>
    <w:pPr>
      <w:snapToGrid w:val="0"/>
      <w:jc w:val="left"/>
    </w:pPr>
  </w:style>
  <w:style w:type="paragraph" w:styleId="af">
    <w:name w:val="Balloon Text"/>
    <w:basedOn w:val="a"/>
    <w:link w:val="af0"/>
    <w:uiPriority w:val="99"/>
    <w:semiHidden/>
    <w:unhideWhenUsed/>
    <w:qFormat/>
    <w:rPr>
      <w:sz w:val="18"/>
      <w:szCs w:val="18"/>
    </w:rPr>
  </w:style>
  <w:style w:type="paragraph" w:styleId="af1">
    <w:name w:val="footer"/>
    <w:basedOn w:val="a"/>
    <w:link w:val="af2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3">
    <w:name w:val="header"/>
    <w:basedOn w:val="a"/>
    <w:link w:val="af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5">
    <w:name w:val="footnote text"/>
    <w:basedOn w:val="a"/>
    <w:link w:val="12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1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f8">
    <w:name w:val="annotation subject"/>
    <w:basedOn w:val="a6"/>
    <w:next w:val="a6"/>
    <w:link w:val="af9"/>
    <w:uiPriority w:val="99"/>
    <w:semiHidden/>
    <w:unhideWhenUsed/>
    <w:qFormat/>
    <w:rPr>
      <w:b/>
      <w:bCs/>
    </w:rPr>
  </w:style>
  <w:style w:type="table" w:styleId="afa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Strong"/>
    <w:uiPriority w:val="22"/>
    <w:qFormat/>
    <w:rPr>
      <w:b/>
    </w:rPr>
  </w:style>
  <w:style w:type="character" w:styleId="afc">
    <w:name w:val="endnote reference"/>
    <w:uiPriority w:val="99"/>
    <w:unhideWhenUsed/>
    <w:qFormat/>
    <w:rPr>
      <w:vertAlign w:val="superscript"/>
    </w:rPr>
  </w:style>
  <w:style w:type="character" w:styleId="afd">
    <w:name w:val="page number"/>
    <w:qFormat/>
  </w:style>
  <w:style w:type="character" w:styleId="afe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ff">
    <w:name w:val="Emphasis"/>
    <w:uiPriority w:val="20"/>
    <w:qFormat/>
    <w:rPr>
      <w:i/>
      <w:iCs/>
    </w:rPr>
  </w:style>
  <w:style w:type="character" w:styleId="aff0">
    <w:name w:val="Hyperlink"/>
    <w:uiPriority w:val="99"/>
    <w:unhideWhenUsed/>
    <w:qFormat/>
    <w:rPr>
      <w:color w:val="0563C1"/>
      <w:u w:val="single"/>
    </w:rPr>
  </w:style>
  <w:style w:type="character" w:styleId="af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f2">
    <w:name w:val="footnote reference"/>
    <w:basedOn w:val="a0"/>
    <w:uiPriority w:val="99"/>
    <w:qFormat/>
    <w:rPr>
      <w:vertAlign w:val="superscript"/>
    </w:rPr>
  </w:style>
  <w:style w:type="paragraph" w:customStyle="1" w:styleId="aff3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uiPriority w:val="99"/>
    <w:qFormat/>
    <w:rPr>
      <w:rFonts w:ascii="宋体"/>
      <w:kern w:val="2"/>
      <w:sz w:val="18"/>
      <w:szCs w:val="18"/>
    </w:rPr>
  </w:style>
  <w:style w:type="character" w:customStyle="1" w:styleId="af2">
    <w:name w:val="页脚 字符"/>
    <w:link w:val="af1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4">
    <w:name w:val="網文正文頂格"/>
    <w:basedOn w:val="aff5"/>
    <w:link w:val="Char1"/>
    <w:qFormat/>
    <w:pPr>
      <w:ind w:firstLineChars="0" w:firstLine="0"/>
      <w:jc w:val="left"/>
    </w:pPr>
  </w:style>
  <w:style w:type="paragraph" w:customStyle="1" w:styleId="aff5">
    <w:name w:val="網文正文"/>
    <w:basedOn w:val="a"/>
    <w:link w:val="Char2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2">
    <w:name w:val="脚注文本 字符1"/>
    <w:link w:val="af5"/>
    <w:uiPriority w:val="99"/>
    <w:semiHidden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6">
    <w:name w:val="網文標題"/>
    <w:basedOn w:val="a"/>
    <w:link w:val="Char3"/>
    <w:qFormat/>
    <w:pPr>
      <w:jc w:val="center"/>
    </w:pPr>
    <w:rPr>
      <w:rFonts w:ascii="黑体"/>
      <w:b/>
      <w:sz w:val="32"/>
      <w:szCs w:val="44"/>
    </w:rPr>
  </w:style>
  <w:style w:type="character" w:customStyle="1" w:styleId="Char3">
    <w:name w:val="網文標題 Char"/>
    <w:link w:val="aff6"/>
    <w:qFormat/>
    <w:rPr>
      <w:rFonts w:ascii="黑体"/>
      <w:b/>
      <w:kern w:val="2"/>
      <w:sz w:val="32"/>
      <w:szCs w:val="44"/>
    </w:rPr>
  </w:style>
  <w:style w:type="paragraph" w:customStyle="1" w:styleId="aff7">
    <w:name w:val="網文作者"/>
    <w:basedOn w:val="a"/>
    <w:link w:val="Char4"/>
    <w:qFormat/>
    <w:pPr>
      <w:jc w:val="center"/>
    </w:pPr>
    <w:rPr>
      <w:b/>
      <w:sz w:val="28"/>
      <w:lang w:eastAsia="zh-TW"/>
    </w:rPr>
  </w:style>
  <w:style w:type="character" w:customStyle="1" w:styleId="Char4">
    <w:name w:val="網文作者 Char"/>
    <w:link w:val="aff7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2">
    <w:name w:val="網文正文 Char"/>
    <w:link w:val="aff5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3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1">
    <w:name w:val="尾注文本 字符1"/>
    <w:link w:val="ae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4">
    <w:name w:val="页眉 字符"/>
    <w:link w:val="af3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0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4">
    <w:name w:val="无间隔1"/>
    <w:next w:val="aff8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8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5">
    <w:name w:val="批注框文本1"/>
    <w:basedOn w:val="a"/>
    <w:next w:val="af"/>
    <w:link w:val="Char5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5">
    <w:name w:val="批注框文本 Char"/>
    <w:link w:val="15"/>
    <w:uiPriority w:val="99"/>
    <w:semiHidden/>
    <w:qFormat/>
    <w:rPr>
      <w:sz w:val="18"/>
      <w:szCs w:val="18"/>
    </w:rPr>
  </w:style>
  <w:style w:type="paragraph" w:customStyle="1" w:styleId="16">
    <w:name w:val="列出段落1"/>
    <w:basedOn w:val="a"/>
    <w:next w:val="aff9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9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0">
    <w:name w:val="批注框文本 字符"/>
    <w:link w:val="af"/>
    <w:uiPriority w:val="99"/>
    <w:semiHidden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9">
    <w:name w:val="正文文本 字符"/>
    <w:link w:val="a8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a">
    <w:name w:val="尾注文本 字符"/>
    <w:link w:val="17"/>
    <w:uiPriority w:val="99"/>
    <w:qFormat/>
    <w:rPr>
      <w:kern w:val="2"/>
      <w:sz w:val="21"/>
      <w:szCs w:val="24"/>
    </w:rPr>
  </w:style>
  <w:style w:type="paragraph" w:customStyle="1" w:styleId="17">
    <w:name w:val="尾注文本1"/>
    <w:basedOn w:val="a"/>
    <w:next w:val="ae"/>
    <w:link w:val="affa"/>
    <w:uiPriority w:val="99"/>
    <w:semiHidden/>
    <w:unhideWhenUsed/>
    <w:qFormat/>
    <w:pPr>
      <w:snapToGrid w:val="0"/>
      <w:jc w:val="left"/>
    </w:pPr>
    <w:rPr>
      <w:rFonts w:ascii="Calibri" w:hAnsi="Calibri"/>
      <w:sz w:val="21"/>
      <w:szCs w:val="24"/>
    </w:rPr>
  </w:style>
  <w:style w:type="character" w:customStyle="1" w:styleId="affb">
    <w:name w:val="脚注文本 字符"/>
    <w:qFormat/>
    <w:rPr>
      <w:sz w:val="20"/>
      <w:szCs w:val="20"/>
    </w:rPr>
  </w:style>
  <w:style w:type="paragraph" w:customStyle="1" w:styleId="affc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d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d">
    <w:name w:val="日期 字符"/>
    <w:link w:val="ac"/>
    <w:uiPriority w:val="99"/>
    <w:semiHidden/>
    <w:qFormat/>
    <w:rPr>
      <w:rFonts w:ascii="宋体" w:hAnsi="宋体"/>
      <w:kern w:val="2"/>
      <w:sz w:val="24"/>
      <w:szCs w:val="22"/>
    </w:rPr>
  </w:style>
  <w:style w:type="character" w:customStyle="1" w:styleId="Char6">
    <w:name w:val="尾注文本 Char"/>
    <w:uiPriority w:val="99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e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3">
    <w:name w:val="标题 字符1"/>
    <w:link w:val="af7"/>
    <w:qFormat/>
    <w:rPr>
      <w:rFonts w:ascii="Cambria" w:hAnsi="Cambria"/>
      <w:b/>
      <w:bCs/>
      <w:kern w:val="2"/>
      <w:sz w:val="32"/>
      <w:szCs w:val="32"/>
    </w:rPr>
  </w:style>
  <w:style w:type="character" w:customStyle="1" w:styleId="WW-FootnoteReference1">
    <w:name w:val="WW-Footnote Reference1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-EndnoteReference12345678">
    <w:name w:val="WW-Endnote Reference12345678"/>
    <w:rPr>
      <w:vertAlign w:val="superscript"/>
    </w:rPr>
  </w:style>
  <w:style w:type="paragraph" w:customStyle="1" w:styleId="ListHeading">
    <w:name w:val="List Heading"/>
    <w:basedOn w:val="a"/>
    <w:next w:val="a"/>
    <w:qFormat/>
    <w:pPr>
      <w:widowControl/>
      <w:suppressAutoHyphens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Quotations">
    <w:name w:val="Quotations"/>
    <w:basedOn w:val="a"/>
    <w:qFormat/>
    <w:pPr>
      <w:widowControl/>
      <w:suppressAutoHyphens/>
      <w:spacing w:after="283"/>
      <w:ind w:left="567" w:right="567"/>
      <w:jc w:val="left"/>
    </w:pPr>
    <w:rPr>
      <w:rFonts w:ascii="Times New Roman" w:eastAsia="Times New Roman" w:hAnsi="Times New Roman"/>
      <w:kern w:val="1"/>
      <w:szCs w:val="24"/>
      <w:lang w:eastAsia="ar-SA"/>
    </w:rPr>
  </w:style>
  <w:style w:type="paragraph" w:customStyle="1" w:styleId="Pa61">
    <w:name w:val="Pa6+1"/>
    <w:basedOn w:val="a"/>
    <w:next w:val="a"/>
    <w:qFormat/>
    <w:pPr>
      <w:widowControl/>
      <w:suppressAutoHyphens/>
      <w:spacing w:line="281" w:lineRule="atLeast"/>
      <w:jc w:val="left"/>
    </w:pPr>
    <w:rPr>
      <w:rFonts w:ascii="Times New Roman" w:hAnsi="Times New Roman" w:cs="Mangal"/>
      <w:kern w:val="1"/>
      <w:szCs w:val="24"/>
      <w:lang w:eastAsia="ar-SA"/>
    </w:rPr>
  </w:style>
  <w:style w:type="character" w:customStyle="1" w:styleId="divimport1">
    <w:name w:val="divimport1"/>
    <w:basedOn w:val="a0"/>
    <w:qFormat/>
    <w:rPr>
      <w:rFonts w:ascii="宋体" w:eastAsia="宋体" w:hAnsi="宋体" w:hint="eastAsia"/>
      <w:sz w:val="21"/>
      <w:szCs w:val="21"/>
      <w:shd w:val="clear" w:color="auto" w:fill="FCFCFC"/>
    </w:rPr>
  </w:style>
  <w:style w:type="paragraph" w:customStyle="1" w:styleId="CharCharChar1">
    <w:name w:val="脚注文本 Char Char Char1"/>
    <w:basedOn w:val="a"/>
    <w:next w:val="af5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18">
    <w:name w:val="超链接1"/>
    <w:basedOn w:val="a0"/>
    <w:uiPriority w:val="99"/>
    <w:unhideWhenUsed/>
    <w:qFormat/>
    <w:rPr>
      <w:color w:val="0000FF"/>
      <w:u w:val="single"/>
    </w:rPr>
  </w:style>
  <w:style w:type="paragraph" w:customStyle="1" w:styleId="19">
    <w:name w:val="页眉1"/>
    <w:basedOn w:val="a"/>
    <w:next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1a">
    <w:name w:val="页脚1"/>
    <w:basedOn w:val="a"/>
    <w:next w:val="af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customStyle="1" w:styleId="CharCharCharCharCharCharChar">
    <w:name w:val="Char Char Char Char Char Char Char"/>
    <w:basedOn w:val="a"/>
    <w:qFormat/>
    <w:rPr>
      <w:rFonts w:ascii="Tahoma" w:hAnsi="Tahoma"/>
      <w:bCs/>
      <w:szCs w:val="20"/>
    </w:rPr>
  </w:style>
  <w:style w:type="paragraph" w:customStyle="1" w:styleId="CharCharCharCharCharCharChar6">
    <w:name w:val="Char Char Char Char Char Char Char6"/>
    <w:basedOn w:val="a"/>
    <w:qFormat/>
    <w:rPr>
      <w:rFonts w:ascii="Tahoma" w:hAnsi="Tahoma"/>
      <w:bCs/>
      <w:szCs w:val="20"/>
    </w:rPr>
  </w:style>
  <w:style w:type="paragraph" w:customStyle="1" w:styleId="CharCharCharCharCharCharChar5">
    <w:name w:val="Char Char Char Char Char Char Char5"/>
    <w:basedOn w:val="a"/>
    <w:qFormat/>
    <w:rPr>
      <w:rFonts w:ascii="Tahoma" w:hAnsi="Tahoma"/>
      <w:bCs/>
      <w:szCs w:val="20"/>
    </w:rPr>
  </w:style>
  <w:style w:type="paragraph" w:customStyle="1" w:styleId="CharCharCharCharCharCharChar4">
    <w:name w:val="Char Char Char Char Char Char Char4"/>
    <w:basedOn w:val="a"/>
    <w:qFormat/>
    <w:rPr>
      <w:rFonts w:ascii="Tahoma" w:hAnsi="Tahoma"/>
      <w:bCs/>
      <w:szCs w:val="20"/>
    </w:rPr>
  </w:style>
  <w:style w:type="paragraph" w:customStyle="1" w:styleId="CharCharCharCharCharCharChar3">
    <w:name w:val="Char Char Char Char Char Char Char3"/>
    <w:basedOn w:val="a"/>
    <w:qFormat/>
    <w:rPr>
      <w:rFonts w:ascii="Tahoma" w:hAnsi="Tahoma"/>
      <w:bCs/>
      <w:szCs w:val="20"/>
    </w:rPr>
  </w:style>
  <w:style w:type="paragraph" w:customStyle="1" w:styleId="CharCharCharCharCharCharChar2">
    <w:name w:val="Char Char Char Char Char Char Char2"/>
    <w:basedOn w:val="a"/>
    <w:rPr>
      <w:rFonts w:ascii="Tahoma" w:hAnsi="Tahoma"/>
      <w:bCs/>
      <w:szCs w:val="20"/>
    </w:rPr>
  </w:style>
  <w:style w:type="paragraph" w:customStyle="1" w:styleId="CharCharCharCharCharCharChar1">
    <w:name w:val="Char Char Char Char Char Char Char1"/>
    <w:basedOn w:val="a"/>
    <w:qFormat/>
    <w:rPr>
      <w:rFonts w:ascii="Tahoma" w:hAnsi="Tahoma"/>
      <w:bCs/>
      <w:szCs w:val="20"/>
    </w:rPr>
  </w:style>
  <w:style w:type="character" w:customStyle="1" w:styleId="firstpagedate1">
    <w:name w:val="firstpagedate1"/>
    <w:rPr>
      <w:rFonts w:ascii="ˎ̥" w:hAnsi="ˎ̥" w:hint="default"/>
      <w:color w:val="5AAA5A"/>
      <w:sz w:val="18"/>
      <w:szCs w:val="18"/>
    </w:rPr>
  </w:style>
  <w:style w:type="character" w:customStyle="1" w:styleId="firstpagedate">
    <w:name w:val="firstpagedate"/>
    <w:basedOn w:val="a0"/>
  </w:style>
  <w:style w:type="character" w:customStyle="1" w:styleId="1b">
    <w:name w:val="访问过的超链接1"/>
    <w:basedOn w:val="a0"/>
    <w:uiPriority w:val="99"/>
    <w:semiHidden/>
    <w:unhideWhenUsed/>
    <w:qFormat/>
    <w:rPr>
      <w:color w:val="800080"/>
      <w:u w:val="single"/>
    </w:rPr>
  </w:style>
  <w:style w:type="character" w:customStyle="1" w:styleId="1c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b">
    <w:name w:val="正文文本缩进 字符"/>
    <w:basedOn w:val="a0"/>
    <w:link w:val="aa"/>
    <w:qFormat/>
    <w:rPr>
      <w:rFonts w:ascii="Times New Roman" w:hAnsi="Times New Roman"/>
      <w:kern w:val="2"/>
      <w:sz w:val="21"/>
      <w:szCs w:val="24"/>
    </w:rPr>
  </w:style>
  <w:style w:type="paragraph" w:customStyle="1" w:styleId="1d">
    <w:name w:val="列表段落1"/>
    <w:basedOn w:val="a"/>
    <w:next w:val="aff9"/>
    <w:uiPriority w:val="34"/>
    <w:qFormat/>
    <w:pPr>
      <w:ind w:firstLineChars="200" w:firstLine="420"/>
    </w:pPr>
    <w:rPr>
      <w:rFonts w:asciiTheme="minorHAnsi" w:eastAsiaTheme="minorEastAsia" w:hAnsiTheme="minorHAnsi" w:cstheme="minorBidi"/>
      <w:bCs/>
      <w:sz w:val="21"/>
      <w:szCs w:val="21"/>
    </w:rPr>
  </w:style>
  <w:style w:type="character" w:customStyle="1" w:styleId="1e">
    <w:name w:val="批注框文本 字符1"/>
    <w:basedOn w:val="a0"/>
    <w:uiPriority w:val="99"/>
    <w:semiHidden/>
    <w:qFormat/>
    <w:rPr>
      <w:sz w:val="18"/>
      <w:szCs w:val="18"/>
    </w:rPr>
  </w:style>
  <w:style w:type="character" w:customStyle="1" w:styleId="1f">
    <w:name w:val="页眉 字符1"/>
    <w:basedOn w:val="a0"/>
    <w:uiPriority w:val="99"/>
    <w:qFormat/>
    <w:rPr>
      <w:sz w:val="18"/>
      <w:szCs w:val="18"/>
    </w:rPr>
  </w:style>
  <w:style w:type="character" w:customStyle="1" w:styleId="1f0">
    <w:name w:val="页脚 字符1"/>
    <w:basedOn w:val="a0"/>
    <w:uiPriority w:val="99"/>
    <w:qFormat/>
    <w:rPr>
      <w:sz w:val="18"/>
      <w:szCs w:val="18"/>
    </w:rPr>
  </w:style>
  <w:style w:type="character" w:customStyle="1" w:styleId="swbf">
    <w:name w:val="swbf"/>
    <w:basedOn w:val="a0"/>
    <w:qFormat/>
  </w:style>
  <w:style w:type="character" w:customStyle="1" w:styleId="ywyy">
    <w:name w:val="ywyy"/>
    <w:basedOn w:val="a0"/>
    <w:qFormat/>
  </w:style>
  <w:style w:type="character" w:customStyle="1" w:styleId="swdz">
    <w:name w:val="swdz"/>
    <w:basedOn w:val="a0"/>
    <w:qFormat/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a7">
    <w:name w:val="批注文字 字符"/>
    <w:basedOn w:val="a0"/>
    <w:link w:val="a6"/>
    <w:uiPriority w:val="99"/>
    <w:qFormat/>
    <w:rPr>
      <w:rFonts w:ascii="宋体" w:hAnsi="宋体" w:cs="宋体"/>
      <w:sz w:val="24"/>
      <w:szCs w:val="24"/>
    </w:rPr>
  </w:style>
  <w:style w:type="character" w:customStyle="1" w:styleId="af9">
    <w:name w:val="批注主题 字符"/>
    <w:basedOn w:val="a7"/>
    <w:link w:val="af8"/>
    <w:uiPriority w:val="99"/>
    <w:semiHidden/>
    <w:qFormat/>
    <w:rPr>
      <w:rFonts w:ascii="宋体" w:hAnsi="宋体" w:cs="宋体"/>
      <w:b/>
      <w:bCs/>
      <w:sz w:val="24"/>
      <w:szCs w:val="24"/>
    </w:rPr>
  </w:style>
  <w:style w:type="character" w:customStyle="1" w:styleId="afff">
    <w:name w:val="造字"/>
    <w:qFormat/>
    <w:rPr>
      <w:rFonts w:ascii="经典繁超宋" w:eastAsia="宋体-方正超大字符集"/>
      <w:sz w:val="32"/>
      <w:szCs w:val="52"/>
      <w:lang w:eastAsia="zh-CN"/>
    </w:rPr>
  </w:style>
  <w:style w:type="character" w:customStyle="1" w:styleId="111">
    <w:name w:val="未处理的提及1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51">
    <w:name w:val="标题 5 字符1"/>
    <w:basedOn w:val="a0"/>
    <w:link w:val="5"/>
    <w:uiPriority w:val="9"/>
    <w:semiHidden/>
    <w:qFormat/>
    <w:rPr>
      <w:rFonts w:ascii="宋体" w:hAnsi="宋体" w:cs="宋体"/>
      <w:b/>
      <w:bCs/>
      <w:sz w:val="28"/>
      <w:szCs w:val="28"/>
    </w:rPr>
  </w:style>
  <w:style w:type="character" w:customStyle="1" w:styleId="afff0">
    <w:name w:val="反切"/>
    <w:qFormat/>
    <w:rPr>
      <w:rFonts w:ascii="宋体" w:eastAsia="宋体-方正超大字符集" w:hAnsi="宋体"/>
      <w:color w:val="800000"/>
      <w:sz w:val="15"/>
      <w:szCs w:val="15"/>
    </w:rPr>
  </w:style>
  <w:style w:type="character" w:customStyle="1" w:styleId="afff1">
    <w:name w:val="控呇湮佽恅苤蚼 红色"/>
    <w:rPr>
      <w:rFonts w:ascii="控呇湮佽恅苤蚼" w:eastAsia="控呇湮佽恅苤蚼" w:hAnsi="控呇湮佽恅苤蚼"/>
      <w:color w:val="FF0000"/>
    </w:rPr>
  </w:style>
  <w:style w:type="character" w:customStyle="1" w:styleId="fieldname">
    <w:name w:val="fieldname"/>
    <w:basedOn w:val="a0"/>
    <w:qFormat/>
  </w:style>
  <w:style w:type="character" w:customStyle="1" w:styleId="fieldvalue">
    <w:name w:val="fieldvalue"/>
    <w:basedOn w:val="a0"/>
    <w:qFormat/>
  </w:style>
  <w:style w:type="character" w:customStyle="1" w:styleId="number">
    <w:name w:val="number"/>
    <w:qFormat/>
    <w:rPr>
      <w:color w:val="0033FF"/>
    </w:rPr>
  </w:style>
  <w:style w:type="character" w:customStyle="1" w:styleId="lzspan">
    <w:name w:val="lzspan"/>
    <w:qFormat/>
  </w:style>
  <w:style w:type="paragraph" w:styleId="afff2">
    <w:name w:val="Quote"/>
    <w:basedOn w:val="a"/>
    <w:link w:val="afff3"/>
    <w:qFormat/>
    <w:pPr>
      <w:ind w:leftChars="300" w:left="300"/>
    </w:pPr>
    <w:rPr>
      <w:rFonts w:ascii="Times New Roman" w:eastAsia="DFKai-SB" w:hAnsi="Times New Roman"/>
      <w:szCs w:val="24"/>
      <w:lang w:eastAsia="zh-TW"/>
    </w:rPr>
  </w:style>
  <w:style w:type="character" w:customStyle="1" w:styleId="afff3">
    <w:name w:val="引用 字符"/>
    <w:basedOn w:val="a0"/>
    <w:link w:val="afff2"/>
    <w:rPr>
      <w:rFonts w:ascii="Times New Roman" w:eastAsia="DFKai-SB" w:hAnsi="Times New Roman"/>
      <w:kern w:val="2"/>
      <w:sz w:val="24"/>
      <w:szCs w:val="24"/>
      <w:lang w:eastAsia="zh-TW"/>
    </w:rPr>
  </w:style>
  <w:style w:type="character" w:customStyle="1" w:styleId="reading">
    <w:name w:val="reading"/>
    <w:basedOn w:val="a0"/>
    <w:qFormat/>
  </w:style>
  <w:style w:type="character" w:customStyle="1" w:styleId="1f1">
    <w:name w:val="新造字1 六号"/>
    <w:basedOn w:val="a0"/>
    <w:qFormat/>
    <w:rPr>
      <w:rFonts w:ascii="幼圆" w:eastAsia="幼圆" w:hAnsi="幼圆" w:cs="幼圆" w:hint="eastAsia"/>
      <w:color w:val="3366FF"/>
      <w:kern w:val="0"/>
      <w:position w:val="-1"/>
      <w:sz w:val="15"/>
    </w:rPr>
  </w:style>
  <w:style w:type="character" w:customStyle="1" w:styleId="afff4">
    <w:name w:val="夹注二"/>
    <w:qFormat/>
    <w:rPr>
      <w:rFonts w:ascii="Times New Roman" w:eastAsia="宋体-方正超大字符集" w:hAnsi="Times New Roman"/>
      <w:color w:val="FF6600"/>
      <w:spacing w:val="0"/>
      <w:w w:val="100"/>
      <w:kern w:val="15"/>
      <w:position w:val="0"/>
      <w:sz w:val="15"/>
      <w:szCs w:val="15"/>
    </w:rPr>
  </w:style>
  <w:style w:type="character" w:customStyle="1" w:styleId="afff5">
    <w:name w:val="校记"/>
    <w:qFormat/>
    <w:rPr>
      <w:rFonts w:ascii="宋体" w:eastAsia="宋体-方正超大字符集" w:hAnsi="宋体"/>
      <w:color w:val="339933"/>
      <w:kern w:val="15"/>
      <w:sz w:val="15"/>
      <w:szCs w:val="15"/>
    </w:rPr>
  </w:style>
  <w:style w:type="table" w:customStyle="1" w:styleId="1f2">
    <w:name w:val="网格型1"/>
    <w:basedOn w:val="a1"/>
    <w:uiPriority w:val="59"/>
    <w:qFormat/>
    <w:rPr>
      <w:rFonts w:ascii="Times New Roman" w:hAnsi="Times New Roman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6">
    <w:name w:val="簡號"/>
    <w:basedOn w:val="a0"/>
    <w:uiPriority w:val="1"/>
    <w:qFormat/>
    <w:rPr>
      <w:rFonts w:hAnsi="宋体"/>
      <w:b/>
      <w:vertAlign w:val="subscript"/>
    </w:rPr>
  </w:style>
  <w:style w:type="character" w:customStyle="1" w:styleId="a5">
    <w:name w:val="文档结构图 字符"/>
    <w:basedOn w:val="a0"/>
    <w:link w:val="a4"/>
    <w:uiPriority w:val="99"/>
    <w:semiHidden/>
    <w:qFormat/>
    <w:rPr>
      <w:rFonts w:ascii="宋体" w:hAnsi="宋体" w:cs="宋体"/>
      <w:sz w:val="18"/>
      <w:szCs w:val="18"/>
    </w:rPr>
  </w:style>
  <w:style w:type="paragraph" w:customStyle="1" w:styleId="1f3">
    <w:name w:val="修订1"/>
    <w:hidden/>
    <w:uiPriority w:val="99"/>
    <w:semiHidden/>
    <w:rPr>
      <w:rFonts w:ascii="Times New Roman" w:hAnsi="Times New Roman"/>
      <w:kern w:val="2"/>
    </w:rPr>
  </w:style>
  <w:style w:type="table" w:customStyle="1" w:styleId="22">
    <w:name w:val="网格型2"/>
    <w:basedOn w:val="a1"/>
    <w:uiPriority w:val="39"/>
    <w:qFormat/>
    <w:rPr>
      <w:rFonts w:ascii="Times New Roman" w:hAnsi="Times New Roman" w:cs="金文宋體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网格型11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1">
    <w:name w:val="body1"/>
    <w:basedOn w:val="a0"/>
    <w:qFormat/>
    <w:rPr>
      <w:rFonts w:ascii="宋体" w:eastAsia="宋体" w:hAnsi="宋体" w:hint="eastAsia"/>
      <w:sz w:val="22"/>
      <w:szCs w:val="22"/>
    </w:rPr>
  </w:style>
  <w:style w:type="character" w:customStyle="1" w:styleId="Char1">
    <w:name w:val="網文正文頂格 Char"/>
    <w:link w:val="aff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E433-27B1-46D4-93D1-AE6AD9F1C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11</Pages>
  <Words>629</Words>
  <Characters>3587</Characters>
  <Application>Microsoft Office Word</Application>
  <DocSecurity>0</DocSecurity>
  <Lines>29</Lines>
  <Paragraphs>8</Paragraphs>
  <ScaleCrop>false</ScaleCrop>
  <Company>GWZ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lastModifiedBy>翟 超群</cp:lastModifiedBy>
  <cp:revision>290</cp:revision>
  <dcterms:created xsi:type="dcterms:W3CDTF">2018-01-27T09:07:00Z</dcterms:created>
  <dcterms:modified xsi:type="dcterms:W3CDTF">2023-02-26T09:50:00Z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3C0399AA49C04908B16EB0878832BD32</vt:lpwstr>
  </property>
</Properties>
</file>