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1517" w14:textId="3C26550C" w:rsidR="00C64CDB" w:rsidRDefault="00FA30F4" w:rsidP="00340C74">
      <w:pPr>
        <w:pStyle w:val="aff7"/>
        <w:rPr>
          <w:lang w:eastAsia="zh-TW"/>
        </w:rPr>
      </w:pPr>
      <w:r w:rsidRPr="00340C74">
        <w:rPr>
          <w:rFonts w:hint="eastAsia"/>
          <w:lang w:eastAsia="zh-TW"/>
        </w:rPr>
        <w:t>秦簡語詞札記三則</w:t>
      </w:r>
    </w:p>
    <w:p w14:paraId="25997ECF" w14:textId="77777777" w:rsidR="00075069" w:rsidRPr="00340C74" w:rsidRDefault="00075069" w:rsidP="00340C74">
      <w:pPr>
        <w:pStyle w:val="aff7"/>
        <w:rPr>
          <w:lang w:eastAsia="zh-TW"/>
        </w:rPr>
      </w:pPr>
    </w:p>
    <w:p w14:paraId="4031C1F6" w14:textId="77777777" w:rsidR="00C64CDB" w:rsidRPr="00340C74" w:rsidRDefault="00FA30F4" w:rsidP="00340C74">
      <w:pPr>
        <w:pStyle w:val="aff8"/>
      </w:pPr>
      <w:r w:rsidRPr="00340C74">
        <w:rPr>
          <w:rFonts w:hint="eastAsia"/>
        </w:rPr>
        <w:t>任攀</w:t>
      </w:r>
    </w:p>
    <w:p w14:paraId="4FEADEF5" w14:textId="77777777" w:rsidR="00C64CDB" w:rsidRPr="00340C74" w:rsidRDefault="00FA30F4" w:rsidP="00340C74">
      <w:pPr>
        <w:pStyle w:val="aff8"/>
      </w:pPr>
      <w:r w:rsidRPr="00340C74">
        <w:rPr>
          <w:rFonts w:hint="eastAsia"/>
        </w:rPr>
        <w:t>復旦大學出土文獻與古文字研究中心</w:t>
      </w:r>
    </w:p>
    <w:p w14:paraId="00784469" w14:textId="77777777" w:rsidR="00C64CDB" w:rsidRPr="00340C74" w:rsidRDefault="00FA30F4" w:rsidP="00340C74">
      <w:pPr>
        <w:pStyle w:val="aff8"/>
      </w:pPr>
      <w:r w:rsidRPr="00340C74">
        <w:rPr>
          <w:rFonts w:hint="eastAsia"/>
        </w:rPr>
        <w:t>“古文字與中華文明傳承發展工程”協同攻關創新平臺</w:t>
      </w:r>
    </w:p>
    <w:p w14:paraId="20E516BC" w14:textId="77777777" w:rsidR="00C64CDB" w:rsidRDefault="00C64CDB" w:rsidP="00340C74">
      <w:pPr>
        <w:pStyle w:val="aff6"/>
        <w:ind w:firstLine="560"/>
        <w:rPr>
          <w:lang w:eastAsia="zh-TW"/>
        </w:rPr>
      </w:pPr>
    </w:p>
    <w:p w14:paraId="0FA5F2AF" w14:textId="77777777" w:rsidR="00C64CDB" w:rsidRPr="00075069" w:rsidRDefault="00FA30F4" w:rsidP="00075069">
      <w:pPr>
        <w:pStyle w:val="aff6"/>
        <w:ind w:firstLine="562"/>
        <w:jc w:val="center"/>
        <w:rPr>
          <w:b/>
          <w:bCs/>
          <w:lang w:eastAsia="zh-TW"/>
        </w:rPr>
      </w:pPr>
      <w:r w:rsidRPr="00075069">
        <w:rPr>
          <w:rFonts w:hint="eastAsia"/>
          <w:b/>
          <w:bCs/>
          <w:lang w:eastAsia="zh-TW"/>
        </w:rPr>
        <w:t>一、睡虎地</w:t>
      </w:r>
      <w:r w:rsidRPr="00075069">
        <w:rPr>
          <w:b/>
          <w:bCs/>
          <w:lang w:eastAsia="zh-TW"/>
        </w:rPr>
        <w:t>4</w:t>
      </w:r>
      <w:r w:rsidRPr="00075069">
        <w:rPr>
          <w:rFonts w:hint="eastAsia"/>
          <w:b/>
          <w:bCs/>
          <w:lang w:eastAsia="zh-TW"/>
        </w:rPr>
        <w:t>號墓1</w:t>
      </w:r>
      <w:r w:rsidRPr="00075069">
        <w:rPr>
          <w:b/>
          <w:bCs/>
          <w:lang w:eastAsia="zh-TW"/>
        </w:rPr>
        <w:t>1</w:t>
      </w:r>
      <w:r w:rsidRPr="00075069">
        <w:rPr>
          <w:rFonts w:hint="eastAsia"/>
          <w:b/>
          <w:bCs/>
          <w:lang w:eastAsia="zh-TW"/>
        </w:rPr>
        <w:t>號書信牘“相家爵”釋義</w:t>
      </w:r>
    </w:p>
    <w:p w14:paraId="6C5BCE05" w14:textId="77777777" w:rsidR="00C64CDB" w:rsidRDefault="00FA30F4" w:rsidP="00340C74">
      <w:pPr>
        <w:pStyle w:val="aff6"/>
        <w:ind w:firstLine="560"/>
        <w:rPr>
          <w:lang w:eastAsia="zh-TW"/>
        </w:rPr>
      </w:pPr>
      <w:r>
        <w:rPr>
          <w:lang w:eastAsia="zh-TW"/>
        </w:rPr>
        <w:t>1975</w:t>
      </w:r>
      <w:r>
        <w:rPr>
          <w:rFonts w:hint="eastAsia"/>
          <w:lang w:eastAsia="zh-TW"/>
        </w:rPr>
        <w:t>年雲夢睡虎地</w:t>
      </w:r>
      <w:r>
        <w:rPr>
          <w:lang w:eastAsia="zh-TW"/>
        </w:rPr>
        <w:t>4</w:t>
      </w:r>
      <w:r>
        <w:rPr>
          <w:rFonts w:hint="eastAsia"/>
          <w:lang w:eastAsia="zh-TW"/>
        </w:rPr>
        <w:t>號秦墓出土</w:t>
      </w:r>
      <w:r>
        <w:rPr>
          <w:lang w:eastAsia="zh-TW"/>
        </w:rPr>
        <w:t>2</w:t>
      </w:r>
      <w:r>
        <w:rPr>
          <w:rFonts w:hint="eastAsia"/>
          <w:lang w:eastAsia="zh-TW"/>
        </w:rPr>
        <w:t>件書信木牘（</w:t>
      </w:r>
      <w:r>
        <w:rPr>
          <w:lang w:eastAsia="zh-TW"/>
        </w:rPr>
        <w:t>11</w:t>
      </w:r>
      <w:r>
        <w:rPr>
          <w:rFonts w:hint="eastAsia"/>
          <w:lang w:eastAsia="zh-TW"/>
        </w:rPr>
        <w:t>號、</w:t>
      </w:r>
      <w:r>
        <w:rPr>
          <w:lang w:eastAsia="zh-TW"/>
        </w:rPr>
        <w:t>6</w:t>
      </w:r>
      <w:r>
        <w:rPr>
          <w:rFonts w:hint="eastAsia"/>
          <w:lang w:eastAsia="zh-TW"/>
        </w:rPr>
        <w:t>號），</w:t>
      </w:r>
      <w:r>
        <w:rPr>
          <w:lang w:eastAsia="zh-TW"/>
        </w:rPr>
        <w:t>11</w:t>
      </w:r>
      <w:r>
        <w:rPr>
          <w:rFonts w:hint="eastAsia"/>
          <w:lang w:eastAsia="zh-TW"/>
        </w:rPr>
        <w:t>號木牘較完整，內容是黑夫和驚二人聯名給家裏的書信，6號木牘則是驚個人的家信，時間上晚於1</w:t>
      </w:r>
      <w:r>
        <w:rPr>
          <w:lang w:eastAsia="zh-TW"/>
        </w:rPr>
        <w:t>1</w:t>
      </w:r>
      <w:r>
        <w:rPr>
          <w:rFonts w:hint="eastAsia"/>
          <w:lang w:eastAsia="zh-TW"/>
        </w:rPr>
        <w:t>號木牘。1</w:t>
      </w:r>
      <w:r>
        <w:rPr>
          <w:lang w:eastAsia="zh-TW"/>
        </w:rPr>
        <w:t>1</w:t>
      </w:r>
      <w:r>
        <w:rPr>
          <w:rFonts w:hint="eastAsia"/>
          <w:lang w:eastAsia="zh-TW"/>
        </w:rPr>
        <w:t>號木牘中出現的“相家爵”一語，或以爲人名，或以爲軍功爵的俗名，理解上分歧較大，試作討論。</w:t>
      </w:r>
    </w:p>
    <w:p w14:paraId="18FB7EFB" w14:textId="77777777" w:rsidR="00C64CDB" w:rsidRDefault="00FA30F4" w:rsidP="00340C74">
      <w:pPr>
        <w:pStyle w:val="aff6"/>
        <w:ind w:firstLine="560"/>
        <w:rPr>
          <w:lang w:eastAsia="zh-TW"/>
        </w:rPr>
      </w:pPr>
      <w:r>
        <w:rPr>
          <w:rFonts w:hint="eastAsia"/>
          <w:lang w:eastAsia="zh-TW"/>
        </w:rPr>
        <w:t>“相家爵”出現兩處：</w:t>
      </w:r>
    </w:p>
    <w:p w14:paraId="0343274C" w14:textId="77777777" w:rsidR="00C64CDB" w:rsidRPr="00075069" w:rsidRDefault="00FA30F4" w:rsidP="00075069">
      <w:pPr>
        <w:pStyle w:val="aff4"/>
        <w:spacing w:before="468" w:after="468"/>
        <w:ind w:firstLine="496"/>
      </w:pPr>
      <w:r w:rsidRPr="00075069">
        <w:rPr>
          <w:rFonts w:hint="eastAsia"/>
        </w:rPr>
        <w:t>1</w:t>
      </w:r>
      <w:r w:rsidRPr="00075069">
        <w:t>.</w:t>
      </w:r>
      <w:r w:rsidRPr="00075069">
        <w:rPr>
          <w:rFonts w:hint="eastAsia"/>
        </w:rPr>
        <w:t>書到，皆爲報。報必言相家爵來未來，告黑夫其未來狀。</w:t>
      </w:r>
    </w:p>
    <w:p w14:paraId="4247465B" w14:textId="77777777" w:rsidR="00C64CDB" w:rsidRPr="00075069" w:rsidRDefault="00FA30F4" w:rsidP="00075069">
      <w:pPr>
        <w:pStyle w:val="aff4"/>
        <w:spacing w:before="468" w:after="468"/>
        <w:ind w:firstLine="496"/>
      </w:pPr>
      <w:r w:rsidRPr="00075069">
        <w:rPr>
          <w:rFonts w:hint="eastAsia"/>
        </w:rPr>
        <w:t>2</w:t>
      </w:r>
      <w:r w:rsidRPr="00075069">
        <w:t>.</w:t>
      </w:r>
      <w:r w:rsidRPr="00075069">
        <w:rPr>
          <w:rFonts w:hint="eastAsia"/>
        </w:rPr>
        <w:t>聞王得苟得毋恙也，辭相家爵不也？</w:t>
      </w:r>
    </w:p>
    <w:p w14:paraId="4362F04B" w14:textId="56143278" w:rsidR="00340C74" w:rsidRDefault="00FA30F4" w:rsidP="00340C74">
      <w:pPr>
        <w:pStyle w:val="aff6"/>
        <w:ind w:firstLine="560"/>
        <w:rPr>
          <w:lang w:eastAsia="zh-TW"/>
        </w:rPr>
      </w:pPr>
      <w:r>
        <w:rPr>
          <w:rFonts w:hint="eastAsia"/>
          <w:lang w:eastAsia="zh-TW"/>
        </w:rPr>
        <w:t>黃盛璋在書信譯文中未對“相家爵”一語作出解釋。</w:t>
      </w:r>
      <w:r w:rsidR="00340C74">
        <w:endnoteReference w:id="1"/>
      </w:r>
      <w:r w:rsidR="00340C74">
        <w:rPr>
          <w:rFonts w:hint="eastAsia"/>
          <w:lang w:eastAsia="zh-TW"/>
        </w:rPr>
        <w:t>湯餘惠較早明確將“相家爵”看作人名。</w:t>
      </w:r>
      <w:r w:rsidR="00340C74">
        <w:endnoteReference w:id="2"/>
      </w:r>
      <w:r w:rsidR="00340C74">
        <w:rPr>
          <w:rFonts w:hint="eastAsia"/>
          <w:lang w:eastAsia="zh-TW"/>
        </w:rPr>
        <w:t>陳偉主編《秦簡牘合集》在注釋的按語中說：“似王得之辭‘相家爵’與其‘來未來’有關。‘相家爵’爲人名的可能性較大。”</w:t>
      </w:r>
      <w:r w:rsidR="00340C74">
        <w:endnoteReference w:id="3"/>
      </w:r>
    </w:p>
    <w:p w14:paraId="45A958EB" w14:textId="77777777" w:rsidR="00340C74" w:rsidRDefault="00340C74" w:rsidP="00340C74">
      <w:pPr>
        <w:pStyle w:val="aff6"/>
        <w:ind w:firstLine="560"/>
        <w:rPr>
          <w:lang w:eastAsia="zh-TW"/>
        </w:rPr>
      </w:pPr>
      <w:r>
        <w:rPr>
          <w:rFonts w:hint="eastAsia"/>
          <w:lang w:eastAsia="zh-TW"/>
        </w:rPr>
        <w:t>高敏、朱紹侯較早提出“相家爵”是軍爵的看法。</w:t>
      </w:r>
      <w:r>
        <w:endnoteReference w:id="4"/>
      </w:r>
      <w:r>
        <w:rPr>
          <w:rFonts w:hint="eastAsia"/>
          <w:lang w:eastAsia="zh-TW"/>
        </w:rPr>
        <w:t>張金光在討</w:t>
      </w:r>
      <w:r>
        <w:rPr>
          <w:rFonts w:hint="eastAsia"/>
          <w:lang w:eastAsia="zh-TW"/>
        </w:rPr>
        <w:lastRenderedPageBreak/>
        <w:t>論地方政府在論爵過程中的作用時也引到1</w:t>
      </w:r>
      <w:r>
        <w:rPr>
          <w:lang w:eastAsia="zh-TW"/>
        </w:rPr>
        <w:t>1</w:t>
      </w:r>
      <w:r>
        <w:rPr>
          <w:rFonts w:hint="eastAsia"/>
          <w:lang w:eastAsia="zh-TW"/>
        </w:rPr>
        <w:t>號木牘。</w:t>
      </w:r>
      <w:r>
        <w:endnoteReference w:id="5"/>
      </w:r>
      <w:r>
        <w:rPr>
          <w:rFonts w:hint="eastAsia"/>
          <w:lang w:eastAsia="zh-TW"/>
        </w:rPr>
        <w:t>張伯元對“相家爵”的含義有進一步的闡釋，將“相家”看作“相室”的異名，指一家之長、鄉里之長或家臣之長，認爲“相家爵”可能是一種有助於受爵軍人家庭的歸爵。</w:t>
      </w:r>
      <w:r>
        <w:endnoteReference w:id="6"/>
      </w:r>
    </w:p>
    <w:p w14:paraId="0CC509E3" w14:textId="77777777" w:rsidR="00340C74" w:rsidRDefault="00340C74" w:rsidP="00340C74">
      <w:pPr>
        <w:pStyle w:val="aff6"/>
        <w:ind w:firstLine="560"/>
        <w:rPr>
          <w:lang w:eastAsia="zh-TW"/>
        </w:rPr>
      </w:pPr>
      <w:r>
        <w:rPr>
          <w:rFonts w:hint="eastAsia"/>
          <w:lang w:eastAsia="zh-TW"/>
        </w:rPr>
        <w:t>“相家爵”理解上的人名說和軍爵說兩種觀點在一定程度上反映了語言文字學者和歷史學者在出土文獻解讀上的不同傾向。</w:t>
      </w:r>
    </w:p>
    <w:p w14:paraId="7E190D1F" w14:textId="77777777" w:rsidR="00340C74" w:rsidRDefault="00340C74" w:rsidP="00340C74">
      <w:pPr>
        <w:pStyle w:val="aff6"/>
        <w:ind w:firstLine="560"/>
        <w:rPr>
          <w:lang w:eastAsia="zh-TW"/>
        </w:rPr>
      </w:pPr>
      <w:r>
        <w:rPr>
          <w:rFonts w:hint="eastAsia"/>
          <w:lang w:eastAsia="zh-TW"/>
        </w:rPr>
        <w:t>語言學者有“例不十，不立法”“例外不十，法不破”的傳統。前一句是黎錦熙在《新著國語文法·原序》中提出來的，強調在利用歸納法的時候不爲個別的例外新立一種假設。後一句是王力在《漢語史稿》中討論漢語史研究方法時提出來的，強調區別一般和特殊，不因個別的例外或孤證破壞一般的規律。</w:t>
      </w:r>
    </w:p>
    <w:p w14:paraId="22195F4A" w14:textId="77777777" w:rsidR="00340C74" w:rsidRDefault="00340C74" w:rsidP="00340C74">
      <w:pPr>
        <w:pStyle w:val="aff6"/>
        <w:ind w:firstLine="560"/>
        <w:rPr>
          <w:lang w:eastAsia="zh-TW"/>
        </w:rPr>
      </w:pPr>
      <w:r>
        <w:rPr>
          <w:rFonts w:hint="eastAsia"/>
          <w:lang w:eastAsia="zh-TW"/>
        </w:rPr>
        <w:t>“相家爵”一語目前僅在睡虎地4號墓出土的1</w:t>
      </w:r>
      <w:r>
        <w:rPr>
          <w:lang w:eastAsia="zh-TW"/>
        </w:rPr>
        <w:t>1</w:t>
      </w:r>
      <w:r>
        <w:rPr>
          <w:rFonts w:hint="eastAsia"/>
          <w:lang w:eastAsia="zh-TW"/>
        </w:rPr>
        <w:t>號木牘中見到，傳世文獻未見，其他出土文獻中也沒有，從用例看是兩個，從載體看又是孤證。在語言學者看來，這顯然不足以支撐對“相家爵”一語作過多的解釋。《秦簡牘合集》按語中試圖通過尋找兩處用例的關聯給出可能性最大的解釋，不過這種關聯也並不能肯定。上揭“相家爵”的兩處用例，第1個是說黑夫家的事，第2個是說王得家的事，本不相干。所以，這麼看，對於“相家爵”就只能從能夠跟“來”和“辭”搭配使用這兩點來考慮。湯餘惠將“辭”理解爲告訴，那就只能將“相家爵”看作人名；也有可能，他是先將“相家爵”看作人名，再考慮“辭”的解釋。</w:t>
      </w:r>
    </w:p>
    <w:p w14:paraId="42696BA1" w14:textId="77777777" w:rsidR="00340C74" w:rsidRDefault="00340C74" w:rsidP="00340C74">
      <w:pPr>
        <w:pStyle w:val="aff6"/>
        <w:ind w:firstLine="560"/>
        <w:rPr>
          <w:lang w:eastAsia="zh-TW"/>
        </w:rPr>
      </w:pPr>
      <w:r>
        <w:rPr>
          <w:rFonts w:hint="eastAsia"/>
          <w:lang w:eastAsia="zh-TW"/>
        </w:rPr>
        <w:lastRenderedPageBreak/>
        <w:t>語言學者強調“例不十，不立法”並不是忽視個別特例，事實上特例的解讀往往能引發對相關問題的深入研討，只是在材料不足以支撐對特例作確切解讀的條件下的嚴謹態度。</w:t>
      </w:r>
    </w:p>
    <w:p w14:paraId="6152DFD8" w14:textId="77777777" w:rsidR="00340C74" w:rsidRDefault="00340C74" w:rsidP="00340C74">
      <w:pPr>
        <w:pStyle w:val="aff6"/>
        <w:ind w:firstLine="560"/>
        <w:rPr>
          <w:lang w:eastAsia="zh-TW"/>
        </w:rPr>
      </w:pPr>
      <w:r>
        <w:rPr>
          <w:rFonts w:hint="eastAsia"/>
          <w:lang w:eastAsia="zh-TW"/>
        </w:rPr>
        <w:t>歷史學者虽然多認爲“相家爵”跟軍爵有關，但對其理據也缺乏妥帖的解釋。他們據以理解“相家爵”的材料主要有如下幾條：</w:t>
      </w:r>
    </w:p>
    <w:p w14:paraId="436251F0" w14:textId="37C0E7A1" w:rsidR="00340C74" w:rsidRPr="00F80C5C" w:rsidRDefault="00340C74" w:rsidP="00F80C5C">
      <w:pPr>
        <w:pStyle w:val="aff6"/>
        <w:ind w:firstLine="560"/>
        <w:rPr>
          <w:lang w:eastAsia="zh-TW"/>
        </w:rPr>
      </w:pPr>
      <w:r w:rsidRPr="00F80C5C">
        <w:rPr>
          <w:rFonts w:hint="eastAsia"/>
          <w:lang w:eastAsia="zh-TW"/>
        </w:rPr>
        <w:t>（1）《商君書·境內》：[其縣過三日不致士大夫勞爵，能&lt;罷&gt;]其縣四尉，訾由丞尉。</w:t>
      </w:r>
    </w:p>
    <w:p w14:paraId="2DEE3051" w14:textId="1BCEBF0E" w:rsidR="00340C74" w:rsidRPr="00F80C5C" w:rsidRDefault="00340C74" w:rsidP="00F80C5C">
      <w:pPr>
        <w:pStyle w:val="aff6"/>
        <w:ind w:firstLine="560"/>
      </w:pPr>
      <w:r w:rsidRPr="00F80C5C">
        <w:rPr>
          <w:rFonts w:hint="eastAsia"/>
          <w:lang w:eastAsia="zh-TW"/>
        </w:rPr>
        <w:t>（2）《荀子·議兵》：“秦人……功賞相長也，五甲首而隸五家。”楊倞注云：“有功而賞之使相長，獲得五甲首，則役隸鄉里之五家。</w:t>
      </w:r>
      <w:r w:rsidRPr="00F80C5C">
        <w:rPr>
          <w:rFonts w:hint="eastAsia"/>
        </w:rPr>
        <w:t>”</w:t>
      </w:r>
      <w:r w:rsidRPr="00F80C5C">
        <w:endnoteReference w:id="7"/>
      </w:r>
    </w:p>
    <w:p w14:paraId="25C05BE2" w14:textId="73E2C039" w:rsidR="00340C74" w:rsidRPr="00F80C5C" w:rsidRDefault="00340C74" w:rsidP="00F80C5C">
      <w:pPr>
        <w:pStyle w:val="aff6"/>
        <w:ind w:firstLine="560"/>
        <w:rPr>
          <w:lang w:eastAsia="zh-TW"/>
        </w:rPr>
      </w:pPr>
      <w:r w:rsidRPr="00F80C5C">
        <w:rPr>
          <w:rFonts w:hint="eastAsia"/>
          <w:lang w:eastAsia="zh-TW"/>
        </w:rPr>
        <w:t>（3）《秦律十八種·軍爵律》：欲歸爵二級以免親父母爲隸臣妾者一人，及隸臣斬首爲公士，謁歸公士而免故妻隸妾一人者，許之，免以爲庶人。</w:t>
      </w:r>
      <w:r w:rsidRPr="00F80C5C">
        <w:endnoteReference w:id="8"/>
      </w:r>
    </w:p>
    <w:p w14:paraId="5F91B961" w14:textId="77777777" w:rsidR="00340C74" w:rsidRDefault="00340C74" w:rsidP="00340C74">
      <w:pPr>
        <w:pStyle w:val="aff6"/>
        <w:ind w:firstLine="560"/>
        <w:rPr>
          <w:lang w:eastAsia="zh-TW"/>
        </w:rPr>
      </w:pPr>
      <w:r>
        <w:rPr>
          <w:rFonts w:hint="eastAsia"/>
          <w:lang w:eastAsia="zh-TW"/>
        </w:rPr>
        <w:t>第（1）例是由張金光舉出（《商君書》訛脫衍倒之處甚多，此據張氏所引並加校改）。張氏據文獻和秦簡牘認爲秦爵的論賜有三個步驟：第一步是“暴首”“驗首”，就是陳列首級加以校驗；第二步是由戰士籍貫所在縣根據規定論功予爵；第三步是賜，隨爵賜予相應待遇。他認爲1</w:t>
      </w:r>
      <w:r>
        <w:rPr>
          <w:lang w:eastAsia="zh-TW"/>
        </w:rPr>
        <w:t>1</w:t>
      </w:r>
      <w:r>
        <w:rPr>
          <w:rFonts w:hint="eastAsia"/>
          <w:lang w:eastAsia="zh-TW"/>
        </w:rPr>
        <w:t>號木牘中的“報必言相家爵來未來”就是詢問家鄉地方政府“相家爵”否，似將“相家爵”理解爲論功予爵之義。</w:t>
      </w:r>
      <w:r>
        <w:rPr>
          <w:lang w:eastAsia="zh-TW"/>
        </w:rPr>
        <w:endnoteReference w:id="9"/>
      </w:r>
      <w:r>
        <w:rPr>
          <w:rFonts w:hint="eastAsia"/>
          <w:lang w:eastAsia="zh-TW"/>
        </w:rPr>
        <w:t>按，書信中黑夫問家裏“相家爵來未來”，大概是詢問論爵的通告文書之類有沒有來到家中，或者相應待遇有無落實的意思。</w:t>
      </w:r>
    </w:p>
    <w:p w14:paraId="748194A1" w14:textId="77777777" w:rsidR="00340C74" w:rsidRDefault="00340C74" w:rsidP="00340C74">
      <w:pPr>
        <w:pStyle w:val="aff6"/>
        <w:ind w:firstLine="560"/>
        <w:rPr>
          <w:lang w:eastAsia="zh-TW"/>
        </w:rPr>
      </w:pPr>
      <w:r>
        <w:rPr>
          <w:rFonts w:hint="eastAsia"/>
          <w:lang w:eastAsia="zh-TW"/>
        </w:rPr>
        <w:lastRenderedPageBreak/>
        <w:t>第（2）（3）例由張伯元舉出。秦自商鞅變法後論爵以軍功爲本，吏民爵最高不過公乘（八等爵），其功用有多種，除了標識個人的社會經濟地位，還可以爲家庭成員減免刑罰、免除勞役，或者使家庭獲得隸役和田宅。</w:t>
      </w:r>
      <w:r>
        <w:rPr>
          <w:lang w:eastAsia="zh-TW"/>
        </w:rPr>
        <w:endnoteReference w:id="10"/>
      </w:r>
    </w:p>
    <w:p w14:paraId="2A2FCEE3" w14:textId="77777777" w:rsidR="00340C74" w:rsidRDefault="00340C74" w:rsidP="00340C74">
      <w:pPr>
        <w:pStyle w:val="aff6"/>
        <w:ind w:firstLine="560"/>
        <w:rPr>
          <w:lang w:eastAsia="zh-TW"/>
        </w:rPr>
      </w:pPr>
      <w:r>
        <w:rPr>
          <w:rFonts w:hint="eastAsia"/>
          <w:lang w:eastAsia="zh-TW"/>
        </w:rPr>
        <w:t>此外，嶽麓書院藏秦簡多有解爵以除債的記錄，更有一條令文作：</w:t>
      </w:r>
    </w:p>
    <w:p w14:paraId="0720B19C" w14:textId="77777777" w:rsidR="00340C74" w:rsidRDefault="00340C74" w:rsidP="00340C74">
      <w:pPr>
        <w:pStyle w:val="aff4"/>
        <w:spacing w:before="468" w:after="468"/>
        <w:ind w:firstLine="496"/>
      </w:pPr>
      <w:r>
        <w:rPr>
          <w:rFonts w:hint="eastAsia"/>
        </w:rPr>
        <w:t>●令曰：吏及黔首有貲贖萬錢以下而謁解爵一级以除，【及】當爲疾死、死事者後，謁毋受爵└，以除貲贖，（1168+1192/1</w:t>
      </w:r>
      <w:r>
        <w:t>38</w:t>
      </w:r>
      <w:r>
        <w:rPr>
          <w:rFonts w:hint="eastAsia"/>
        </w:rPr>
        <w:t>）皆許之。其所除貲贖[皆許之，其所除貲贖]過萬錢而謁益【解】爵、【毋受爵者，亦許之，一級除貲贖毋過萬】（1140/1</w:t>
      </w:r>
      <w:r>
        <w:t>39</w:t>
      </w:r>
      <w:r>
        <w:rPr>
          <w:rFonts w:hint="eastAsia"/>
        </w:rPr>
        <w:t>）錢，其皆謁以除親及它人及并自爲除，毋過三人。貲贖不盈萬錢以下，亦皆【許之。其年過</w:t>
      </w:r>
      <w:r>
        <w:rPr>
          <w:rFonts w:ascii="SimSun-ExtB" w:eastAsia="SimSun-ExtB" w:hAnsi="SimSun-ExtB" w:cs="SimSun-ExtB" w:hint="eastAsia"/>
        </w:rPr>
        <w:t>𠦜</w:t>
      </w:r>
      <w:r>
        <w:rPr>
          <w:rFonts w:hint="eastAsia"/>
        </w:rPr>
        <w:t>五以上者，不得解】（C8-1-12+2130/1</w:t>
      </w:r>
      <w:r>
        <w:t>40</w:t>
      </w:r>
      <w:r>
        <w:rPr>
          <w:rFonts w:hint="eastAsia"/>
        </w:rPr>
        <w:t>）</w:t>
      </w:r>
      <w:r>
        <w:rPr>
          <w:rFonts w:ascii="Cambria Math" w:hAnsi="Cambria Math" w:cs="Cambria Math"/>
        </w:rPr>
        <w:endnoteReference w:customMarkFollows="1" w:id="11"/>
        <w:t>⑪</w:t>
      </w:r>
    </w:p>
    <w:p w14:paraId="0C4A6AAB" w14:textId="77777777" w:rsidR="00340C74" w:rsidRDefault="00340C74" w:rsidP="00340C74">
      <w:pPr>
        <w:pStyle w:val="aff6"/>
        <w:ind w:firstLine="560"/>
        <w:rPr>
          <w:lang w:eastAsia="zh-TW"/>
        </w:rPr>
      </w:pPr>
      <w:r>
        <w:rPr>
          <w:rFonts w:hint="eastAsia"/>
          <w:lang w:eastAsia="zh-TW"/>
        </w:rPr>
        <w:t>解爵、毋受爵可以爲自己及親人和其他人免除貲贖債務。</w:t>
      </w:r>
    </w:p>
    <w:p w14:paraId="1DEAD00E" w14:textId="77777777" w:rsidR="00340C74" w:rsidRDefault="00340C74" w:rsidP="00340C74">
      <w:pPr>
        <w:pStyle w:val="aff6"/>
        <w:ind w:firstLine="560"/>
        <w:rPr>
          <w:lang w:eastAsia="zh-TW"/>
        </w:rPr>
      </w:pPr>
      <w:r>
        <w:rPr>
          <w:rFonts w:hint="eastAsia"/>
          <w:lang w:eastAsia="zh-TW"/>
        </w:rPr>
        <w:t>張伯元據第（3）例將“相家爵”看作一種“歸爵”，其實“歸”是與“辭相家爵”的“辭”、“解爵”的“解”以及“毋受爵”的“毋受”意義相當的，“相家爵”不一定要經受爵人辭歸官府才能發揮作用，不能將辭歸看作“相家爵”的固有屬性。</w:t>
      </w:r>
    </w:p>
    <w:p w14:paraId="543C69D3" w14:textId="77777777" w:rsidR="00340C74" w:rsidRDefault="00340C74" w:rsidP="00340C74">
      <w:pPr>
        <w:pStyle w:val="aff6"/>
        <w:ind w:firstLine="560"/>
        <w:rPr>
          <w:lang w:eastAsia="zh-TW"/>
        </w:rPr>
      </w:pPr>
      <w:r>
        <w:rPr>
          <w:rFonts w:hint="eastAsia"/>
          <w:lang w:eastAsia="zh-TW"/>
        </w:rPr>
        <w:t>從軍爵功用看，“相家”之義幾乎是呼之欲出的。“相”有輔相之義，“相家爵”就指有輔相家室之用的爵。《孔子家語·正論》云：“穆子返魯，以牛爲內豎，相家。”王肅注：“長，遂命爲相家。”</w:t>
      </w:r>
      <w:r>
        <w:rPr>
          <w:rFonts w:ascii="Cambria Math" w:hAnsi="Cambria Math" w:cs="Cambria Math"/>
          <w:lang w:eastAsia="zh-TW"/>
        </w:rPr>
        <w:lastRenderedPageBreak/>
        <w:endnoteReference w:customMarkFollows="1" w:id="12"/>
        <w:t>⑫</w:t>
      </w:r>
      <w:r>
        <w:rPr>
          <w:rFonts w:hint="eastAsia"/>
          <w:lang w:eastAsia="zh-TW"/>
        </w:rPr>
        <w:t>《禮記·曲禮下》云：“士不名家相、長妾。”孔疏：“家相，謂助知家事者也。”</w:t>
      </w:r>
      <w:r>
        <w:rPr>
          <w:rFonts w:ascii="Cambria Math" w:hAnsi="Cambria Math" w:cs="Cambria Math"/>
          <w:lang w:eastAsia="zh-TW"/>
        </w:rPr>
        <w:endnoteReference w:customMarkFollows="1" w:id="13"/>
        <w:t>⑬</w:t>
      </w:r>
      <w:r>
        <w:rPr>
          <w:rFonts w:hint="eastAsia"/>
          <w:lang w:eastAsia="zh-TW"/>
        </w:rPr>
        <w:t xml:space="preserve"> “相家”“家相”是一回事，兩種語序的存在表明“相”本當取輔相的動詞義：“相家”是動詞（V）+受事賓語（O），“家相”是受事賓語（O）+動詞（V）。漢語的VO語序一般是陳述性的而非指稱性的，調整爲OV語序則將V的動詞性減弱，使OV結構具有指稱性。</w:t>
      </w:r>
      <w:r>
        <w:rPr>
          <w:rFonts w:ascii="Cambria Math" w:hAnsi="Cambria Math" w:cs="Cambria Math"/>
          <w:lang w:eastAsia="zh-TW"/>
        </w:rPr>
        <w:endnoteReference w:customMarkFollows="1" w:id="14"/>
        <w:t>⑭</w:t>
      </w:r>
      <w:r>
        <w:rPr>
          <w:rFonts w:hint="eastAsia"/>
          <w:lang w:eastAsia="zh-TW"/>
        </w:rPr>
        <w:t>張伯元將“相家爵”看作“有助於受爵軍人家庭的歸爵”，有助於家庭本來就是對“相家”的解釋，但是他又將“相家”解釋爲一家之長，自相矛盾。</w:t>
      </w:r>
    </w:p>
    <w:p w14:paraId="2CB49B18" w14:textId="77777777" w:rsidR="00340C74" w:rsidRDefault="00340C74" w:rsidP="00340C74">
      <w:pPr>
        <w:pStyle w:val="aff6"/>
        <w:ind w:firstLine="560"/>
        <w:rPr>
          <w:lang w:eastAsia="zh-TW"/>
        </w:rPr>
      </w:pPr>
      <w:r>
        <w:rPr>
          <w:rFonts w:hint="eastAsia"/>
          <w:lang w:eastAsia="zh-TW"/>
        </w:rPr>
        <w:t>從上揭1</w:t>
      </w:r>
      <w:r>
        <w:rPr>
          <w:lang w:eastAsia="zh-TW"/>
        </w:rPr>
        <w:t>1</w:t>
      </w:r>
      <w:r>
        <w:rPr>
          <w:rFonts w:hint="eastAsia"/>
          <w:lang w:eastAsia="zh-TW"/>
        </w:rPr>
        <w:t>號木牘中“相家爵”一語所處的位置看，它的功能雖然可以看作人名，但是它本身卻不太可能是人名。《左傳·桓公六年》載魯國大夫申繻論說起名的宜忌說：</w:t>
      </w:r>
    </w:p>
    <w:p w14:paraId="27AEC096" w14:textId="77777777" w:rsidR="00340C74" w:rsidRDefault="00340C74" w:rsidP="00340C74">
      <w:pPr>
        <w:pStyle w:val="aff4"/>
        <w:spacing w:before="468" w:after="468"/>
        <w:ind w:firstLine="496"/>
      </w:pPr>
      <w:r>
        <w:rPr>
          <w:rFonts w:hint="eastAsia"/>
        </w:rPr>
        <w:t>不以國，不以官，不以山川，不以隱疾，不以畜牲，不以器幣。</w:t>
      </w:r>
      <w:r>
        <w:t>周人以諱事神，名，終將諱之。故以國則廢名，以官則廢職，以山川則廢主，以畜牲則廢祀，以器幣則廢禮。</w:t>
      </w:r>
      <w:r>
        <w:rPr>
          <w:rFonts w:ascii="Cambria Math" w:hAnsi="Cambria Math" w:cs="Cambria Math"/>
        </w:rPr>
        <w:endnoteReference w:customMarkFollows="1" w:id="15"/>
        <w:t>⑮</w:t>
      </w:r>
    </w:p>
    <w:p w14:paraId="761EFE4D" w14:textId="77777777" w:rsidR="00340C74" w:rsidRDefault="00340C74" w:rsidP="00340C74">
      <w:pPr>
        <w:pStyle w:val="aff6"/>
        <w:ind w:firstLine="560"/>
        <w:rPr>
          <w:lang w:eastAsia="zh-TW"/>
        </w:rPr>
      </w:pPr>
      <w:r>
        <w:rPr>
          <w:rFonts w:hint="eastAsia"/>
          <w:lang w:eastAsia="zh-TW"/>
        </w:rPr>
        <w:t>古漢語中“爵”字的用法主要是表示官爵和禮器。起名“不以官”的“官”不僅包含官職名稱，也應當包含爵等名稱。先秦的官和爵一般是合一的，《商君書·境內》：“小夫死，以上至大夫，其官級一等，其墓樹級一樹。”</w:t>
      </w:r>
      <w:r>
        <w:rPr>
          <w:rFonts w:ascii="Cambria Math" w:hAnsi="Cambria Math" w:cs="Cambria Math"/>
          <w:lang w:eastAsia="zh-TW"/>
        </w:rPr>
        <w:endnoteReference w:customMarkFollows="1" w:id="16"/>
        <w:t>⑯</w:t>
      </w:r>
      <w:r>
        <w:rPr>
          <w:rFonts w:hint="eastAsia"/>
          <w:lang w:eastAsia="zh-TW"/>
        </w:rPr>
        <w:t>其中“官”就包含爵。“不以器幣”中的“器”指禮器，所以也不能用當禮器講的“爵”起名。</w:t>
      </w:r>
    </w:p>
    <w:p w14:paraId="1E0EB893" w14:textId="77777777" w:rsidR="00340C74" w:rsidRDefault="00340C74" w:rsidP="00340C74">
      <w:pPr>
        <w:pStyle w:val="aff6"/>
        <w:ind w:firstLine="560"/>
        <w:rPr>
          <w:lang w:eastAsia="zh-TW"/>
        </w:rPr>
      </w:pPr>
      <w:r>
        <w:rPr>
          <w:rFonts w:hint="eastAsia"/>
          <w:lang w:eastAsia="zh-TW"/>
        </w:rPr>
        <w:t>值得注意的是，查檢《二十五史人名索引》</w:t>
      </w:r>
      <w:r>
        <w:rPr>
          <w:rFonts w:ascii="Cambria Math" w:hAnsi="Cambria Math" w:cs="Cambria Math"/>
          <w:lang w:eastAsia="zh-TW"/>
        </w:rPr>
        <w:endnoteReference w:customMarkFollows="1" w:id="17"/>
        <w:t>⑰</w:t>
      </w:r>
      <w:r>
        <w:rPr>
          <w:rFonts w:hint="eastAsia"/>
          <w:lang w:eastAsia="zh-TW"/>
        </w:rPr>
        <w:t>和《中國歷代人</w:t>
      </w:r>
      <w:r>
        <w:rPr>
          <w:rFonts w:hint="eastAsia"/>
          <w:lang w:eastAsia="zh-TW"/>
        </w:rPr>
        <w:lastRenderedPageBreak/>
        <w:t>名大辭典》</w:t>
      </w:r>
      <w:r>
        <w:rPr>
          <w:rFonts w:ascii="Cambria Math" w:hAnsi="Cambria Math" w:cs="Cambria Math"/>
          <w:lang w:eastAsia="zh-TW"/>
        </w:rPr>
        <w:endnoteReference w:customMarkFollows="1" w:id="18"/>
        <w:t>⑱</w:t>
      </w:r>
      <w:r>
        <w:rPr>
          <w:rFonts w:hint="eastAsia"/>
          <w:lang w:eastAsia="zh-TW"/>
        </w:rPr>
        <w:t>，只有到元明以後才見到個別以“爵”字入名的，如元代有“賀天爵”，明代有“王爵”“吳繼爵”“徐文爵”。先秦秦漢簡帛與璽印、封泥資料中出現大量人名，也幾乎不見以“爵”字入名的。</w:t>
      </w:r>
      <w:r>
        <w:rPr>
          <w:rFonts w:ascii="Cambria Math" w:hAnsi="Cambria Math" w:cs="Cambria Math"/>
          <w:lang w:eastAsia="zh-TW"/>
        </w:rPr>
        <w:endnoteReference w:customMarkFollows="1" w:id="19"/>
        <w:t>⑲</w:t>
      </w:r>
      <w:r>
        <w:rPr>
          <w:rFonts w:hint="eastAsia"/>
          <w:lang w:eastAsia="zh-TW"/>
        </w:rPr>
        <w:t>據此似可看出，在唐宋以前，古人起名不但要注意避開爵稱，連“爵”字本身也要避開。嶽麓秦簡中有“自爵律”（</w:t>
      </w:r>
      <w:r>
        <w:rPr>
          <w:lang w:val="zh-TW" w:eastAsia="zh-TW"/>
        </w:rPr>
        <w:t>1922/220</w:t>
      </w:r>
      <w:r>
        <w:rPr>
          <w:rFonts w:hint="eastAsia"/>
          <w:lang w:eastAsia="zh-TW"/>
        </w:rPr>
        <w:t>）、“</w:t>
      </w:r>
      <w:r>
        <w:rPr>
          <w:lang w:eastAsia="zh-TW"/>
        </w:rPr>
        <w:t>縱</w:t>
      </w:r>
      <w:r>
        <w:rPr>
          <w:rFonts w:hint="eastAsia"/>
          <w:lang w:eastAsia="zh-TW"/>
        </w:rPr>
        <w:t>自</w:t>
      </w:r>
      <w:r>
        <w:rPr>
          <w:lang w:eastAsia="zh-TW"/>
        </w:rPr>
        <w:t>爵辠</w:t>
      </w:r>
      <w:r>
        <w:rPr>
          <w:rFonts w:hint="eastAsia"/>
          <w:lang w:eastAsia="zh-TW"/>
        </w:rPr>
        <w:t>”（</w:t>
      </w:r>
      <w:r>
        <w:rPr>
          <w:lang w:val="zh-TW" w:eastAsia="zh-TW"/>
        </w:rPr>
        <w:t>1671/222</w:t>
      </w:r>
      <w:r>
        <w:rPr>
          <w:rFonts w:hint="eastAsia"/>
          <w:lang w:eastAsia="zh-TW"/>
        </w:rPr>
        <w:t>）的說法，</w:t>
      </w:r>
      <w:r>
        <w:rPr>
          <w:rFonts w:ascii="Cambria Math" w:hAnsi="Cambria Math" w:cs="Cambria Math"/>
          <w:lang w:eastAsia="zh-TW"/>
        </w:rPr>
        <w:endnoteReference w:customMarkFollows="1" w:id="20"/>
        <w:t>⑳</w:t>
      </w:r>
      <w:r>
        <w:rPr>
          <w:rFonts w:hint="eastAsia"/>
          <w:lang w:eastAsia="zh-TW"/>
        </w:rPr>
        <w:t>不允許刑徒擅自解除標識身份的衣物。在軍功爵制等級森嚴的秦，在私名中大概更是要注意避免使用具有突出政治意義的“爵”字。</w:t>
      </w:r>
    </w:p>
    <w:p w14:paraId="35CBA8C2" w14:textId="0A4E3358" w:rsidR="00340C74" w:rsidRDefault="00340C74" w:rsidP="00340C74">
      <w:pPr>
        <w:pStyle w:val="aff6"/>
        <w:ind w:firstLine="560"/>
        <w:rPr>
          <w:rFonts w:eastAsia="PMingLiU"/>
          <w:lang w:eastAsia="zh-TW"/>
        </w:rPr>
      </w:pPr>
      <w:r>
        <w:rPr>
          <w:rFonts w:hint="eastAsia"/>
          <w:lang w:eastAsia="zh-TW"/>
        </w:rPr>
        <w:t>綜上，將“相家爵”看作人名面臨“爵”字不大可能入私名的問題，而將其看作軍功爵的俗稱，在詞義、辭例和相關制度上都圓通無礙，自然說服力更大。</w:t>
      </w:r>
    </w:p>
    <w:p w14:paraId="7514674B" w14:textId="77777777" w:rsidR="00FC4147" w:rsidRPr="00FC4147" w:rsidRDefault="00FC4147" w:rsidP="00340C74">
      <w:pPr>
        <w:pStyle w:val="aff6"/>
        <w:ind w:firstLine="560"/>
        <w:rPr>
          <w:rFonts w:eastAsia="PMingLiU"/>
          <w:lang w:eastAsia="zh-TW"/>
        </w:rPr>
      </w:pPr>
    </w:p>
    <w:p w14:paraId="6115EDA5" w14:textId="77777777" w:rsidR="00340C74" w:rsidRPr="00E862DE" w:rsidRDefault="00340C74" w:rsidP="00E862DE">
      <w:pPr>
        <w:pStyle w:val="aff6"/>
        <w:ind w:firstLine="562"/>
        <w:jc w:val="center"/>
        <w:rPr>
          <w:b/>
          <w:bCs/>
          <w:lang w:eastAsia="zh-TW"/>
        </w:rPr>
      </w:pPr>
      <w:r w:rsidRPr="00E862DE">
        <w:rPr>
          <w:rFonts w:hint="eastAsia"/>
          <w:b/>
          <w:bCs/>
          <w:lang w:eastAsia="zh-TW"/>
        </w:rPr>
        <w:t>二、秦更名方“宗堧”考</w:t>
      </w:r>
    </w:p>
    <w:p w14:paraId="214AC49C" w14:textId="1B82EEF6" w:rsidR="00340C74" w:rsidRDefault="00340C74" w:rsidP="00340C74">
      <w:pPr>
        <w:pStyle w:val="aff6"/>
        <w:ind w:firstLine="560"/>
        <w:rPr>
          <w:lang w:eastAsia="zh-TW"/>
        </w:rPr>
      </w:pPr>
      <w:r>
        <w:rPr>
          <w:rFonts w:hint="eastAsia"/>
          <w:lang w:eastAsia="zh-TW"/>
        </w:rPr>
        <w:t>在湖南省龍山縣里耶鎮戰國——秦代古城址發掘的一號井（</w:t>
      </w:r>
      <w:r>
        <w:rPr>
          <w:lang w:eastAsia="zh-TW"/>
        </w:rPr>
        <w:t>J1</w:t>
      </w:r>
      <w:r>
        <w:rPr>
          <w:rFonts w:hint="eastAsia"/>
          <w:lang w:eastAsia="zh-TW"/>
        </w:rPr>
        <w:t>）第</w:t>
      </w:r>
      <w:r>
        <w:rPr>
          <w:lang w:eastAsia="zh-TW"/>
        </w:rPr>
        <w:t>8</w:t>
      </w:r>
      <w:r>
        <w:rPr>
          <w:rFonts w:hint="eastAsia"/>
          <w:lang w:eastAsia="zh-TW"/>
        </w:rPr>
        <w:t>層出土有一塊木方（或稱“版”“牘”），出土號</w:t>
      </w:r>
      <w:r>
        <w:rPr>
          <w:lang w:eastAsia="zh-TW"/>
        </w:rPr>
        <w:t>8-455</w:t>
      </w:r>
      <w:r>
        <w:rPr>
          <w:rFonts w:ascii="微软雅黑" w:eastAsia="微软雅黑" w:hAnsi="微软雅黑" w:cs="微软雅黑" w:hint="eastAsia"/>
          <w:lang w:eastAsia="zh-TW"/>
        </w:rPr>
        <w:endnoteReference w:customMarkFollows="1" w:id="21"/>
        <w:t>㉑</w:t>
      </w:r>
      <w:r>
        <w:rPr>
          <w:rFonts w:cs="宋体" w:hint="eastAsia"/>
          <w:lang w:eastAsia="zh-TW"/>
        </w:rPr>
        <w:t>，整理號</w:t>
      </w:r>
      <w:r>
        <w:rPr>
          <w:lang w:eastAsia="zh-TW"/>
        </w:rPr>
        <w:t>8-461</w:t>
      </w:r>
      <w:r>
        <w:rPr>
          <w:rFonts w:ascii="微软雅黑" w:eastAsia="微软雅黑" w:hAnsi="微软雅黑" w:cs="微软雅黑" w:hint="eastAsia"/>
          <w:lang w:eastAsia="zh-TW"/>
        </w:rPr>
        <w:endnoteReference w:customMarkFollows="1" w:id="22"/>
        <w:t>㉒</w:t>
      </w:r>
      <w:r>
        <w:rPr>
          <w:rFonts w:cs="宋体" w:hint="eastAsia"/>
          <w:lang w:eastAsia="zh-TW"/>
        </w:rPr>
        <w:t>。木方釋文率先在</w:t>
      </w:r>
      <w:r>
        <w:rPr>
          <w:lang w:eastAsia="zh-TW"/>
        </w:rPr>
        <w:t>2008</w:t>
      </w:r>
      <w:r>
        <w:rPr>
          <w:rFonts w:hint="eastAsia"/>
          <w:lang w:eastAsia="zh-TW"/>
        </w:rPr>
        <w:t>年公佈，內容是秦統一後對稱謂用字用詞變更的具體規定，</w:t>
      </w:r>
      <w:r w:rsidR="008875D9">
        <w:rPr>
          <w:rFonts w:hint="eastAsia"/>
          <w:lang w:eastAsia="zh-TW"/>
        </w:rPr>
        <w:t>游</w:t>
      </w:r>
      <w:r>
        <w:rPr>
          <w:rFonts w:hint="eastAsia"/>
          <w:lang w:eastAsia="zh-TW"/>
        </w:rPr>
        <w:t>逸飛經邢義田提示將木方稱爲“秦更名方”，</w:t>
      </w:r>
      <w:r>
        <w:rPr>
          <w:rFonts w:ascii="微软雅黑" w:eastAsia="微软雅黑" w:hAnsi="微软雅黑" w:cs="微软雅黑" w:hint="eastAsia"/>
          <w:lang w:eastAsia="zh-TW"/>
        </w:rPr>
        <w:endnoteReference w:customMarkFollows="1" w:id="23"/>
        <w:t>㉓</w:t>
      </w:r>
      <w:r>
        <w:rPr>
          <w:rFonts w:cs="宋体" w:hint="eastAsia"/>
          <w:lang w:eastAsia="zh-TW"/>
        </w:rPr>
        <w:t>今從之。</w:t>
      </w:r>
    </w:p>
    <w:p w14:paraId="4C655D34" w14:textId="77777777" w:rsidR="00340C74" w:rsidRDefault="00340C74" w:rsidP="00340C74">
      <w:pPr>
        <w:pStyle w:val="aff6"/>
        <w:ind w:firstLine="560"/>
        <w:rPr>
          <w:lang w:eastAsia="zh-TW"/>
        </w:rPr>
      </w:pPr>
      <w:r>
        <w:rPr>
          <w:rFonts w:hint="eastAsia"/>
          <w:lang w:eastAsia="zh-TW"/>
        </w:rPr>
        <w:t>秦更名方公佈十餘年間，引起語言文字、歷史等相關學科不少研究者的關注，問題主要集中在文字釋讀、字詞關係、制度變遷、木方性質以及它跟秦“書同文字”政策的關聯等方面。本文從一處文字的</w:t>
      </w:r>
      <w:r>
        <w:rPr>
          <w:rFonts w:hint="eastAsia"/>
          <w:lang w:eastAsia="zh-TW"/>
        </w:rPr>
        <w:lastRenderedPageBreak/>
        <w:t>補釋入手討論秦宗廟制度在統一前後的變化。</w:t>
      </w:r>
    </w:p>
    <w:p w14:paraId="67B56722" w14:textId="6DA508C2" w:rsidR="00340C74" w:rsidRDefault="00340C74" w:rsidP="00340C74">
      <w:pPr>
        <w:pStyle w:val="aff6"/>
        <w:ind w:firstLine="560"/>
        <w:rPr>
          <w:lang w:eastAsia="zh-TW"/>
        </w:rPr>
      </w:pPr>
      <w:r>
        <w:rPr>
          <w:rFonts w:hint="eastAsia"/>
          <w:lang w:eastAsia="zh-TW"/>
        </w:rPr>
        <w:t>秦更名方的文字經張春龍、龍京沙、</w:t>
      </w:r>
      <w:r w:rsidR="008875D9">
        <w:rPr>
          <w:rFonts w:hint="eastAsia"/>
          <w:lang w:eastAsia="zh-TW"/>
        </w:rPr>
        <w:t>游</w:t>
      </w:r>
      <w:r>
        <w:rPr>
          <w:rFonts w:hint="eastAsia"/>
          <w:lang w:eastAsia="zh-TW"/>
        </w:rPr>
        <w:t>逸飛、陳偉、陳侃理、郭永秉、陳松長、賀曉朦、周波等人</w:t>
      </w:r>
      <w:r>
        <w:rPr>
          <w:rFonts w:ascii="微软雅黑" w:eastAsia="微软雅黑" w:hAnsi="微软雅黑" w:cs="微软雅黑" w:hint="eastAsia"/>
          <w:lang w:eastAsia="zh-TW"/>
        </w:rPr>
        <w:endnoteReference w:customMarkFollows="1" w:id="24"/>
        <w:t>㉔</w:t>
      </w:r>
      <w:r>
        <w:rPr>
          <w:rFonts w:hint="eastAsia"/>
          <w:lang w:eastAsia="zh-TW"/>
        </w:rPr>
        <w:t>的校讀之後，除了極個別筆畫極其模糊的之外，基本都已正確釋出。本文要討論的是木方正面第二欄左起第三列中的一個字。該列釋文，張春龍文中作：</w:t>
      </w:r>
    </w:p>
    <w:p w14:paraId="35427BFD" w14:textId="77777777" w:rsidR="00340C74" w:rsidRDefault="00340C74" w:rsidP="00340C74">
      <w:pPr>
        <w:pStyle w:val="aff4"/>
        <w:spacing w:before="468" w:after="468"/>
        <w:ind w:firstLine="496"/>
      </w:pPr>
      <w:r>
        <w:rPr>
          <w:rFonts w:hint="eastAsia"/>
        </w:rPr>
        <w:t>毋曰公□曰□□</w:t>
      </w:r>
    </w:p>
    <w:p w14:paraId="529B5D52" w14:textId="77777777" w:rsidR="00340C74" w:rsidRDefault="00340C74" w:rsidP="00340C74">
      <w:pPr>
        <w:pStyle w:val="aff6"/>
        <w:ind w:firstLine="560"/>
        <w:rPr>
          <w:lang w:eastAsia="zh-TW"/>
        </w:rPr>
      </w:pPr>
      <w:r>
        <w:rPr>
          <w:rFonts w:hint="eastAsia"/>
          <w:lang w:eastAsia="zh-TW"/>
        </w:rPr>
        <w:t>陳偉主編《里耶秦簡牘校釋（第</w:t>
      </w:r>
      <w:r>
        <w:rPr>
          <w:lang w:eastAsia="zh-TW"/>
        </w:rPr>
        <w:t>1</w:t>
      </w:r>
      <w:r>
        <w:rPr>
          <w:rFonts w:hint="eastAsia"/>
          <w:lang w:eastAsia="zh-TW"/>
        </w:rPr>
        <w:t>卷）》將第</w:t>
      </w:r>
      <w:r>
        <w:rPr>
          <w:lang w:eastAsia="zh-TW"/>
        </w:rPr>
        <w:t>4</w:t>
      </w:r>
      <w:r>
        <w:rPr>
          <w:rFonts w:hint="eastAsia"/>
          <w:lang w:eastAsia="zh-TW"/>
        </w:rPr>
        <w:t>字（</w:t>
      </w:r>
      <w:r>
        <w:rPr>
          <w:rFonts w:hint="eastAsia"/>
          <w:noProof/>
        </w:rPr>
        <w:drawing>
          <wp:inline distT="0" distB="0" distL="0" distR="0" wp14:anchorId="59DB9C11" wp14:editId="58FF0DBE">
            <wp:extent cx="590550" cy="4222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2956" cy="445771"/>
                    </a:xfrm>
                    <a:prstGeom prst="rect">
                      <a:avLst/>
                    </a:prstGeom>
                    <a:noFill/>
                    <a:ln>
                      <a:noFill/>
                    </a:ln>
                  </pic:spPr>
                </pic:pic>
              </a:graphicData>
            </a:graphic>
          </wp:inline>
        </w:drawing>
      </w:r>
      <w:r>
        <w:rPr>
          <w:rFonts w:hint="eastAsia"/>
          <w:lang w:eastAsia="zh-TW"/>
        </w:rPr>
        <w:t>）和第</w:t>
      </w:r>
      <w:r>
        <w:rPr>
          <w:lang w:eastAsia="zh-TW"/>
        </w:rPr>
        <w:t>7</w:t>
      </w:r>
      <w:r>
        <w:rPr>
          <w:rFonts w:hint="eastAsia"/>
          <w:lang w:eastAsia="zh-TW"/>
        </w:rPr>
        <w:t>字（</w:t>
      </w:r>
      <w:r>
        <w:rPr>
          <w:rFonts w:hint="eastAsia"/>
          <w:noProof/>
        </w:rPr>
        <w:drawing>
          <wp:inline distT="0" distB="0" distL="0" distR="0" wp14:anchorId="4BBF1C7F" wp14:editId="7DB5123E">
            <wp:extent cx="533400" cy="4686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7598" cy="490062"/>
                    </a:xfrm>
                    <a:prstGeom prst="rect">
                      <a:avLst/>
                    </a:prstGeom>
                    <a:noFill/>
                    <a:ln>
                      <a:noFill/>
                    </a:ln>
                  </pic:spPr>
                </pic:pic>
              </a:graphicData>
            </a:graphic>
          </wp:inline>
        </w:drawing>
      </w:r>
      <w:r>
        <w:rPr>
          <w:rFonts w:hint="eastAsia"/>
          <w:lang w:eastAsia="zh-TW"/>
        </w:rPr>
        <w:t>）釋作“</w:t>
      </w:r>
      <w:r>
        <w:rPr>
          <w:rFonts w:ascii="SimSun-ExtB" w:eastAsia="SimSun-ExtB" w:hAnsi="SimSun-ExtB" w:cs="SimSun-ExtB" w:hint="eastAsia"/>
          <w:lang w:eastAsia="zh-TW"/>
        </w:rPr>
        <w:t>𡊔</w:t>
      </w:r>
      <w:r>
        <w:rPr>
          <w:rFonts w:hint="eastAsia"/>
          <w:lang w:eastAsia="zh-TW"/>
        </w:rPr>
        <w:t>”，注釋說：</w:t>
      </w:r>
    </w:p>
    <w:p w14:paraId="2D57E669" w14:textId="77777777" w:rsidR="00340C74" w:rsidRDefault="00340C74" w:rsidP="00340C74">
      <w:pPr>
        <w:pStyle w:val="aff4"/>
        <w:spacing w:before="468" w:after="468"/>
        <w:ind w:firstLine="496"/>
        <w:rPr>
          <w:lang w:eastAsia="zh-CN"/>
        </w:rPr>
      </w:pPr>
      <w:r>
        <w:rPr>
          <w:rFonts w:hint="eastAsia"/>
        </w:rPr>
        <w:t>公</w:t>
      </w:r>
      <w:r>
        <w:rPr>
          <w:rFonts w:ascii="SimSun-ExtB" w:eastAsia="SimSun-ExtB" w:hAnsi="SimSun-ExtB" w:cs="SimSun-ExtB" w:hint="eastAsia"/>
        </w:rPr>
        <w:t>𡊔</w:t>
      </w:r>
      <w:r>
        <w:rPr>
          <w:rFonts w:hint="eastAsia"/>
        </w:rPr>
        <w:t>，似即“公市”。《晏子春秋·問上十一》：“於是令玩好不禦，公市不豫，宮室不飾，業土不成，止役輕稅，上下行之，而百姓相親。</w:t>
      </w:r>
      <w:r>
        <w:rPr>
          <w:rFonts w:hint="eastAsia"/>
          <w:lang w:eastAsia="zh-CN"/>
        </w:rPr>
        <w:t>”</w:t>
      </w:r>
      <w:r>
        <w:rPr>
          <w:rFonts w:ascii="微软雅黑" w:eastAsia="微软雅黑" w:hAnsi="微软雅黑" w:cs="微软雅黑" w:hint="eastAsia"/>
          <w:lang w:eastAsia="zh-CN"/>
        </w:rPr>
        <w:endnoteReference w:customMarkFollows="1" w:id="25"/>
        <w:t>㉕</w:t>
      </w:r>
    </w:p>
    <w:p w14:paraId="202F18E5" w14:textId="77777777" w:rsidR="00340C74" w:rsidRDefault="00340C74" w:rsidP="00340C74">
      <w:pPr>
        <w:pStyle w:val="aff6"/>
        <w:ind w:firstLine="560"/>
      </w:pPr>
      <w:r>
        <w:rPr>
          <w:rFonts w:hint="eastAsia"/>
        </w:rPr>
        <w:t>郭永秉曾懷疑第</w:t>
      </w:r>
      <w:r>
        <w:t>4</w:t>
      </w:r>
      <w:r>
        <w:rPr>
          <w:rFonts w:hint="eastAsia"/>
        </w:rPr>
        <w:t>和第</w:t>
      </w:r>
      <w:r>
        <w:t>7</w:t>
      </w:r>
      <w:r>
        <w:rPr>
          <w:rFonts w:hint="eastAsia"/>
        </w:rPr>
        <w:t>字是从土从而的“</w:t>
      </w:r>
      <w:r>
        <w:object w:dxaOrig="266" w:dyaOrig="233" w14:anchorId="2689D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11.65pt" o:ole="">
            <v:imagedata r:id="rId9" o:title=""/>
          </v:shape>
          <o:OLEObject Type="Embed" ProgID="PBrush" ShapeID="_x0000_i1025" DrawAspect="Content" ObjectID="_1729008916" r:id="rId10"/>
        </w:object>
      </w:r>
      <w:r>
        <w:rPr>
          <w:rFonts w:hint="eastAsia"/>
        </w:rPr>
        <w:t>”，云：</w:t>
      </w:r>
    </w:p>
    <w:p w14:paraId="49DADF5C" w14:textId="77777777" w:rsidR="00340C74" w:rsidRDefault="00340C74" w:rsidP="00340C74">
      <w:pPr>
        <w:pStyle w:val="aff4"/>
        <w:spacing w:before="468" w:after="468"/>
        <w:ind w:firstLine="496"/>
      </w:pPr>
      <w:r>
        <w:rPr>
          <w:rFonts w:hint="eastAsia"/>
        </w:rPr>
        <w:t>“</w:t>
      </w:r>
      <w:r>
        <w:object w:dxaOrig="266" w:dyaOrig="233" w14:anchorId="1181AC02">
          <v:shape id="_x0000_i1026" type="#_x0000_t75" style="width:13.3pt;height:11.65pt" o:ole="">
            <v:imagedata r:id="rId9" o:title=""/>
          </v:shape>
          <o:OLEObject Type="Embed" ProgID="PBrush" ShapeID="_x0000_i1026" DrawAspect="Content" ObjectID="_1729008917" r:id="rId11"/>
        </w:object>
      </w:r>
      <w:r>
        <w:rPr>
          <w:rFonts w:hint="eastAsia"/>
        </w:rPr>
        <w:t>”字不見於字書，《說文·十下·大部》謂“耎”字“从大、而聲”，甚疑“</w:t>
      </w:r>
      <w:r>
        <w:object w:dxaOrig="266" w:dyaOrig="233" w14:anchorId="36B08CEA">
          <v:shape id="_x0000_i1027" type="#_x0000_t75" style="width:13.3pt;height:11.65pt" o:ole="">
            <v:imagedata r:id="rId9" o:title=""/>
          </v:shape>
          <o:OLEObject Type="Embed" ProgID="PBrush" ShapeID="_x0000_i1027" DrawAspect="Content" ObjectID="_1729008918" r:id="rId12"/>
        </w:object>
      </w:r>
      <w:r>
        <w:rPr>
          <w:rFonts w:hint="eastAsia"/>
        </w:rPr>
        <w:t>”即“堧（壖）”字異體。《史記·李將軍列傳》“李蔡以丞相坐侵孝景園壖地”，司馬貞《索隱》：“壖地，神道之地也。《黃圖》云‘陽陵闕門西出，神道四通。茂陵神道廣四十三丈’也。”“公堧”</w:t>
      </w:r>
      <w:r>
        <w:rPr>
          <w:rFonts w:hint="eastAsia"/>
        </w:rPr>
        <w:lastRenderedPageBreak/>
        <w:t>疑即公的陵園神道。不過此字尚難以最後論定，加上“曰”後一字無法釋定，上述意見姑提出備參。</w:t>
      </w:r>
      <w:r>
        <w:rPr>
          <w:rFonts w:ascii="微软雅黑" w:eastAsia="微软雅黑" w:hAnsi="微软雅黑" w:cs="微软雅黑" w:hint="eastAsia"/>
        </w:rPr>
        <w:endnoteReference w:customMarkFollows="1" w:id="26"/>
        <w:t>㉖</w:t>
      </w:r>
    </w:p>
    <w:p w14:paraId="6CB7A1EA" w14:textId="77777777" w:rsidR="00340C74" w:rsidRDefault="00340C74" w:rsidP="00340C74">
      <w:pPr>
        <w:pStyle w:val="aff6"/>
        <w:ind w:firstLine="560"/>
      </w:pPr>
      <w:r>
        <w:rPr>
          <w:rFonts w:hint="eastAsia"/>
          <w:lang w:eastAsia="zh-TW"/>
        </w:rPr>
        <w:t>“曰”後一字即第</w:t>
      </w:r>
      <w:r>
        <w:rPr>
          <w:lang w:eastAsia="zh-TW"/>
        </w:rPr>
        <w:t>6</w:t>
      </w:r>
      <w:r>
        <w:rPr>
          <w:rFonts w:hint="eastAsia"/>
          <w:lang w:eastAsia="zh-TW"/>
        </w:rPr>
        <w:t>字作：</w:t>
      </w:r>
    </w:p>
    <w:p w14:paraId="5BCB7183" w14:textId="77777777" w:rsidR="00340C74" w:rsidRDefault="00340C74" w:rsidP="00340C74">
      <w:pPr>
        <w:pStyle w:val="aff6"/>
        <w:ind w:firstLine="560"/>
      </w:pPr>
      <w:r>
        <w:rPr>
          <w:noProof/>
        </w:rPr>
        <w:drawing>
          <wp:inline distT="0" distB="0" distL="0" distR="0" wp14:anchorId="2E1AABB9" wp14:editId="503AB352">
            <wp:extent cx="850900" cy="818515"/>
            <wp:effectExtent l="0" t="0" r="635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870281" cy="837795"/>
                    </a:xfrm>
                    <a:prstGeom prst="rect">
                      <a:avLst/>
                    </a:prstGeom>
                  </pic:spPr>
                </pic:pic>
              </a:graphicData>
            </a:graphic>
          </wp:inline>
        </w:drawing>
      </w:r>
    </w:p>
    <w:p w14:paraId="26CE90D3" w14:textId="77777777" w:rsidR="00340C74" w:rsidRDefault="00340C74" w:rsidP="00340C74">
      <w:pPr>
        <w:pStyle w:val="aff6"/>
        <w:ind w:firstLine="560"/>
        <w:rPr>
          <w:lang w:eastAsia="zh-TW"/>
        </w:rPr>
      </w:pPr>
      <w:r>
        <w:rPr>
          <w:rFonts w:hint="eastAsia"/>
          <w:lang w:eastAsia="zh-TW"/>
        </w:rPr>
        <w:t>從整字輪廓、殘筆和文義來看，應該是“宗”字。秦文字“宗”字作：</w:t>
      </w:r>
      <w:r>
        <w:rPr>
          <w:rFonts w:ascii="微软雅黑" w:eastAsia="微软雅黑" w:hAnsi="微软雅黑" w:cs="微软雅黑" w:hint="eastAsia"/>
          <w:lang w:eastAsia="zh-TW"/>
        </w:rPr>
        <w:endnoteReference w:customMarkFollows="1" w:id="27"/>
        <w:t>㉗</w:t>
      </w:r>
    </w:p>
    <w:p w14:paraId="5D96A726" w14:textId="77777777" w:rsidR="00340C74" w:rsidRDefault="00340C74" w:rsidP="00340C74">
      <w:pPr>
        <w:pStyle w:val="aff6"/>
        <w:ind w:firstLine="560"/>
        <w:rPr>
          <w:lang w:eastAsia="zh-TW"/>
        </w:rPr>
      </w:pPr>
      <w:r>
        <w:rPr>
          <w:noProof/>
        </w:rPr>
        <w:drawing>
          <wp:inline distT="0" distB="0" distL="0" distR="0" wp14:anchorId="76FE25D4" wp14:editId="0EFE3C71">
            <wp:extent cx="450850" cy="50355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6892" cy="521025"/>
                    </a:xfrm>
                    <a:prstGeom prst="rect">
                      <a:avLst/>
                    </a:prstGeom>
                    <a:noFill/>
                    <a:ln>
                      <a:noFill/>
                    </a:ln>
                  </pic:spPr>
                </pic:pic>
              </a:graphicData>
            </a:graphic>
          </wp:inline>
        </w:drawing>
      </w:r>
      <w:r>
        <w:rPr>
          <w:rFonts w:hint="eastAsia"/>
          <w:lang w:eastAsia="zh-TW"/>
        </w:rPr>
        <w:t xml:space="preserve">秦公簋蓋　　　</w:t>
      </w:r>
      <w:r>
        <w:rPr>
          <w:rFonts w:hint="eastAsia"/>
          <w:noProof/>
        </w:rPr>
        <w:drawing>
          <wp:inline distT="0" distB="0" distL="0" distR="0" wp14:anchorId="4A61696E" wp14:editId="16168B83">
            <wp:extent cx="393700" cy="542925"/>
            <wp:effectExtent l="0" t="0" r="635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28173" cy="590514"/>
                    </a:xfrm>
                    <a:prstGeom prst="rect">
                      <a:avLst/>
                    </a:prstGeom>
                    <a:noFill/>
                    <a:ln>
                      <a:noFill/>
                    </a:ln>
                  </pic:spPr>
                </pic:pic>
              </a:graphicData>
            </a:graphic>
          </wp:inline>
        </w:drawing>
      </w:r>
      <w:r>
        <w:rPr>
          <w:rFonts w:hint="eastAsia"/>
          <w:lang w:eastAsia="zh-TW"/>
        </w:rPr>
        <w:t>詛楚文·湫淵</w:t>
      </w:r>
    </w:p>
    <w:p w14:paraId="779734FE" w14:textId="77777777" w:rsidR="00340C74" w:rsidRDefault="00340C74" w:rsidP="00340C74">
      <w:pPr>
        <w:pStyle w:val="aff6"/>
        <w:ind w:firstLine="560"/>
        <w:rPr>
          <w:lang w:eastAsia="zh-TW"/>
        </w:rPr>
      </w:pPr>
      <w:r>
        <w:rPr>
          <w:rFonts w:hint="eastAsia"/>
          <w:noProof/>
        </w:rPr>
        <w:drawing>
          <wp:inline distT="0" distB="0" distL="0" distR="0" wp14:anchorId="79F2DF4D" wp14:editId="756D8E72">
            <wp:extent cx="348615" cy="5791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72471" cy="618279"/>
                    </a:xfrm>
                    <a:prstGeom prst="rect">
                      <a:avLst/>
                    </a:prstGeom>
                    <a:noFill/>
                    <a:ln>
                      <a:noFill/>
                    </a:ln>
                  </pic:spPr>
                </pic:pic>
              </a:graphicData>
            </a:graphic>
          </wp:inline>
        </w:drawing>
      </w:r>
      <w:r>
        <w:rPr>
          <w:rFonts w:hint="eastAsia"/>
          <w:lang w:eastAsia="zh-TW"/>
        </w:rPr>
        <w:t>秦印編</w:t>
      </w:r>
      <w:r>
        <w:rPr>
          <w:lang w:eastAsia="zh-TW"/>
        </w:rPr>
        <w:t>143</w:t>
      </w:r>
      <w:r>
        <w:rPr>
          <w:rFonts w:hint="eastAsia"/>
          <w:lang w:eastAsia="zh-TW"/>
        </w:rPr>
        <w:t xml:space="preserve">　　　</w:t>
      </w:r>
      <w:r>
        <w:rPr>
          <w:rFonts w:hint="eastAsia"/>
          <w:noProof/>
        </w:rPr>
        <w:drawing>
          <wp:inline distT="0" distB="0" distL="0" distR="0" wp14:anchorId="06FEA6D3" wp14:editId="7252A66B">
            <wp:extent cx="387350" cy="5549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24504" cy="607806"/>
                    </a:xfrm>
                    <a:prstGeom prst="rect">
                      <a:avLst/>
                    </a:prstGeom>
                    <a:noFill/>
                    <a:ln>
                      <a:noFill/>
                    </a:ln>
                  </pic:spPr>
                </pic:pic>
              </a:graphicData>
            </a:graphic>
          </wp:inline>
        </w:drawing>
      </w:r>
      <w:r>
        <w:rPr>
          <w:rFonts w:hint="eastAsia"/>
          <w:lang w:eastAsia="zh-TW"/>
        </w:rPr>
        <w:t>秦宗邑瓦書</w:t>
      </w:r>
    </w:p>
    <w:p w14:paraId="7ED8EC74" w14:textId="77777777" w:rsidR="00340C74" w:rsidRDefault="00340C74" w:rsidP="00340C74">
      <w:pPr>
        <w:pStyle w:val="aff6"/>
        <w:ind w:firstLine="560"/>
        <w:rPr>
          <w:lang w:eastAsia="zh-TW"/>
        </w:rPr>
      </w:pPr>
      <w:r>
        <w:rPr>
          <w:rFonts w:hint="eastAsia"/>
          <w:lang w:eastAsia="zh-TW"/>
        </w:rPr>
        <w:t>對比來看，秦更名方“宗”字的“宀”旁上部和“示”旁仍有殘跡可尋。</w:t>
      </w:r>
    </w:p>
    <w:p w14:paraId="62F42BD4" w14:textId="77777777" w:rsidR="00340C74" w:rsidRDefault="00340C74" w:rsidP="00340C74">
      <w:pPr>
        <w:pStyle w:val="aff6"/>
        <w:ind w:firstLine="560"/>
        <w:rPr>
          <w:lang w:eastAsia="zh-TW"/>
        </w:rPr>
      </w:pPr>
      <w:r>
        <w:rPr>
          <w:rFonts w:hint="eastAsia"/>
          <w:lang w:eastAsia="zh-TW"/>
        </w:rPr>
        <w:t>如此，秦更名方正面第二欄左起第三列的文字就可以完整釋讀作：“毋曰公</w:t>
      </w:r>
      <w:r>
        <w:object w:dxaOrig="266" w:dyaOrig="233" w14:anchorId="67C758CB">
          <v:shape id="_x0000_i1028" type="#_x0000_t75" style="width:13.3pt;height:11.65pt" o:ole="">
            <v:imagedata r:id="rId9" o:title=""/>
          </v:shape>
          <o:OLEObject Type="Embed" ProgID="PBrush" ShapeID="_x0000_i1028" DrawAspect="Content" ObjectID="_1729008919" r:id="rId18"/>
        </w:object>
      </w:r>
      <w:r>
        <w:rPr>
          <w:rFonts w:hint="eastAsia"/>
          <w:lang w:eastAsia="zh-TW"/>
        </w:rPr>
        <w:t>曰宗</w:t>
      </w:r>
      <w:r>
        <w:object w:dxaOrig="266" w:dyaOrig="233" w14:anchorId="65A662BF">
          <v:shape id="_x0000_i1029" type="#_x0000_t75" style="width:13.3pt;height:11.65pt" o:ole="">
            <v:imagedata r:id="rId9" o:title=""/>
          </v:shape>
          <o:OLEObject Type="Embed" ProgID="PBrush" ShapeID="_x0000_i1029" DrawAspect="Content" ObjectID="_1729008920" r:id="rId19"/>
        </w:object>
      </w:r>
      <w:r>
        <w:rPr>
          <w:rFonts w:hint="eastAsia"/>
          <w:lang w:eastAsia="zh-TW"/>
        </w:rPr>
        <w:t>”。</w:t>
      </w:r>
    </w:p>
    <w:p w14:paraId="4C425070" w14:textId="77777777" w:rsidR="00340C74" w:rsidRDefault="00340C74" w:rsidP="00340C74">
      <w:pPr>
        <w:pStyle w:val="aff6"/>
        <w:ind w:firstLine="560"/>
        <w:rPr>
          <w:lang w:eastAsia="zh-TW"/>
        </w:rPr>
      </w:pPr>
      <w:r>
        <w:rPr>
          <w:rFonts w:hint="eastAsia"/>
          <w:lang w:eastAsia="zh-TW"/>
        </w:rPr>
        <w:t>“</w:t>
      </w:r>
      <w:r>
        <w:object w:dxaOrig="266" w:dyaOrig="233" w14:anchorId="3B273505">
          <v:shape id="_x0000_i1030" type="#_x0000_t75" style="width:13.3pt;height:11.65pt" o:ole="">
            <v:imagedata r:id="rId9" o:title=""/>
          </v:shape>
          <o:OLEObject Type="Embed" ProgID="PBrush" ShapeID="_x0000_i1030" DrawAspect="Content" ObjectID="_1729008921" r:id="rId20"/>
        </w:object>
      </w:r>
      <w:r>
        <w:rPr>
          <w:rFonts w:hint="eastAsia"/>
          <w:lang w:eastAsia="zh-TW"/>
        </w:rPr>
        <w:t>”當如郭永秉所說即“堧（壖）”字異體，指臨近某一區域、界邊起緩衝、保護作用的空地，一般在宗廟、陵墓、城郭等建築周邊設有堧地，河邊的灘塗地也叫堧。</w:t>
      </w:r>
      <w:r>
        <w:rPr>
          <w:rFonts w:ascii="微软雅黑" w:eastAsia="微软雅黑" w:hAnsi="微软雅黑" w:cs="微软雅黑" w:hint="eastAsia"/>
          <w:lang w:eastAsia="zh-TW"/>
        </w:rPr>
        <w:endnoteReference w:customMarkFollows="1" w:id="28"/>
        <w:t>㉘</w:t>
      </w:r>
      <w:r>
        <w:rPr>
          <w:rFonts w:cs="宋体" w:hint="eastAsia"/>
          <w:lang w:eastAsia="zh-TW"/>
        </w:rPr>
        <w:t>《廣韻》：“堧，沙土也”，沙土是鬆軟的土。《說文》所收从“而”與从“耎”的部分字在音義上多有聯繫，多有柔、軟、爛一類意思，如“胹，爛也”“腝，有骨醢也”，《左傳·宣公二年》云“宰夫胹熊蹯不熟。”有骨醢就是帶骨</w:t>
      </w:r>
      <w:r>
        <w:rPr>
          <w:rFonts w:cs="宋体" w:hint="eastAsia"/>
          <w:lang w:eastAsia="zh-TW"/>
        </w:rPr>
        <w:lastRenderedPageBreak/>
        <w:t>頭一塊搗爛的肉醢。</w:t>
      </w:r>
      <w:r>
        <w:rPr>
          <w:rFonts w:ascii="微软雅黑" w:eastAsia="微软雅黑" w:hAnsi="微软雅黑" w:cs="微软雅黑" w:hint="eastAsia"/>
          <w:lang w:eastAsia="zh-TW"/>
        </w:rPr>
        <w:endnoteReference w:customMarkFollows="1" w:id="29"/>
        <w:t>㉙</w:t>
      </w:r>
      <w:r>
        <w:rPr>
          <w:rFonts w:cs="宋体" w:hint="eastAsia"/>
          <w:lang w:eastAsia="zh-TW"/>
        </w:rPr>
        <w:t>秦自惠文君十三年稱王，所謂“公</w:t>
      </w:r>
      <w:r>
        <w:object w:dxaOrig="266" w:dyaOrig="233" w14:anchorId="6A29CF6A">
          <v:shape id="_x0000_i1031" type="#_x0000_t75" style="width:13.3pt;height:11.65pt" o:ole="">
            <v:imagedata r:id="rId9" o:title=""/>
          </v:shape>
          <o:OLEObject Type="Embed" ProgID="PBrush" ShapeID="_x0000_i1031" DrawAspect="Content" ObjectID="_1729008922" r:id="rId21"/>
        </w:object>
      </w:r>
      <w:r>
        <w:rPr>
          <w:rFonts w:hint="eastAsia"/>
          <w:lang w:eastAsia="zh-TW"/>
        </w:rPr>
        <w:t>（堧）”可指秦立國之君襄公至秦孝公諸位秦公的陵堧或廟堧；不過既然將“公堧”改稱“宗堧”，“宗”指宗廟，那麼“公堧”也以看作秦公的廟堧爲妥。</w:t>
      </w:r>
    </w:p>
    <w:p w14:paraId="2714AC29" w14:textId="77777777" w:rsidR="00340C74" w:rsidRDefault="00340C74" w:rsidP="00340C74">
      <w:pPr>
        <w:pStyle w:val="aff6"/>
        <w:ind w:firstLine="560"/>
        <w:rPr>
          <w:lang w:eastAsia="zh-TW"/>
        </w:rPr>
      </w:pPr>
      <w:r>
        <w:rPr>
          <w:rFonts w:hint="eastAsia"/>
          <w:lang w:eastAsia="zh-TW"/>
        </w:rPr>
        <w:t>將“公</w:t>
      </w:r>
      <w:r>
        <w:object w:dxaOrig="266" w:dyaOrig="233" w14:anchorId="6107041A">
          <v:shape id="_x0000_i1032" type="#_x0000_t75" style="width:13.3pt;height:11.65pt" o:ole="">
            <v:imagedata r:id="rId9" o:title=""/>
          </v:shape>
          <o:OLEObject Type="Embed" ProgID="PBrush" ShapeID="_x0000_i1032" DrawAspect="Content" ObjectID="_1729008923" r:id="rId22"/>
        </w:object>
      </w:r>
      <w:r>
        <w:rPr>
          <w:rFonts w:hint="eastAsia"/>
          <w:lang w:eastAsia="zh-TW"/>
        </w:rPr>
        <w:t>（堧）”改稱“宗</w:t>
      </w:r>
      <w:r>
        <w:object w:dxaOrig="266" w:dyaOrig="233" w14:anchorId="6535372E">
          <v:shape id="_x0000_i1033" type="#_x0000_t75" style="width:13.3pt;height:11.65pt" o:ole="">
            <v:imagedata r:id="rId9" o:title=""/>
          </v:shape>
          <o:OLEObject Type="Embed" ProgID="PBrush" ShapeID="_x0000_i1033" DrawAspect="Content" ObjectID="_1729008924" r:id="rId23"/>
        </w:object>
      </w:r>
      <w:r>
        <w:rPr>
          <w:rFonts w:hint="eastAsia"/>
          <w:lang w:eastAsia="zh-TW"/>
        </w:rPr>
        <w:t>（堧）”，蘊藏的事實應該是將公廟改稱宗廟，這反映出秦統一天下後摒棄來自周室的封號，爲突顯秦從封國到帝國的轉變，從自身的立場將秦公廟重新定位爲帝國的宗廟。</w:t>
      </w:r>
    </w:p>
    <w:p w14:paraId="5F1D61B5" w14:textId="77777777" w:rsidR="00340C74" w:rsidRDefault="00340C74" w:rsidP="00340C74">
      <w:pPr>
        <w:pStyle w:val="aff6"/>
        <w:ind w:firstLine="560"/>
        <w:rPr>
          <w:lang w:eastAsia="zh-TW"/>
        </w:rPr>
      </w:pPr>
      <w:r>
        <w:rPr>
          <w:rFonts w:hint="eastAsia"/>
          <w:lang w:eastAsia="zh-TW"/>
        </w:rPr>
        <w:t>秦統一後在變革宗廟陵寢制度上有系列舉措。《史記·秦始皇本紀》記載，秦始皇二十八年登瑯琊，作瑯琊臺，刻石頌秦德云：</w:t>
      </w:r>
    </w:p>
    <w:p w14:paraId="053A3B2B" w14:textId="77777777" w:rsidR="00340C74" w:rsidRDefault="00340C74" w:rsidP="00340C74">
      <w:pPr>
        <w:pStyle w:val="aff4"/>
        <w:spacing w:before="468" w:after="468"/>
        <w:ind w:firstLine="496"/>
      </w:pPr>
      <w:r>
        <w:rPr>
          <w:rFonts w:hint="eastAsia"/>
        </w:rPr>
        <w:t>今皇帝并一海内，以爲郡縣，天下和平。昭明宗廟，體道行德，尊號大成。羣臣相與誦皇帝功德，刻于金石，以爲表經。</w:t>
      </w:r>
      <w:r>
        <w:rPr>
          <w:rFonts w:ascii="微软雅黑" w:eastAsia="微软雅黑" w:hAnsi="微软雅黑" w:cs="微软雅黑" w:hint="eastAsia"/>
        </w:rPr>
        <w:endnoteReference w:customMarkFollows="1" w:id="30"/>
        <w:t>㉚</w:t>
      </w:r>
    </w:p>
    <w:p w14:paraId="25FC8F01" w14:textId="77777777" w:rsidR="00340C74" w:rsidRDefault="00340C74" w:rsidP="00340C74">
      <w:pPr>
        <w:pStyle w:val="aff6"/>
        <w:ind w:firstLine="560"/>
        <w:rPr>
          <w:lang w:eastAsia="zh-TW"/>
        </w:rPr>
      </w:pPr>
      <w:r>
        <w:rPr>
          <w:rFonts w:hint="eastAsia"/>
          <w:lang w:eastAsia="zh-TW"/>
        </w:rPr>
        <w:t>其中“昭明宗廟”反映出秦始皇二十六年統一後至二十八年可能已在宗廟制度上有所改革。</w:t>
      </w:r>
    </w:p>
    <w:p w14:paraId="6506DD8C" w14:textId="77777777" w:rsidR="00340C74" w:rsidRDefault="00340C74" w:rsidP="00340C74">
      <w:pPr>
        <w:pStyle w:val="aff6"/>
        <w:ind w:firstLine="560"/>
        <w:rPr>
          <w:lang w:eastAsia="zh-TW"/>
        </w:rPr>
      </w:pPr>
      <w:r>
        <w:rPr>
          <w:rFonts w:hint="eastAsia"/>
          <w:lang w:eastAsia="zh-TW"/>
        </w:rPr>
        <w:t>秦二世即位後爲突顯秦始皇帝的地位，在宗廟制度上又有大的變革：</w:t>
      </w:r>
    </w:p>
    <w:p w14:paraId="536E28F0" w14:textId="77777777" w:rsidR="00340C74" w:rsidRDefault="00340C74" w:rsidP="00340C74">
      <w:pPr>
        <w:pStyle w:val="aff4"/>
        <w:spacing w:before="468" w:after="468"/>
        <w:ind w:firstLine="496"/>
      </w:pPr>
      <w:r>
        <w:rPr>
          <w:rFonts w:hint="eastAsia"/>
        </w:rPr>
        <w:t>二世皇帝元年……二世下詔，增始皇寢廟犧牲及山川百祀之禮。令羣臣議尊始皇廟。羣臣皆頓首言曰：“古者天子七廟，諸侯五，大夫三，雖萬世世不軼毁。今始皇爲極廟，四海之内皆獻貢職，增犧牲，禮咸備，毋</w:t>
      </w:r>
      <w:r>
        <w:rPr>
          <w:rFonts w:hint="eastAsia"/>
        </w:rPr>
        <w:lastRenderedPageBreak/>
        <w:t>以加。先王廟或在西雍，或在咸陽。天子儀當獨奉酌祠始皇廟。自襄公已下軼毁。所置凡七廟。羣臣以禮進祠，以尊始皇廟爲帝者祖廟。皇帝復自稱‘朕’。</w:t>
      </w:r>
      <w:r>
        <w:rPr>
          <w:rFonts w:ascii="微软雅黑" w:eastAsia="微软雅黑" w:hAnsi="微软雅黑" w:cs="微软雅黑" w:hint="eastAsia"/>
        </w:rPr>
        <w:endnoteReference w:customMarkFollows="1" w:id="31"/>
        <w:t>㉛</w:t>
      </w:r>
    </w:p>
    <w:p w14:paraId="44255A4D" w14:textId="77777777" w:rsidR="00340C74" w:rsidRDefault="00340C74" w:rsidP="00340C74">
      <w:pPr>
        <w:pStyle w:val="aff6"/>
        <w:ind w:firstLine="560"/>
        <w:rPr>
          <w:lang w:eastAsia="zh-TW"/>
        </w:rPr>
      </w:pPr>
      <w:r>
        <w:rPr>
          <w:rFonts w:hint="eastAsia"/>
          <w:lang w:eastAsia="zh-TW"/>
        </w:rPr>
        <w:t>“所置凡七廟”，學者或以爲包括始皇廟，</w:t>
      </w:r>
      <w:r>
        <w:rPr>
          <w:rFonts w:ascii="微软雅黑" w:eastAsia="微软雅黑" w:hAnsi="微软雅黑" w:cs="微软雅黑" w:hint="eastAsia"/>
          <w:lang w:eastAsia="zh-TW"/>
        </w:rPr>
        <w:endnoteReference w:customMarkFollows="1" w:id="32"/>
        <w:t>㉜</w:t>
      </w:r>
      <w:r>
        <w:rPr>
          <w:rFonts w:cs="宋体" w:hint="eastAsia"/>
          <w:lang w:eastAsia="zh-TW"/>
        </w:rPr>
        <w:t>或以爲和始皇廟分屬兩個序列。</w:t>
      </w:r>
      <w:r>
        <w:rPr>
          <w:rFonts w:ascii="微软雅黑" w:eastAsia="微软雅黑" w:hAnsi="微软雅黑" w:cs="微软雅黑" w:hint="eastAsia"/>
          <w:lang w:eastAsia="zh-TW"/>
        </w:rPr>
        <w:endnoteReference w:customMarkFollows="1" w:id="33"/>
        <w:t>㉝</w:t>
      </w:r>
      <w:r>
        <w:rPr>
          <w:rFonts w:cs="宋体" w:hint="eastAsia"/>
          <w:lang w:eastAsia="zh-TW"/>
        </w:rPr>
        <w:t>從上揭文字中“天子儀當獨奉酌祠始皇廟”至“以尊始皇廟爲帝者祖廟”這一段話看，當以後說爲是，</w:t>
      </w:r>
      <w:r>
        <w:rPr>
          <w:rFonts w:ascii="微软雅黑" w:eastAsia="微软雅黑" w:hAnsi="微软雅黑" w:cs="微软雅黑" w:hint="eastAsia"/>
          <w:lang w:eastAsia="zh-TW"/>
        </w:rPr>
        <w:endnoteReference w:customMarkFollows="1" w:id="34"/>
        <w:t>㉞</w:t>
      </w:r>
      <w:r>
        <w:rPr>
          <w:rFonts w:cs="宋体" w:hint="eastAsia"/>
          <w:lang w:eastAsia="zh-TW"/>
        </w:rPr>
        <w:t>這段話的標點</w:t>
      </w:r>
      <w:r>
        <w:rPr>
          <w:rFonts w:hint="eastAsia"/>
          <w:lang w:eastAsia="zh-TW"/>
        </w:rPr>
        <w:t>也當作：</w:t>
      </w:r>
    </w:p>
    <w:p w14:paraId="68061104" w14:textId="77777777" w:rsidR="00340C74" w:rsidRDefault="00340C74" w:rsidP="00340C74">
      <w:pPr>
        <w:pStyle w:val="aff4"/>
        <w:spacing w:before="468" w:after="468"/>
        <w:ind w:firstLine="496"/>
      </w:pPr>
      <w:r>
        <w:rPr>
          <w:rFonts w:hint="eastAsia"/>
        </w:rPr>
        <w:t>天子儀當獨奉酌祠始皇廟。自襄公已下軼毁，所置凡七廟，羣臣以禮進祠，以尊始皇廟爲帝者祖廟。</w:t>
      </w:r>
    </w:p>
    <w:p w14:paraId="4BC7A683" w14:textId="77777777" w:rsidR="00340C74" w:rsidRDefault="00340C74" w:rsidP="00340C74">
      <w:pPr>
        <w:pStyle w:val="aff6"/>
        <w:ind w:firstLine="560"/>
        <w:rPr>
          <w:lang w:eastAsia="zh-TW"/>
        </w:rPr>
      </w:pPr>
      <w:r>
        <w:rPr>
          <w:rFonts w:hint="eastAsia"/>
          <w:lang w:eastAsia="zh-TW"/>
        </w:rPr>
        <w:t>襄公以下置七廟，這本來是古天子才有的特權，現在由群臣進祠此七廟，將始皇帝廟尊爲帝者祖廟，由皇帝獨家祠祀。這正是在禮儀制度上抬高秦始皇以及秦帝國地位的舉措。</w:t>
      </w:r>
    </w:p>
    <w:p w14:paraId="454BC42F" w14:textId="2ACBAE85" w:rsidR="00340C74" w:rsidRDefault="00340C74" w:rsidP="00340C74">
      <w:pPr>
        <w:pStyle w:val="aff6"/>
        <w:ind w:firstLine="560"/>
        <w:rPr>
          <w:rFonts w:eastAsia="PMingLiU"/>
          <w:lang w:eastAsia="zh-TW"/>
        </w:rPr>
      </w:pPr>
      <w:r>
        <w:rPr>
          <w:rFonts w:hint="eastAsia"/>
          <w:lang w:eastAsia="zh-TW"/>
        </w:rPr>
        <w:t>“宗堧”一詞不見於古書記載，本文據殘畫和文義作出釋讀，期待出土文獻中有更明確的用例。</w:t>
      </w:r>
    </w:p>
    <w:p w14:paraId="62F2EAF9" w14:textId="77777777" w:rsidR="00FC4147" w:rsidRPr="00FC4147" w:rsidRDefault="00FC4147" w:rsidP="00340C74">
      <w:pPr>
        <w:pStyle w:val="aff6"/>
        <w:ind w:firstLine="560"/>
        <w:rPr>
          <w:rFonts w:eastAsia="PMingLiU"/>
          <w:lang w:eastAsia="zh-TW"/>
        </w:rPr>
      </w:pPr>
    </w:p>
    <w:p w14:paraId="06B21BB0" w14:textId="77777777" w:rsidR="00340C74" w:rsidRPr="00E862DE" w:rsidRDefault="00340C74" w:rsidP="00EA020B">
      <w:pPr>
        <w:pStyle w:val="aff6"/>
        <w:ind w:firstLine="562"/>
        <w:jc w:val="center"/>
        <w:rPr>
          <w:b/>
          <w:bCs/>
          <w:lang w:eastAsia="zh-TW"/>
        </w:rPr>
      </w:pPr>
      <w:r w:rsidRPr="00E862DE">
        <w:rPr>
          <w:rFonts w:hint="eastAsia"/>
          <w:b/>
          <w:bCs/>
          <w:lang w:eastAsia="zh-TW"/>
        </w:rPr>
        <w:t>三、秦二世元年詔書“天下吏黔首”句讀</w:t>
      </w:r>
    </w:p>
    <w:p w14:paraId="79DCF5E4" w14:textId="77777777" w:rsidR="00340C74" w:rsidRDefault="00340C74" w:rsidP="00340C74">
      <w:pPr>
        <w:pStyle w:val="aff6"/>
        <w:ind w:firstLine="560"/>
        <w:rPr>
          <w:lang w:eastAsia="zh-TW"/>
        </w:rPr>
      </w:pPr>
      <w:r>
        <w:rPr>
          <w:rFonts w:hint="eastAsia"/>
          <w:lang w:eastAsia="zh-TW"/>
        </w:rPr>
        <w:t>2</w:t>
      </w:r>
      <w:r>
        <w:rPr>
          <w:lang w:eastAsia="zh-TW"/>
        </w:rPr>
        <w:t>013</w:t>
      </w:r>
      <w:r>
        <w:rPr>
          <w:rFonts w:hint="eastAsia"/>
          <w:lang w:eastAsia="zh-TW"/>
        </w:rPr>
        <w:t>年，湖南省文物考古研究所與益陽市文物處在益陽兔子山遺址9號井中發掘出一枚內容爲秦二世元年十月甲午（前2</w:t>
      </w:r>
      <w:r>
        <w:rPr>
          <w:lang w:eastAsia="zh-TW"/>
        </w:rPr>
        <w:t>10</w:t>
      </w:r>
      <w:r>
        <w:rPr>
          <w:rFonts w:hint="eastAsia"/>
          <w:lang w:eastAsia="zh-TW"/>
        </w:rPr>
        <w:t>年，十月乙亥朔，甲午爲第2</w:t>
      </w:r>
      <w:r>
        <w:rPr>
          <w:lang w:eastAsia="zh-TW"/>
        </w:rPr>
        <w:t>0</w:t>
      </w:r>
      <w:r>
        <w:rPr>
          <w:rFonts w:hint="eastAsia"/>
          <w:lang w:eastAsia="zh-TW"/>
        </w:rPr>
        <w:t>日）詔書的木簡。木簡的文字釋讀經陳偉、</w:t>
      </w:r>
      <w:r>
        <w:rPr>
          <w:rFonts w:hint="eastAsia"/>
          <w:lang w:eastAsia="zh-TW"/>
        </w:rPr>
        <w:lastRenderedPageBreak/>
        <w:t>何有祖二位先生校改後基本已無問題，</w:t>
      </w:r>
      <w:r>
        <w:rPr>
          <w:rFonts w:ascii="微软雅黑" w:eastAsia="微软雅黑" w:hAnsi="微软雅黑" w:cs="微软雅黑" w:hint="eastAsia"/>
          <w:lang w:eastAsia="zh-TW"/>
        </w:rPr>
        <w:endnoteReference w:customMarkFollows="1" w:id="35"/>
        <w:t>㉟</w:t>
      </w:r>
      <w:r>
        <w:rPr>
          <w:rFonts w:cs="宋体" w:hint="eastAsia"/>
          <w:lang w:eastAsia="zh-TW"/>
        </w:rPr>
        <w:t>不過在個別字詞的理解和句讀上尚有討論的必要。本文討論其中一段話的句讀和理解問題。</w:t>
      </w:r>
    </w:p>
    <w:p w14:paraId="2CD22C8E" w14:textId="77777777" w:rsidR="00340C74" w:rsidRDefault="00340C74" w:rsidP="00340C74">
      <w:pPr>
        <w:pStyle w:val="aff6"/>
        <w:ind w:firstLine="560"/>
        <w:rPr>
          <w:lang w:eastAsia="zh-TW"/>
        </w:rPr>
      </w:pPr>
      <w:r>
        <w:rPr>
          <w:rFonts w:hint="eastAsia"/>
          <w:lang w:eastAsia="zh-TW"/>
        </w:rPr>
        <w:t>木簡正背接續書寫，跨正背面的一段話，陳、何二位先生的釋文如下：</w:t>
      </w:r>
    </w:p>
    <w:p w14:paraId="16041FD3" w14:textId="77777777" w:rsidR="00340C74" w:rsidRDefault="00340C74" w:rsidP="00340C74">
      <w:pPr>
        <w:pStyle w:val="aff4"/>
        <w:spacing w:before="468" w:after="468"/>
        <w:ind w:firstLine="496"/>
      </w:pPr>
      <w:r>
        <w:rPr>
          <w:rFonts w:hint="eastAsia"/>
        </w:rPr>
        <w:t>陳偉：朕將自撫天下，（正面）吏、黔首其具（俱）行事，毋以繇（徭）賦擾黔首，毋以細物苛劾縣吏。</w:t>
      </w:r>
    </w:p>
    <w:p w14:paraId="3745AC22" w14:textId="77777777" w:rsidR="00340C74" w:rsidRDefault="00340C74" w:rsidP="00340C74">
      <w:pPr>
        <w:pStyle w:val="aff4"/>
        <w:spacing w:before="468" w:after="468"/>
        <w:ind w:firstLine="496"/>
      </w:pPr>
      <w:r>
        <w:rPr>
          <w:rFonts w:hint="eastAsia"/>
        </w:rPr>
        <w:t>何有祖：令皆已下矣，朕將自撫天下。（正面）吏、黔首其具行事，毋以繇（徭）賦擾黔首，毋以細物苛劾縣吏。</w:t>
      </w:r>
    </w:p>
    <w:p w14:paraId="06E95CF6" w14:textId="77777777" w:rsidR="00340C74" w:rsidRDefault="00340C74" w:rsidP="00340C74">
      <w:pPr>
        <w:pStyle w:val="aff6"/>
        <w:ind w:firstLine="560"/>
        <w:rPr>
          <w:lang w:eastAsia="zh-TW"/>
        </w:rPr>
      </w:pPr>
      <w:r>
        <w:rPr>
          <w:rFonts w:hint="eastAsia"/>
          <w:lang w:eastAsia="zh-TW"/>
        </w:rPr>
        <w:t>上揭釋文就有三處不同：</w:t>
      </w:r>
    </w:p>
    <w:p w14:paraId="419FFD38" w14:textId="77777777" w:rsidR="00340C74" w:rsidRDefault="00340C74" w:rsidP="00340C74">
      <w:pPr>
        <w:pStyle w:val="aff6"/>
        <w:ind w:firstLine="560"/>
        <w:rPr>
          <w:lang w:eastAsia="zh-TW"/>
        </w:rPr>
      </w:pPr>
      <w:r>
        <w:rPr>
          <w:rFonts w:hint="eastAsia"/>
          <w:lang w:eastAsia="zh-TW"/>
        </w:rPr>
        <w:t>1</w:t>
      </w:r>
      <w:r>
        <w:rPr>
          <w:lang w:eastAsia="zh-TW"/>
        </w:rPr>
        <w:t>.</w:t>
      </w:r>
      <w:r>
        <w:rPr>
          <w:rFonts w:hint="eastAsia"/>
          <w:lang w:eastAsia="zh-TW"/>
        </w:rPr>
        <w:t>“令皆已下矣”是上一句的結尾，還是下一句的開頭；</w:t>
      </w:r>
    </w:p>
    <w:p w14:paraId="31C21B7F" w14:textId="77777777" w:rsidR="00340C74" w:rsidRDefault="00340C74" w:rsidP="00340C74">
      <w:pPr>
        <w:pStyle w:val="aff6"/>
        <w:ind w:firstLine="560"/>
        <w:rPr>
          <w:lang w:eastAsia="zh-TW"/>
        </w:rPr>
      </w:pPr>
      <w:r>
        <w:rPr>
          <w:rFonts w:hint="eastAsia"/>
          <w:lang w:eastAsia="zh-TW"/>
        </w:rPr>
        <w:t>2</w:t>
      </w:r>
      <w:r>
        <w:rPr>
          <w:lang w:eastAsia="zh-TW"/>
        </w:rPr>
        <w:t>.</w:t>
      </w:r>
      <w:r>
        <w:rPr>
          <w:rFonts w:hint="eastAsia"/>
          <w:lang w:eastAsia="zh-TW"/>
        </w:rPr>
        <w:t>“朕將自撫天下”是上一句的結尾，還是下一句的開頭；</w:t>
      </w:r>
    </w:p>
    <w:p w14:paraId="7EA59BEB" w14:textId="77777777" w:rsidR="00340C74" w:rsidRDefault="00340C74" w:rsidP="00340C74">
      <w:pPr>
        <w:pStyle w:val="aff6"/>
        <w:ind w:firstLine="560"/>
        <w:rPr>
          <w:lang w:eastAsia="zh-TW"/>
        </w:rPr>
      </w:pPr>
      <w:r>
        <w:rPr>
          <w:lang w:eastAsia="zh-TW"/>
        </w:rPr>
        <w:t>3.</w:t>
      </w:r>
      <w:r>
        <w:rPr>
          <w:rFonts w:hint="eastAsia"/>
          <w:lang w:eastAsia="zh-TW"/>
        </w:rPr>
        <w:t>“具”是讀作全、都義的“俱”，還是如字讀，理解爲備具義。</w:t>
      </w:r>
    </w:p>
    <w:p w14:paraId="325B7CD5" w14:textId="77777777" w:rsidR="00340C74" w:rsidRDefault="00340C74" w:rsidP="00340C74">
      <w:pPr>
        <w:pStyle w:val="aff6"/>
        <w:ind w:firstLine="560"/>
        <w:rPr>
          <w:lang w:eastAsia="zh-TW"/>
        </w:rPr>
      </w:pPr>
      <w:r>
        <w:rPr>
          <w:rFonts w:hint="eastAsia"/>
          <w:lang w:eastAsia="zh-TW"/>
        </w:rPr>
        <w:t>此外，二位先生都忽略了木簡上的一個重要信息，在“吏、黔首”右下有一“</w:t>
      </w:r>
      <w:r>
        <w:rPr>
          <w:rFonts w:hint="eastAsia"/>
          <w:noProof/>
        </w:rPr>
        <w:drawing>
          <wp:inline distT="0" distB="0" distL="0" distR="0" wp14:anchorId="4592C277" wp14:editId="2A3B3882">
            <wp:extent cx="109855" cy="143510"/>
            <wp:effectExtent l="0" t="0" r="444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5782" cy="164851"/>
                    </a:xfrm>
                    <a:prstGeom prst="rect">
                      <a:avLst/>
                    </a:prstGeom>
                    <a:noFill/>
                    <a:ln>
                      <a:noFill/>
                    </a:ln>
                  </pic:spPr>
                </pic:pic>
              </a:graphicData>
            </a:graphic>
          </wp:inline>
        </w:drawing>
      </w:r>
      <w:r>
        <w:rPr>
          <w:rFonts w:hint="eastAsia"/>
          <w:lang w:eastAsia="zh-TW"/>
        </w:rPr>
        <w:t>”形符號。這種符號在簡牘中一般施於人名、地名、數字之間表停頓，或者在句末表示語句、段落或章節的完結。</w:t>
      </w:r>
      <w:r>
        <w:rPr>
          <w:rFonts w:ascii="微软雅黑" w:eastAsia="微软雅黑" w:hAnsi="微软雅黑" w:cs="微软雅黑" w:hint="eastAsia"/>
          <w:lang w:eastAsia="zh-TW"/>
        </w:rPr>
        <w:endnoteReference w:customMarkFollows="1" w:id="36"/>
        <w:t>㊱</w:t>
      </w:r>
      <w:r>
        <w:rPr>
          <w:rFonts w:cs="宋体" w:hint="eastAsia"/>
          <w:lang w:eastAsia="zh-TW"/>
        </w:rPr>
        <w:t>如此，上揭一段話只能在“吏、黔首”下斷句，當標點作：</w:t>
      </w:r>
    </w:p>
    <w:p w14:paraId="7AD0D7F5" w14:textId="77777777" w:rsidR="00340C74" w:rsidRDefault="00340C74" w:rsidP="00340C74">
      <w:pPr>
        <w:pStyle w:val="aff4"/>
        <w:spacing w:before="468" w:after="468"/>
        <w:ind w:firstLine="496"/>
      </w:pPr>
      <w:r>
        <w:rPr>
          <w:rFonts w:hint="eastAsia"/>
        </w:rPr>
        <w:t>朕將自撫天下吏、黔首。其具行事，毋以繇（徭）賦擾黔首，毋以細物苛劾縣吏。</w:t>
      </w:r>
    </w:p>
    <w:p w14:paraId="38F9D761" w14:textId="77777777" w:rsidR="00340C74" w:rsidRDefault="00340C74" w:rsidP="00340C74">
      <w:pPr>
        <w:pStyle w:val="aff6"/>
        <w:ind w:firstLine="560"/>
        <w:rPr>
          <w:lang w:eastAsia="zh-TW"/>
        </w:rPr>
      </w:pPr>
      <w:r>
        <w:rPr>
          <w:rFonts w:hint="eastAsia"/>
          <w:lang w:eastAsia="zh-TW"/>
        </w:rPr>
        <w:lastRenderedPageBreak/>
        <w:t>這一段話由兩個分句組成，圍繞撫慰吏、黔首展開，與前面說明除定律令不同，理當分開。</w:t>
      </w:r>
    </w:p>
    <w:p w14:paraId="63C86400" w14:textId="77777777" w:rsidR="00C64CDB" w:rsidRDefault="00340C74" w:rsidP="00340C74">
      <w:pPr>
        <w:pStyle w:val="aff6"/>
        <w:ind w:firstLine="560"/>
        <w:rPr>
          <w:lang w:eastAsia="zh-TW"/>
        </w:rPr>
      </w:pPr>
      <w:r>
        <w:rPr>
          <w:rFonts w:hint="eastAsia"/>
          <w:lang w:eastAsia="zh-TW"/>
        </w:rPr>
        <w:t>秦始皇統一後更名民曰“黔首”，“天下吏、黔首”即指天下吏民。舊在“天下”下斷讀，除了受正背換行書寫的版式影響外，最大影響可能來自漢代典籍，如北大漢簡《趙正書》1</w:t>
      </w:r>
      <w:r>
        <w:rPr>
          <w:lang w:eastAsia="zh-TW"/>
        </w:rPr>
        <w:t>8</w:t>
      </w:r>
      <w:r>
        <w:rPr>
          <w:rFonts w:hint="eastAsia"/>
          <w:lang w:eastAsia="zh-TW"/>
        </w:rPr>
        <w:t>號簡記載秦二世“有（又）欲起屬車萬乘以扶（撫）天下”，</w:t>
      </w:r>
      <w:r>
        <w:rPr>
          <w:rFonts w:ascii="微软雅黑" w:eastAsia="微软雅黑" w:hAnsi="微软雅黑" w:cs="微软雅黑" w:hint="eastAsia"/>
          <w:lang w:eastAsia="zh-TW"/>
        </w:rPr>
        <w:endnoteReference w:customMarkFollows="1" w:id="37"/>
        <w:t>㊲</w:t>
      </w:r>
      <w:r>
        <w:rPr>
          <w:rFonts w:cs="宋体" w:hint="eastAsia"/>
          <w:lang w:eastAsia="zh-TW"/>
        </w:rPr>
        <w:t>《史記·南越列傳》載：“及孝文帝元年，初鎮撫天下”。</w:t>
      </w:r>
      <w:r>
        <w:rPr>
          <w:rFonts w:ascii="微软雅黑" w:eastAsia="微软雅黑" w:hAnsi="微软雅黑" w:cs="微软雅黑" w:hint="eastAsia"/>
          <w:lang w:eastAsia="zh-TW"/>
        </w:rPr>
        <w:endnoteReference w:customMarkFollows="1" w:id="38"/>
        <w:t>㊳</w:t>
      </w:r>
      <w:r>
        <w:rPr>
          <w:rFonts w:cs="宋体" w:hint="eastAsia"/>
          <w:lang w:eastAsia="zh-TW"/>
        </w:rPr>
        <w:t>“天下”後面省掉中</w:t>
      </w:r>
      <w:r w:rsidR="00FA30F4">
        <w:rPr>
          <w:rFonts w:hint="eastAsia"/>
          <w:lang w:eastAsia="zh-TW"/>
        </w:rPr>
        <w:t>心語，而修飾語發生語義轉指而成中心語。</w:t>
      </w:r>
    </w:p>
    <w:p w14:paraId="19B143F2" w14:textId="77777777" w:rsidR="00C64CDB" w:rsidRDefault="00FA30F4" w:rsidP="00340C74">
      <w:pPr>
        <w:pStyle w:val="aff6"/>
        <w:ind w:firstLine="560"/>
        <w:rPr>
          <w:lang w:eastAsia="zh-TW"/>
        </w:rPr>
      </w:pPr>
      <w:r>
        <w:rPr>
          <w:rFonts w:hint="eastAsia"/>
          <w:lang w:eastAsia="zh-TW"/>
        </w:rPr>
        <w:t>“其具行事”，何有祖據錯誤的斷句認爲“具”的對象是“令”，我們改正句讀後，“具”的對象只能是“事”，“具行”是近義連言，“具”指備具、置辦，“行”指施行。至於“其”，可看作假設連詞。</w:t>
      </w:r>
    </w:p>
    <w:p w14:paraId="40885CA0" w14:textId="77777777" w:rsidR="00C64CDB" w:rsidRDefault="00FA30F4" w:rsidP="00340C74">
      <w:pPr>
        <w:pStyle w:val="aff6"/>
        <w:ind w:firstLine="560"/>
        <w:rPr>
          <w:lang w:eastAsia="zh-TW"/>
        </w:rPr>
      </w:pPr>
      <w:r>
        <w:rPr>
          <w:rFonts w:hint="eastAsia"/>
          <w:lang w:eastAsia="zh-TW"/>
        </w:rPr>
        <w:t>綜上，秦二世元年詔書中跨木簡正背書寫的一段話，過去由於受版式的影響以及對木簡原有符號的忽視，在句讀和字詞理解上都有問題，本文予以辨正。此例也可說明簡牘格式對文句理解的重要性。</w:t>
      </w:r>
    </w:p>
    <w:p w14:paraId="4A564B6E" w14:textId="77777777" w:rsidR="00C64CDB" w:rsidRDefault="00C64CDB" w:rsidP="00340C74">
      <w:pPr>
        <w:pStyle w:val="aff6"/>
        <w:ind w:firstLine="560"/>
        <w:rPr>
          <w:lang w:eastAsia="zh-TW"/>
        </w:rPr>
        <w:sectPr w:rsidR="00C64CDB">
          <w:headerReference w:type="even" r:id="rId25"/>
          <w:headerReference w:type="default" r:id="rId26"/>
          <w:footerReference w:type="default" r:id="rId27"/>
          <w:headerReference w:type="first" r:id="rId28"/>
          <w:endnotePr>
            <w:numFmt w:val="decimalEnclosedCircleChinese"/>
          </w:endnotePr>
          <w:pgSz w:w="11906" w:h="16838"/>
          <w:pgMar w:top="1440" w:right="1800" w:bottom="1440" w:left="1800" w:header="851" w:footer="992" w:gutter="0"/>
          <w:cols w:space="425"/>
          <w:docGrid w:type="lines" w:linePitch="312"/>
        </w:sectPr>
      </w:pPr>
    </w:p>
    <w:p w14:paraId="6B98849D" w14:textId="77777777" w:rsidR="00C64CDB" w:rsidRDefault="00FA30F4" w:rsidP="00340C74">
      <w:pPr>
        <w:pStyle w:val="aff6"/>
        <w:ind w:firstLine="560"/>
        <w:rPr>
          <w:lang w:eastAsia="zh-TW"/>
        </w:rPr>
      </w:pPr>
      <w:r>
        <w:rPr>
          <w:rFonts w:hint="eastAsia"/>
          <w:lang w:eastAsia="zh-TW"/>
        </w:rPr>
        <w:lastRenderedPageBreak/>
        <w:t>附記：本文蒙郭偉濤兄審閱指正，謹致謝忱。文中錯誤概由本人負責。</w:t>
      </w:r>
    </w:p>
    <w:p w14:paraId="55246A14" w14:textId="77777777" w:rsidR="00C64CDB" w:rsidRDefault="00C64CDB" w:rsidP="00340C74">
      <w:pPr>
        <w:pStyle w:val="aff6"/>
        <w:ind w:firstLine="560"/>
        <w:rPr>
          <w:lang w:eastAsia="zh-TW"/>
        </w:rPr>
      </w:pPr>
    </w:p>
    <w:p w14:paraId="71066298" w14:textId="77777777" w:rsidR="00C64CDB" w:rsidRDefault="00FA30F4" w:rsidP="00340C74">
      <w:pPr>
        <w:pStyle w:val="aff6"/>
        <w:ind w:firstLine="560"/>
        <w:rPr>
          <w:lang w:eastAsia="zh-TW"/>
        </w:rPr>
      </w:pPr>
      <w:r>
        <w:rPr>
          <w:rFonts w:hint="eastAsia"/>
          <w:lang w:eastAsia="zh-TW"/>
        </w:rPr>
        <w:t>本文爲國家社科基金冷門絕學和國別史等研究專項“漢晉簡牘名物詞整理與研究”（批准號：</w:t>
      </w:r>
      <w:r>
        <w:rPr>
          <w:lang w:eastAsia="zh-TW"/>
        </w:rPr>
        <w:t>19VJX091</w:t>
      </w:r>
      <w:r>
        <w:rPr>
          <w:rFonts w:hint="eastAsia"/>
          <w:lang w:eastAsia="zh-TW"/>
        </w:rPr>
        <w:t>）、“古文字與中華文明傳承發展工程”五年規劃項目“漢簡所見名物資料疏證”（G</w:t>
      </w:r>
      <w:r>
        <w:rPr>
          <w:lang w:eastAsia="zh-TW"/>
        </w:rPr>
        <w:t>3447</w:t>
      </w:r>
      <w:r>
        <w:rPr>
          <w:rFonts w:hint="eastAsia"/>
          <w:lang w:eastAsia="zh-TW"/>
        </w:rPr>
        <w:t>）、國家社科基金冷門絕學研究專項學術團隊項目“中國出土典籍的分類整理與綜合研究”（批准號：</w:t>
      </w:r>
      <w:r>
        <w:rPr>
          <w:lang w:eastAsia="zh-TW"/>
        </w:rPr>
        <w:t>20VJXT018</w:t>
      </w:r>
      <w:r>
        <w:rPr>
          <w:rFonts w:hint="eastAsia"/>
          <w:lang w:eastAsia="zh-TW"/>
        </w:rPr>
        <w:t>）的成果。</w:t>
      </w:r>
    </w:p>
    <w:p w14:paraId="1D015F8D" w14:textId="77777777" w:rsidR="00C64CDB" w:rsidRDefault="00C64CDB" w:rsidP="00340C74">
      <w:pPr>
        <w:pStyle w:val="aff6"/>
        <w:ind w:firstLine="560"/>
        <w:rPr>
          <w:lang w:eastAsia="zh-TW"/>
        </w:rPr>
      </w:pPr>
    </w:p>
    <w:p w14:paraId="58BB614A" w14:textId="77777777" w:rsidR="00C64CDB" w:rsidRDefault="00FA30F4" w:rsidP="00340C74">
      <w:pPr>
        <w:pStyle w:val="aff6"/>
        <w:ind w:firstLine="560"/>
        <w:rPr>
          <w:lang w:eastAsia="zh-TW"/>
        </w:rPr>
      </w:pPr>
      <w:r>
        <w:rPr>
          <w:rFonts w:hint="eastAsia"/>
          <w:lang w:eastAsia="zh-TW"/>
        </w:rPr>
        <w:t>本文刊於中國文化遺產研究院編《出土文獻研究》（第二十輯），中西書局，2</w:t>
      </w:r>
      <w:r>
        <w:rPr>
          <w:lang w:eastAsia="zh-TW"/>
        </w:rPr>
        <w:t>021</w:t>
      </w:r>
      <w:r>
        <w:rPr>
          <w:rFonts w:hint="eastAsia"/>
          <w:lang w:eastAsia="zh-TW"/>
        </w:rPr>
        <w:t>年。</w:t>
      </w:r>
    </w:p>
    <w:p w14:paraId="27902F26" w14:textId="77777777" w:rsidR="00C64CDB" w:rsidRDefault="00C64CDB" w:rsidP="00340C74">
      <w:pPr>
        <w:pStyle w:val="aff6"/>
        <w:ind w:firstLine="560"/>
        <w:rPr>
          <w:lang w:eastAsia="zh-TW"/>
        </w:rPr>
      </w:pPr>
    </w:p>
    <w:p w14:paraId="616D816C" w14:textId="77777777" w:rsidR="00C64CDB" w:rsidRDefault="00C64CDB" w:rsidP="00340C74">
      <w:pPr>
        <w:pStyle w:val="aff6"/>
        <w:ind w:firstLine="560"/>
        <w:rPr>
          <w:lang w:eastAsia="zh-TW"/>
        </w:rPr>
      </w:pPr>
    </w:p>
    <w:p w14:paraId="410AE40D" w14:textId="77777777" w:rsidR="00C64CDB" w:rsidRDefault="00C64CDB" w:rsidP="00340C74">
      <w:pPr>
        <w:pStyle w:val="aff6"/>
        <w:ind w:firstLine="560"/>
        <w:rPr>
          <w:lang w:eastAsia="zh-TW"/>
        </w:rPr>
      </w:pPr>
    </w:p>
    <w:sectPr w:rsidR="00C64CDB">
      <w:headerReference w:type="default" r:id="rId29"/>
      <w:footerReference w:type="even" r:id="rId30"/>
      <w:footerReference w:type="default" r:id="rId3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906C" w14:textId="77777777" w:rsidR="00F140EC" w:rsidRDefault="00F140EC">
      <w:r>
        <w:separator/>
      </w:r>
    </w:p>
  </w:endnote>
  <w:endnote w:type="continuationSeparator" w:id="0">
    <w:p w14:paraId="171B6A52" w14:textId="77777777" w:rsidR="00F140EC" w:rsidRDefault="00F140EC">
      <w:r>
        <w:continuationSeparator/>
      </w:r>
    </w:p>
  </w:endnote>
  <w:endnote w:id="1">
    <w:p w14:paraId="0DE3F690" w14:textId="77777777" w:rsidR="00340C74" w:rsidRPr="00340C74" w:rsidRDefault="00340C74" w:rsidP="00340C74">
      <w:pPr>
        <w:pStyle w:val="ad"/>
        <w:rPr>
          <w:lang w:eastAsia="zh-TW"/>
        </w:rPr>
      </w:pPr>
      <w:r w:rsidRPr="00340C74">
        <w:endnoteRef/>
      </w:r>
      <w:r w:rsidRPr="00340C74">
        <w:rPr>
          <w:lang w:eastAsia="zh-TW"/>
        </w:rPr>
        <w:t xml:space="preserve"> </w:t>
      </w:r>
      <w:r w:rsidRPr="00340C74">
        <w:rPr>
          <w:rFonts w:hint="eastAsia"/>
          <w:lang w:eastAsia="zh-TW"/>
        </w:rPr>
        <w:t>黃盛璋：《雲夢秦墓出土的兩封家信與歷史地理問題》，見氏著：《歷史地理論集》，人民出版社，</w:t>
      </w:r>
      <w:r w:rsidRPr="00340C74">
        <w:rPr>
          <w:lang w:eastAsia="zh-TW"/>
        </w:rPr>
        <w:t>1982</w:t>
      </w:r>
      <w:r w:rsidRPr="00340C74">
        <w:rPr>
          <w:rFonts w:hint="eastAsia"/>
          <w:lang w:eastAsia="zh-TW"/>
        </w:rPr>
        <w:t>年，第</w:t>
      </w:r>
      <w:r w:rsidRPr="00340C74">
        <w:rPr>
          <w:lang w:eastAsia="zh-TW"/>
        </w:rPr>
        <w:t>555</w:t>
      </w:r>
      <w:r w:rsidRPr="00340C74">
        <w:rPr>
          <w:rFonts w:hint="eastAsia"/>
          <w:lang w:eastAsia="zh-TW"/>
        </w:rPr>
        <w:t>頁</w:t>
      </w:r>
      <w:r w:rsidRPr="00340C74">
        <w:rPr>
          <w:rFonts w:ascii="微软雅黑" w:eastAsia="微软雅黑" w:hAnsi="微软雅黑" w:cs="微软雅黑" w:hint="eastAsia"/>
          <w:lang w:eastAsia="zh-TW"/>
        </w:rPr>
        <w:t>｡</w:t>
      </w:r>
    </w:p>
  </w:endnote>
  <w:endnote w:id="2">
    <w:p w14:paraId="7D76B18C" w14:textId="77777777" w:rsidR="00340C74" w:rsidRPr="00340C74" w:rsidRDefault="00340C74" w:rsidP="00340C74">
      <w:pPr>
        <w:pStyle w:val="ad"/>
        <w:rPr>
          <w:lang w:eastAsia="zh-TW"/>
        </w:rPr>
      </w:pPr>
      <w:r w:rsidRPr="00340C74">
        <w:endnoteRef/>
      </w:r>
      <w:r w:rsidRPr="00340C74">
        <w:rPr>
          <w:rFonts w:hint="eastAsia"/>
          <w:lang w:eastAsia="zh-TW"/>
        </w:rPr>
        <w:t xml:space="preserve"> 湯餘惠：《睡虎地秦墓家屬木牘（二篇）》，見氏著：《戰國銘文選》，吉林大學出版社，1</w:t>
      </w:r>
      <w:r w:rsidRPr="00340C74">
        <w:rPr>
          <w:lang w:eastAsia="zh-TW"/>
        </w:rPr>
        <w:t>993</w:t>
      </w:r>
      <w:r w:rsidRPr="00340C74">
        <w:rPr>
          <w:rFonts w:hint="eastAsia"/>
          <w:lang w:eastAsia="zh-TW"/>
        </w:rPr>
        <w:t>年，第1</w:t>
      </w:r>
      <w:r w:rsidRPr="00340C74">
        <w:rPr>
          <w:lang w:eastAsia="zh-TW"/>
        </w:rPr>
        <w:t>75</w:t>
      </w:r>
      <w:r w:rsidRPr="00340C74">
        <w:rPr>
          <w:rFonts w:hint="eastAsia"/>
          <w:lang w:eastAsia="zh-TW"/>
        </w:rPr>
        <w:t>—1</w:t>
      </w:r>
      <w:r w:rsidRPr="00340C74">
        <w:rPr>
          <w:lang w:eastAsia="zh-TW"/>
        </w:rPr>
        <w:t>76</w:t>
      </w:r>
      <w:r w:rsidRPr="00340C74">
        <w:rPr>
          <w:rFonts w:hint="eastAsia"/>
          <w:lang w:eastAsia="zh-TW"/>
        </w:rPr>
        <w:t>頁。</w:t>
      </w:r>
    </w:p>
  </w:endnote>
  <w:endnote w:id="3">
    <w:p w14:paraId="4D8653C0" w14:textId="77777777" w:rsidR="00340C74" w:rsidRPr="00340C74" w:rsidRDefault="00340C74" w:rsidP="00340C74">
      <w:pPr>
        <w:pStyle w:val="ad"/>
        <w:rPr>
          <w:lang w:eastAsia="zh-TW"/>
        </w:rPr>
      </w:pPr>
      <w:r w:rsidRPr="00340C74">
        <w:endnoteRef/>
      </w:r>
      <w:r w:rsidRPr="00340C74">
        <w:rPr>
          <w:lang w:eastAsia="zh-TW"/>
        </w:rPr>
        <w:t xml:space="preserve"> </w:t>
      </w:r>
      <w:r w:rsidRPr="00340C74">
        <w:rPr>
          <w:rFonts w:hint="eastAsia"/>
          <w:lang w:eastAsia="zh-TW"/>
        </w:rPr>
        <w:t>陳偉主編：《秦簡牘合集（壹）》，武漢大學出版社，2</w:t>
      </w:r>
      <w:r w:rsidRPr="00340C74">
        <w:rPr>
          <w:lang w:eastAsia="zh-TW"/>
        </w:rPr>
        <w:t>014</w:t>
      </w:r>
      <w:r w:rsidRPr="00340C74">
        <w:rPr>
          <w:rFonts w:hint="eastAsia"/>
          <w:lang w:eastAsia="zh-TW"/>
        </w:rPr>
        <w:t>年，第6</w:t>
      </w:r>
      <w:r w:rsidRPr="00340C74">
        <w:rPr>
          <w:lang w:eastAsia="zh-TW"/>
        </w:rPr>
        <w:t>32</w:t>
      </w:r>
      <w:r w:rsidRPr="00340C74">
        <w:rPr>
          <w:rFonts w:hint="eastAsia"/>
          <w:lang w:eastAsia="zh-TW"/>
        </w:rPr>
        <w:t>—</w:t>
      </w:r>
      <w:r w:rsidRPr="00340C74">
        <w:rPr>
          <w:lang w:eastAsia="zh-TW"/>
        </w:rPr>
        <w:t>633</w:t>
      </w:r>
      <w:r w:rsidRPr="00340C74">
        <w:rPr>
          <w:rFonts w:hint="eastAsia"/>
          <w:lang w:eastAsia="zh-TW"/>
        </w:rPr>
        <w:t>頁。</w:t>
      </w:r>
    </w:p>
  </w:endnote>
  <w:endnote w:id="4">
    <w:p w14:paraId="3547CB63" w14:textId="77777777" w:rsidR="00340C74" w:rsidRPr="00340C74" w:rsidRDefault="00340C74" w:rsidP="00340C74">
      <w:pPr>
        <w:pStyle w:val="ad"/>
        <w:rPr>
          <w:lang w:eastAsia="zh-TW"/>
        </w:rPr>
      </w:pPr>
      <w:r w:rsidRPr="00340C74">
        <w:endnoteRef/>
      </w:r>
      <w:r w:rsidRPr="00340C74">
        <w:rPr>
          <w:rFonts w:hint="eastAsia"/>
          <w:lang w:eastAsia="zh-TW"/>
        </w:rPr>
        <w:t xml:space="preserve"> 高敏：《秦簡、漢簡與秦漢史研究》，見朱紹侯主編：《中國古代史研究入門》，河南人民出版社，1</w:t>
      </w:r>
      <w:r w:rsidRPr="00340C74">
        <w:rPr>
          <w:lang w:eastAsia="zh-TW"/>
        </w:rPr>
        <w:t>989</w:t>
      </w:r>
      <w:r w:rsidRPr="00340C74">
        <w:rPr>
          <w:rFonts w:hint="eastAsia"/>
          <w:lang w:eastAsia="zh-TW"/>
        </w:rPr>
        <w:t>年，第2</w:t>
      </w:r>
      <w:r w:rsidRPr="00340C74">
        <w:rPr>
          <w:lang w:eastAsia="zh-TW"/>
        </w:rPr>
        <w:t>94</w:t>
      </w:r>
      <w:r w:rsidRPr="00340C74">
        <w:rPr>
          <w:rFonts w:hint="eastAsia"/>
          <w:lang w:eastAsia="zh-TW"/>
        </w:rPr>
        <w:t>—2</w:t>
      </w:r>
      <w:r w:rsidRPr="00340C74">
        <w:rPr>
          <w:lang w:eastAsia="zh-TW"/>
        </w:rPr>
        <w:t>95</w:t>
      </w:r>
      <w:r w:rsidRPr="00340C74">
        <w:rPr>
          <w:rFonts w:hint="eastAsia"/>
          <w:lang w:eastAsia="zh-TW"/>
        </w:rPr>
        <w:t>頁。朱紹侯：《軍功爵制研究》，上海人民出版社，1990年，第4</w:t>
      </w:r>
      <w:r w:rsidRPr="00340C74">
        <w:rPr>
          <w:lang w:eastAsia="zh-TW"/>
        </w:rPr>
        <w:t>6</w:t>
      </w:r>
      <w:r w:rsidRPr="00340C74">
        <w:rPr>
          <w:rFonts w:hint="eastAsia"/>
          <w:lang w:eastAsia="zh-TW"/>
        </w:rPr>
        <w:t>頁。</w:t>
      </w:r>
    </w:p>
  </w:endnote>
  <w:endnote w:id="5">
    <w:p w14:paraId="1E525841" w14:textId="77777777" w:rsidR="00340C74" w:rsidRPr="00340C74" w:rsidRDefault="00340C74" w:rsidP="00340C74">
      <w:pPr>
        <w:pStyle w:val="ad"/>
        <w:rPr>
          <w:lang w:eastAsia="zh-TW"/>
        </w:rPr>
      </w:pPr>
      <w:r w:rsidRPr="00340C74">
        <w:endnoteRef/>
      </w:r>
      <w:r w:rsidRPr="00340C74">
        <w:rPr>
          <w:lang w:eastAsia="zh-TW"/>
        </w:rPr>
        <w:t xml:space="preserve"> </w:t>
      </w:r>
      <w:r w:rsidRPr="00340C74">
        <w:rPr>
          <w:rFonts w:hint="eastAsia"/>
          <w:lang w:eastAsia="zh-TW"/>
        </w:rPr>
        <w:t>張金光：《秦制研究》，上海古籍出版社，2</w:t>
      </w:r>
      <w:r w:rsidRPr="00340C74">
        <w:rPr>
          <w:lang w:eastAsia="zh-TW"/>
        </w:rPr>
        <w:t>004</w:t>
      </w:r>
      <w:r w:rsidRPr="00340C74">
        <w:rPr>
          <w:rFonts w:hint="eastAsia"/>
          <w:lang w:eastAsia="zh-TW"/>
        </w:rPr>
        <w:t>年，第7</w:t>
      </w:r>
      <w:r w:rsidRPr="00340C74">
        <w:rPr>
          <w:lang w:eastAsia="zh-TW"/>
        </w:rPr>
        <w:t>58</w:t>
      </w:r>
      <w:r w:rsidRPr="00340C74">
        <w:rPr>
          <w:rFonts w:hint="eastAsia"/>
          <w:lang w:eastAsia="zh-TW"/>
        </w:rPr>
        <w:t>—</w:t>
      </w:r>
      <w:r w:rsidRPr="00340C74">
        <w:rPr>
          <w:lang w:eastAsia="zh-TW"/>
        </w:rPr>
        <w:t>759</w:t>
      </w:r>
      <w:r w:rsidRPr="00340C74">
        <w:rPr>
          <w:rFonts w:hint="eastAsia"/>
          <w:lang w:eastAsia="zh-TW"/>
        </w:rPr>
        <w:t>頁。</w:t>
      </w:r>
    </w:p>
  </w:endnote>
  <w:endnote w:id="6">
    <w:p w14:paraId="58106D6F" w14:textId="77777777" w:rsidR="00340C74" w:rsidRPr="00340C74" w:rsidRDefault="00340C74" w:rsidP="00340C74">
      <w:pPr>
        <w:pStyle w:val="ad"/>
        <w:rPr>
          <w:lang w:eastAsia="zh-TW"/>
        </w:rPr>
      </w:pPr>
      <w:r w:rsidRPr="00340C74">
        <w:endnoteRef/>
      </w:r>
      <w:r w:rsidRPr="00340C74">
        <w:rPr>
          <w:lang w:eastAsia="zh-TW"/>
        </w:rPr>
        <w:t xml:space="preserve"> </w:t>
      </w:r>
      <w:r w:rsidRPr="00340C74">
        <w:rPr>
          <w:rFonts w:hint="eastAsia"/>
          <w:lang w:eastAsia="zh-TW"/>
        </w:rPr>
        <w:t>張伯元：《雲夢木牘考·三、關於“相家爵”》，見氏著：《出土法律文獻叢考》，上海人民出版社，2</w:t>
      </w:r>
      <w:r w:rsidRPr="00340C74">
        <w:rPr>
          <w:lang w:eastAsia="zh-TW"/>
        </w:rPr>
        <w:t>013</w:t>
      </w:r>
      <w:r w:rsidRPr="00340C74">
        <w:rPr>
          <w:rFonts w:hint="eastAsia"/>
          <w:lang w:eastAsia="zh-TW"/>
        </w:rPr>
        <w:t>年，第8頁。</w:t>
      </w:r>
    </w:p>
  </w:endnote>
  <w:endnote w:id="7">
    <w:p w14:paraId="09432188" w14:textId="77777777" w:rsidR="00340C74" w:rsidRPr="00340C74" w:rsidRDefault="00340C74" w:rsidP="00340C74">
      <w:pPr>
        <w:pStyle w:val="ad"/>
        <w:rPr>
          <w:lang w:eastAsia="zh-TW"/>
        </w:rPr>
      </w:pPr>
      <w:r w:rsidRPr="00340C74">
        <w:endnoteRef/>
      </w:r>
      <w:r w:rsidRPr="00340C74">
        <w:rPr>
          <w:lang w:eastAsia="zh-TW"/>
        </w:rPr>
        <w:t xml:space="preserve"> </w:t>
      </w:r>
      <w:r w:rsidRPr="00340C74">
        <w:rPr>
          <w:rFonts w:hint="eastAsia"/>
          <w:lang w:eastAsia="zh-TW"/>
        </w:rPr>
        <w:t>［清］王先謙撰，沈嘯寰、王星賢點校：《荀子集解》卷十《議兵》，中華書局，1988年，第274頁。</w:t>
      </w:r>
    </w:p>
  </w:endnote>
  <w:endnote w:id="8">
    <w:p w14:paraId="6F6A0897" w14:textId="77777777" w:rsidR="00340C74" w:rsidRPr="00340C74" w:rsidRDefault="00340C74" w:rsidP="00340C74">
      <w:pPr>
        <w:pStyle w:val="ad"/>
        <w:rPr>
          <w:lang w:eastAsia="zh-TW"/>
        </w:rPr>
      </w:pPr>
      <w:r w:rsidRPr="00340C74">
        <w:endnoteRef/>
      </w:r>
      <w:r w:rsidRPr="00340C74">
        <w:rPr>
          <w:lang w:eastAsia="zh-TW"/>
        </w:rPr>
        <w:t xml:space="preserve"> </w:t>
      </w:r>
      <w:r w:rsidRPr="00340C74">
        <w:rPr>
          <w:rFonts w:hint="eastAsia"/>
          <w:lang w:eastAsia="zh-TW"/>
        </w:rPr>
        <w:t>陳偉主編：《秦簡牘合集（壹）》，第1</w:t>
      </w:r>
      <w:r w:rsidRPr="00340C74">
        <w:rPr>
          <w:lang w:eastAsia="zh-TW"/>
        </w:rPr>
        <w:t>33</w:t>
      </w:r>
      <w:r w:rsidRPr="00340C74">
        <w:rPr>
          <w:rFonts w:hint="eastAsia"/>
          <w:lang w:eastAsia="zh-TW"/>
        </w:rPr>
        <w:t>頁。</w:t>
      </w:r>
    </w:p>
  </w:endnote>
  <w:endnote w:id="9">
    <w:p w14:paraId="51D86CCF" w14:textId="77777777" w:rsidR="00340C74" w:rsidRPr="00340C74" w:rsidRDefault="00340C74" w:rsidP="00340C74">
      <w:pPr>
        <w:pStyle w:val="ad"/>
        <w:rPr>
          <w:lang w:eastAsia="zh-TW"/>
        </w:rPr>
      </w:pPr>
      <w:r w:rsidRPr="00340C74">
        <w:endnoteRef/>
      </w:r>
      <w:r w:rsidRPr="00340C74">
        <w:rPr>
          <w:lang w:eastAsia="zh-TW"/>
        </w:rPr>
        <w:t xml:space="preserve"> </w:t>
      </w:r>
      <w:r w:rsidRPr="00340C74">
        <w:rPr>
          <w:rFonts w:hint="eastAsia"/>
          <w:lang w:eastAsia="zh-TW"/>
        </w:rPr>
        <w:t>張金光：《秦制研究》，第7</w:t>
      </w:r>
      <w:r w:rsidRPr="00340C74">
        <w:rPr>
          <w:lang w:eastAsia="zh-TW"/>
        </w:rPr>
        <w:t>58</w:t>
      </w:r>
      <w:r w:rsidRPr="00340C74">
        <w:rPr>
          <w:rFonts w:hint="eastAsia"/>
          <w:lang w:eastAsia="zh-TW"/>
        </w:rPr>
        <w:t>—7</w:t>
      </w:r>
      <w:r w:rsidRPr="00340C74">
        <w:rPr>
          <w:lang w:eastAsia="zh-TW"/>
        </w:rPr>
        <w:t>59</w:t>
      </w:r>
      <w:r w:rsidRPr="00340C74">
        <w:rPr>
          <w:rFonts w:hint="eastAsia"/>
          <w:lang w:eastAsia="zh-TW"/>
        </w:rPr>
        <w:t>頁。</w:t>
      </w:r>
    </w:p>
  </w:endnote>
  <w:endnote w:id="10">
    <w:p w14:paraId="76D32706" w14:textId="77777777" w:rsidR="00340C74" w:rsidRPr="00340C74" w:rsidRDefault="00340C74" w:rsidP="00340C74">
      <w:pPr>
        <w:pStyle w:val="ad"/>
        <w:rPr>
          <w:lang w:eastAsia="zh-TW"/>
        </w:rPr>
      </w:pPr>
      <w:r w:rsidRPr="00340C74">
        <w:endnoteRef/>
      </w:r>
      <w:r w:rsidRPr="00340C74">
        <w:rPr>
          <w:lang w:eastAsia="zh-TW"/>
        </w:rPr>
        <w:t xml:space="preserve"> </w:t>
      </w:r>
      <w:r w:rsidRPr="00340C74">
        <w:rPr>
          <w:rFonts w:hint="eastAsia"/>
          <w:lang w:eastAsia="zh-TW"/>
        </w:rPr>
        <w:t>張金光：《秦制研究》，第7</w:t>
      </w:r>
      <w:r w:rsidRPr="00340C74">
        <w:rPr>
          <w:lang w:eastAsia="zh-TW"/>
        </w:rPr>
        <w:t>55</w:t>
      </w:r>
      <w:r w:rsidRPr="00340C74">
        <w:rPr>
          <w:rFonts w:hint="eastAsia"/>
          <w:lang w:eastAsia="zh-TW"/>
        </w:rPr>
        <w:t>—7</w:t>
      </w:r>
      <w:r w:rsidRPr="00340C74">
        <w:rPr>
          <w:lang w:eastAsia="zh-TW"/>
        </w:rPr>
        <w:t>57</w:t>
      </w:r>
      <w:r w:rsidRPr="00340C74">
        <w:rPr>
          <w:rFonts w:hint="eastAsia"/>
          <w:lang w:eastAsia="zh-TW"/>
        </w:rPr>
        <w:t>頁。</w:t>
      </w:r>
    </w:p>
  </w:endnote>
  <w:endnote w:id="11">
    <w:p w14:paraId="1D8D0B9D" w14:textId="77777777" w:rsidR="00340C74" w:rsidRPr="00340C74" w:rsidRDefault="00340C74" w:rsidP="00340C74">
      <w:pPr>
        <w:pStyle w:val="ad"/>
        <w:rPr>
          <w:lang w:eastAsia="zh-TW"/>
        </w:rPr>
      </w:pPr>
      <w:r w:rsidRPr="00340C74">
        <w:rPr>
          <w:rFonts w:ascii="Cambria Math" w:hAnsi="Cambria Math" w:cs="Cambria Math"/>
          <w:lang w:eastAsia="zh-TW"/>
        </w:rPr>
        <w:t>⑪</w:t>
      </w:r>
      <w:r w:rsidRPr="00340C74">
        <w:rPr>
          <w:lang w:eastAsia="zh-TW"/>
        </w:rPr>
        <w:t xml:space="preserve"> </w:t>
      </w:r>
      <w:r w:rsidRPr="00340C74">
        <w:rPr>
          <w:rFonts w:hint="eastAsia"/>
          <w:lang w:eastAsia="zh-TW"/>
        </w:rPr>
        <w:t>陳松長主編：《嶽麓書院藏秦簡》（伍），上海辭書出版社，2</w:t>
      </w:r>
      <w:r w:rsidRPr="00340C74">
        <w:rPr>
          <w:lang w:eastAsia="zh-TW"/>
        </w:rPr>
        <w:t>017</w:t>
      </w:r>
      <w:r w:rsidRPr="00340C74">
        <w:rPr>
          <w:rFonts w:hint="eastAsia"/>
          <w:lang w:eastAsia="zh-TW"/>
        </w:rPr>
        <w:t>年，第1</w:t>
      </w:r>
      <w:r w:rsidRPr="00340C74">
        <w:rPr>
          <w:lang w:eastAsia="zh-TW"/>
        </w:rPr>
        <w:t>13</w:t>
      </w:r>
      <w:r w:rsidRPr="00340C74">
        <w:rPr>
          <w:rFonts w:hint="eastAsia"/>
          <w:lang w:eastAsia="zh-TW"/>
        </w:rPr>
        <w:t>—1</w:t>
      </w:r>
      <w:r w:rsidRPr="00340C74">
        <w:rPr>
          <w:lang w:eastAsia="zh-TW"/>
        </w:rPr>
        <w:t>14</w:t>
      </w:r>
      <w:r w:rsidRPr="00340C74">
        <w:rPr>
          <w:rFonts w:hint="eastAsia"/>
          <w:lang w:eastAsia="zh-TW"/>
        </w:rPr>
        <w:t>、2</w:t>
      </w:r>
      <w:r w:rsidRPr="00340C74">
        <w:rPr>
          <w:lang w:eastAsia="zh-TW"/>
        </w:rPr>
        <w:t>25</w:t>
      </w:r>
      <w:r w:rsidRPr="00340C74">
        <w:rPr>
          <w:rFonts w:hint="eastAsia"/>
          <w:lang w:eastAsia="zh-TW"/>
        </w:rPr>
        <w:t>頁。</w:t>
      </w:r>
    </w:p>
  </w:endnote>
  <w:endnote w:id="12">
    <w:p w14:paraId="47035862" w14:textId="77777777" w:rsidR="00340C74" w:rsidRPr="00340C74" w:rsidRDefault="00340C74" w:rsidP="00340C74">
      <w:pPr>
        <w:pStyle w:val="ad"/>
        <w:rPr>
          <w:lang w:eastAsia="zh-TW"/>
        </w:rPr>
      </w:pPr>
      <w:r w:rsidRPr="00340C74">
        <w:rPr>
          <w:rFonts w:ascii="Cambria Math" w:hAnsi="Cambria Math" w:cs="Cambria Math"/>
          <w:lang w:eastAsia="zh-TW"/>
        </w:rPr>
        <w:t>⑫</w:t>
      </w:r>
      <w:r w:rsidRPr="00340C74">
        <w:rPr>
          <w:lang w:eastAsia="zh-TW"/>
        </w:rPr>
        <w:t xml:space="preserve"> </w:t>
      </w:r>
      <w:r w:rsidRPr="00340C74">
        <w:rPr>
          <w:rFonts w:hint="eastAsia"/>
          <w:lang w:eastAsia="zh-TW"/>
        </w:rPr>
        <w:t>楊朝明：《孔子家語通解》，齊魯書社，2</w:t>
      </w:r>
      <w:r w:rsidRPr="00340C74">
        <w:rPr>
          <w:lang w:eastAsia="zh-TW"/>
        </w:rPr>
        <w:t>009</w:t>
      </w:r>
      <w:r w:rsidRPr="00340C74">
        <w:rPr>
          <w:rFonts w:hint="eastAsia"/>
          <w:lang w:eastAsia="zh-TW"/>
        </w:rPr>
        <w:t>年，第4</w:t>
      </w:r>
      <w:r w:rsidRPr="00340C74">
        <w:rPr>
          <w:lang w:eastAsia="zh-TW"/>
        </w:rPr>
        <w:t>80</w:t>
      </w:r>
      <w:r w:rsidRPr="00340C74">
        <w:rPr>
          <w:rFonts w:hint="eastAsia"/>
          <w:lang w:eastAsia="zh-TW"/>
        </w:rPr>
        <w:t>—4</w:t>
      </w:r>
      <w:r w:rsidRPr="00340C74">
        <w:rPr>
          <w:lang w:eastAsia="zh-TW"/>
        </w:rPr>
        <w:t>81</w:t>
      </w:r>
      <w:r w:rsidRPr="00340C74">
        <w:rPr>
          <w:rFonts w:hint="eastAsia"/>
          <w:lang w:eastAsia="zh-TW"/>
        </w:rPr>
        <w:t>頁。</w:t>
      </w:r>
    </w:p>
  </w:endnote>
  <w:endnote w:id="13">
    <w:p w14:paraId="666272FA" w14:textId="77777777" w:rsidR="00340C74" w:rsidRPr="00340C74" w:rsidRDefault="00340C74" w:rsidP="00340C74">
      <w:pPr>
        <w:pStyle w:val="ad"/>
        <w:rPr>
          <w:lang w:eastAsia="zh-TW"/>
        </w:rPr>
      </w:pPr>
      <w:r w:rsidRPr="00340C74">
        <w:rPr>
          <w:rFonts w:ascii="Cambria Math" w:hAnsi="Cambria Math" w:cs="Cambria Math"/>
          <w:lang w:eastAsia="zh-TW"/>
        </w:rPr>
        <w:t>⑬</w:t>
      </w:r>
      <w:r w:rsidRPr="00340C74">
        <w:rPr>
          <w:lang w:eastAsia="zh-TW"/>
        </w:rPr>
        <w:t xml:space="preserve"> </w:t>
      </w:r>
      <w:r w:rsidRPr="00340C74">
        <w:rPr>
          <w:rFonts w:hint="eastAsia"/>
          <w:lang w:eastAsia="zh-TW"/>
        </w:rPr>
        <w:t>［清］孫希旦撰，沈嘯寰、王星賢點校：《禮記集解》卷五《曲禮下》，中華書局，1989年，第109頁。</w:t>
      </w:r>
    </w:p>
  </w:endnote>
  <w:endnote w:id="14">
    <w:p w14:paraId="69E1D6AE" w14:textId="77777777" w:rsidR="00340C74" w:rsidRPr="00340C74" w:rsidRDefault="00340C74" w:rsidP="00340C74">
      <w:pPr>
        <w:pStyle w:val="ad"/>
        <w:rPr>
          <w:lang w:eastAsia="zh-TW"/>
        </w:rPr>
      </w:pPr>
      <w:r w:rsidRPr="00340C74">
        <w:rPr>
          <w:rFonts w:ascii="Cambria Math" w:hAnsi="Cambria Math" w:cs="Cambria Math"/>
          <w:lang w:eastAsia="zh-TW"/>
        </w:rPr>
        <w:t>⑭</w:t>
      </w:r>
      <w:r w:rsidRPr="00340C74">
        <w:rPr>
          <w:lang w:eastAsia="zh-TW"/>
        </w:rPr>
        <w:t xml:space="preserve"> </w:t>
      </w:r>
      <w:r w:rsidRPr="00340C74">
        <w:rPr>
          <w:rFonts w:hint="eastAsia"/>
          <w:lang w:eastAsia="zh-TW"/>
        </w:rPr>
        <w:t>周韌：《現代漢語韻律與語法的互動關係研究》，商務印書館，2</w:t>
      </w:r>
      <w:r w:rsidRPr="00340C74">
        <w:rPr>
          <w:lang w:eastAsia="zh-TW"/>
        </w:rPr>
        <w:t>011</w:t>
      </w:r>
      <w:r w:rsidRPr="00340C74">
        <w:rPr>
          <w:rFonts w:hint="eastAsia"/>
          <w:lang w:eastAsia="zh-TW"/>
        </w:rPr>
        <w:t>年，第1</w:t>
      </w:r>
      <w:r w:rsidRPr="00340C74">
        <w:rPr>
          <w:lang w:eastAsia="zh-TW"/>
        </w:rPr>
        <w:t>00</w:t>
      </w:r>
      <w:r w:rsidRPr="00340C74">
        <w:rPr>
          <w:rFonts w:hint="eastAsia"/>
          <w:lang w:eastAsia="zh-TW"/>
        </w:rPr>
        <w:t>頁。</w:t>
      </w:r>
    </w:p>
  </w:endnote>
  <w:endnote w:id="15">
    <w:p w14:paraId="17F5C6B4" w14:textId="77777777" w:rsidR="00340C74" w:rsidRPr="00340C74" w:rsidRDefault="00340C74" w:rsidP="00340C74">
      <w:pPr>
        <w:pStyle w:val="ad"/>
        <w:rPr>
          <w:lang w:eastAsia="zh-TW"/>
        </w:rPr>
      </w:pPr>
      <w:r w:rsidRPr="00340C74">
        <w:rPr>
          <w:rFonts w:ascii="Cambria Math" w:hAnsi="Cambria Math" w:cs="Cambria Math"/>
          <w:lang w:eastAsia="zh-TW"/>
        </w:rPr>
        <w:t>⑮</w:t>
      </w:r>
      <w:r w:rsidRPr="00340C74">
        <w:rPr>
          <w:lang w:eastAsia="zh-TW"/>
        </w:rPr>
        <w:t xml:space="preserve"> </w:t>
      </w:r>
      <w:r w:rsidRPr="00340C74">
        <w:rPr>
          <w:rFonts w:hint="eastAsia"/>
          <w:lang w:eastAsia="zh-TW"/>
        </w:rPr>
        <w:t>楊伯峻編著：《春秋左傳注》（3版修訂本），中華書局，2</w:t>
      </w:r>
      <w:r w:rsidRPr="00340C74">
        <w:rPr>
          <w:lang w:eastAsia="zh-TW"/>
        </w:rPr>
        <w:t>009</w:t>
      </w:r>
      <w:r w:rsidRPr="00340C74">
        <w:rPr>
          <w:rFonts w:hint="eastAsia"/>
          <w:lang w:eastAsia="zh-TW"/>
        </w:rPr>
        <w:t>年，第1</w:t>
      </w:r>
      <w:r w:rsidRPr="00340C74">
        <w:rPr>
          <w:lang w:eastAsia="zh-TW"/>
        </w:rPr>
        <w:t>15</w:t>
      </w:r>
      <w:r w:rsidRPr="00340C74">
        <w:rPr>
          <w:rFonts w:hint="eastAsia"/>
          <w:lang w:eastAsia="zh-TW"/>
        </w:rPr>
        <w:t>—1</w:t>
      </w:r>
      <w:r w:rsidRPr="00340C74">
        <w:rPr>
          <w:lang w:eastAsia="zh-TW"/>
        </w:rPr>
        <w:t>16</w:t>
      </w:r>
      <w:r w:rsidRPr="00340C74">
        <w:rPr>
          <w:rFonts w:hint="eastAsia"/>
          <w:lang w:eastAsia="zh-TW"/>
        </w:rPr>
        <w:t>頁。</w:t>
      </w:r>
    </w:p>
  </w:endnote>
  <w:endnote w:id="16">
    <w:p w14:paraId="4AD493AC" w14:textId="77777777" w:rsidR="00340C74" w:rsidRPr="00340C74" w:rsidRDefault="00340C74" w:rsidP="00340C74">
      <w:pPr>
        <w:pStyle w:val="ad"/>
        <w:rPr>
          <w:lang w:eastAsia="zh-TW"/>
        </w:rPr>
      </w:pPr>
      <w:r w:rsidRPr="00340C74">
        <w:rPr>
          <w:rFonts w:ascii="Cambria Math" w:hAnsi="Cambria Math" w:cs="Cambria Math"/>
          <w:lang w:eastAsia="zh-TW"/>
        </w:rPr>
        <w:t>⑯</w:t>
      </w:r>
      <w:r w:rsidRPr="00340C74">
        <w:rPr>
          <w:lang w:eastAsia="zh-TW"/>
        </w:rPr>
        <w:t xml:space="preserve"> </w:t>
      </w:r>
      <w:r w:rsidRPr="00340C74">
        <w:rPr>
          <w:rFonts w:hint="eastAsia"/>
          <w:lang w:eastAsia="zh-TW"/>
        </w:rPr>
        <w:t>蔣禮鴻：《商君書》，中華書局，1</w:t>
      </w:r>
      <w:r w:rsidRPr="00340C74">
        <w:rPr>
          <w:lang w:eastAsia="zh-TW"/>
        </w:rPr>
        <w:t>986</w:t>
      </w:r>
      <w:r w:rsidRPr="00340C74">
        <w:rPr>
          <w:rFonts w:hint="eastAsia"/>
          <w:lang w:eastAsia="zh-TW"/>
        </w:rPr>
        <w:t>年，第1</w:t>
      </w:r>
      <w:r w:rsidRPr="00340C74">
        <w:rPr>
          <w:lang w:eastAsia="zh-TW"/>
        </w:rPr>
        <w:t>20</w:t>
      </w:r>
      <w:r w:rsidRPr="00340C74">
        <w:rPr>
          <w:rFonts w:hint="eastAsia"/>
          <w:lang w:eastAsia="zh-TW"/>
        </w:rPr>
        <w:t>頁。劉敏：《〈商君書·境內篇〉會注會疏考譯》，見梁安和、徐衛民主編：《秦漢研究》（第十一輯），陝西人民出版社，2</w:t>
      </w:r>
      <w:r w:rsidRPr="00340C74">
        <w:rPr>
          <w:lang w:eastAsia="zh-TW"/>
        </w:rPr>
        <w:t>017</w:t>
      </w:r>
      <w:r w:rsidRPr="00340C74">
        <w:rPr>
          <w:rFonts w:hint="eastAsia"/>
          <w:lang w:eastAsia="zh-TW"/>
        </w:rPr>
        <w:t>年，第3</w:t>
      </w:r>
      <w:r w:rsidRPr="00340C74">
        <w:rPr>
          <w:lang w:eastAsia="zh-TW"/>
        </w:rPr>
        <w:t>0</w:t>
      </w:r>
      <w:r w:rsidRPr="00340C74">
        <w:rPr>
          <w:rFonts w:hint="eastAsia"/>
          <w:lang w:eastAsia="zh-TW"/>
        </w:rPr>
        <w:t>—7</w:t>
      </w:r>
      <w:r w:rsidRPr="00340C74">
        <w:rPr>
          <w:lang w:eastAsia="zh-TW"/>
        </w:rPr>
        <w:t>9</w:t>
      </w:r>
      <w:r w:rsidRPr="00340C74">
        <w:rPr>
          <w:rFonts w:hint="eastAsia"/>
          <w:lang w:eastAsia="zh-TW"/>
        </w:rPr>
        <w:t>頁。</w:t>
      </w:r>
    </w:p>
  </w:endnote>
  <w:endnote w:id="17">
    <w:p w14:paraId="583214BC" w14:textId="77777777" w:rsidR="00340C74" w:rsidRPr="00340C74" w:rsidRDefault="00340C74" w:rsidP="00340C74">
      <w:pPr>
        <w:pStyle w:val="ad"/>
        <w:rPr>
          <w:lang w:eastAsia="zh-TW"/>
        </w:rPr>
      </w:pPr>
      <w:r w:rsidRPr="00340C74">
        <w:rPr>
          <w:rFonts w:ascii="Cambria Math" w:hAnsi="Cambria Math" w:cs="Cambria Math"/>
          <w:lang w:eastAsia="zh-TW"/>
        </w:rPr>
        <w:t>⑰</w:t>
      </w:r>
      <w:r w:rsidRPr="00340C74">
        <w:rPr>
          <w:lang w:eastAsia="zh-TW"/>
        </w:rPr>
        <w:t xml:space="preserve"> </w:t>
      </w:r>
      <w:r w:rsidRPr="00340C74">
        <w:rPr>
          <w:rFonts w:hint="eastAsia"/>
          <w:lang w:eastAsia="zh-TW"/>
        </w:rPr>
        <w:t>二十五史刊行委員會編：《二十五史人名索引》，中華書局，1</w:t>
      </w:r>
      <w:r w:rsidRPr="00340C74">
        <w:rPr>
          <w:lang w:eastAsia="zh-TW"/>
        </w:rPr>
        <w:t>956</w:t>
      </w:r>
      <w:r w:rsidRPr="00340C74">
        <w:rPr>
          <w:rFonts w:hint="eastAsia"/>
          <w:lang w:eastAsia="zh-TW"/>
        </w:rPr>
        <w:t>年。</w:t>
      </w:r>
    </w:p>
  </w:endnote>
  <w:endnote w:id="18">
    <w:p w14:paraId="145255AE" w14:textId="77777777" w:rsidR="00340C74" w:rsidRPr="00340C74" w:rsidRDefault="00340C74" w:rsidP="00340C74">
      <w:pPr>
        <w:pStyle w:val="ad"/>
        <w:rPr>
          <w:lang w:eastAsia="zh-TW"/>
        </w:rPr>
      </w:pPr>
      <w:r w:rsidRPr="00340C74">
        <w:rPr>
          <w:rFonts w:ascii="Cambria Math" w:hAnsi="Cambria Math" w:cs="Cambria Math"/>
          <w:lang w:eastAsia="zh-TW"/>
        </w:rPr>
        <w:t>⑱</w:t>
      </w:r>
      <w:r w:rsidRPr="00340C74">
        <w:rPr>
          <w:lang w:eastAsia="zh-TW"/>
        </w:rPr>
        <w:t xml:space="preserve"> </w:t>
      </w:r>
      <w:r w:rsidRPr="00340C74">
        <w:rPr>
          <w:rFonts w:hint="eastAsia"/>
          <w:lang w:eastAsia="zh-TW"/>
        </w:rPr>
        <w:t>張撝之、沈起煒、劉德重主編：《中國歷代人名大辭典》，上海古籍出版社，1</w:t>
      </w:r>
      <w:r w:rsidRPr="00340C74">
        <w:rPr>
          <w:lang w:eastAsia="zh-TW"/>
        </w:rPr>
        <w:t>999</w:t>
      </w:r>
      <w:r w:rsidRPr="00340C74">
        <w:rPr>
          <w:rFonts w:hint="eastAsia"/>
          <w:lang w:eastAsia="zh-TW"/>
        </w:rPr>
        <w:t>年。</w:t>
      </w:r>
    </w:p>
  </w:endnote>
  <w:endnote w:id="19">
    <w:p w14:paraId="35AD9E79" w14:textId="77777777" w:rsidR="00340C74" w:rsidRPr="00340C74" w:rsidRDefault="00340C74" w:rsidP="00340C74">
      <w:pPr>
        <w:pStyle w:val="ad"/>
        <w:rPr>
          <w:lang w:eastAsia="zh-TW"/>
        </w:rPr>
      </w:pPr>
      <w:r w:rsidRPr="00340C74">
        <w:rPr>
          <w:rFonts w:ascii="Cambria Math" w:hAnsi="Cambria Math" w:cs="Cambria Math"/>
          <w:lang w:eastAsia="zh-TW"/>
        </w:rPr>
        <w:t>⑲</w:t>
      </w:r>
      <w:r w:rsidRPr="00340C74">
        <w:rPr>
          <w:lang w:eastAsia="zh-TW"/>
        </w:rPr>
        <w:t xml:space="preserve"> </w:t>
      </w:r>
      <w:r w:rsidRPr="00340C74">
        <w:rPr>
          <w:rFonts w:hint="eastAsia"/>
          <w:lang w:eastAsia="zh-TW"/>
        </w:rPr>
        <w:t>查檢里耶秦簡、嶽麓秦簡、居延漢簡、敦煌漢簡、肩水金關漢簡以及散見漢晉簡牘，“爵”主要有三種用法：1</w:t>
      </w:r>
      <w:r w:rsidRPr="00340C74">
        <w:rPr>
          <w:lang w:eastAsia="zh-TW"/>
        </w:rPr>
        <w:t>.</w:t>
      </w:r>
      <w:r w:rsidRPr="00340C74">
        <w:rPr>
          <w:rFonts w:hint="eastAsia"/>
          <w:lang w:eastAsia="zh-TW"/>
        </w:rPr>
        <w:t>酒器；2</w:t>
      </w:r>
      <w:r w:rsidRPr="00340C74">
        <w:rPr>
          <w:lang w:eastAsia="zh-TW"/>
        </w:rPr>
        <w:t>.</w:t>
      </w:r>
      <w:r w:rsidRPr="00340C74">
        <w:rPr>
          <w:rFonts w:hint="eastAsia"/>
          <w:lang w:eastAsia="zh-TW"/>
        </w:rPr>
        <w:t>官爵之“爵”；3</w:t>
      </w:r>
      <w:r w:rsidRPr="00340C74">
        <w:rPr>
          <w:lang w:eastAsia="zh-TW"/>
        </w:rPr>
        <w:t>.</w:t>
      </w:r>
      <w:r w:rsidRPr="00340C74">
        <w:rPr>
          <w:rFonts w:hint="eastAsia"/>
          <w:lang w:eastAsia="zh-TW"/>
        </w:rPr>
        <w:t>假借爲“雀”，如神爵、孔爵、朱爵，無一用爲人名。周曉陸主編《二十世紀出土璽印集成（上）》（中華書局，2</w:t>
      </w:r>
      <w:r w:rsidRPr="00340C74">
        <w:rPr>
          <w:lang w:eastAsia="zh-TW"/>
        </w:rPr>
        <w:t>010</w:t>
      </w:r>
      <w:r w:rsidRPr="00340C74">
        <w:rPr>
          <w:rFonts w:hint="eastAsia"/>
          <w:lang w:eastAsia="zh-TW"/>
        </w:rPr>
        <w:t>年，第1</w:t>
      </w:r>
      <w:r w:rsidRPr="00340C74">
        <w:rPr>
          <w:lang w:eastAsia="zh-TW"/>
        </w:rPr>
        <w:t>0</w:t>
      </w:r>
      <w:r w:rsidRPr="00340C74">
        <w:rPr>
          <w:rFonts w:hint="eastAsia"/>
          <w:lang w:eastAsia="zh-TW"/>
        </w:rPr>
        <w:t>頁）有一方東周時期的私印，釋文作“</w:t>
      </w:r>
      <w:r w:rsidRPr="00340C74">
        <w:rPr>
          <w:lang w:eastAsia="zh-TW"/>
        </w:rPr>
        <w:t>王爵</w:t>
      </w:r>
      <w:r w:rsidRPr="00340C74">
        <w:rPr>
          <w:rFonts w:hint="eastAsia"/>
          <w:lang w:eastAsia="zh-TW"/>
        </w:rPr>
        <w:t>”（二-SY-0</w:t>
      </w:r>
      <w:r w:rsidRPr="00340C74">
        <w:rPr>
          <w:lang w:eastAsia="zh-TW"/>
        </w:rPr>
        <w:t>014</w:t>
      </w:r>
      <w:r w:rsidRPr="00340C74">
        <w:rPr>
          <w:rFonts w:hint="eastAsia"/>
          <w:lang w:eastAsia="zh-TW"/>
        </w:rPr>
        <w:t>），不過所謂“爵”字作</w:t>
      </w:r>
      <w:r w:rsidRPr="00340C74">
        <w:rPr>
          <w:noProof/>
        </w:rPr>
        <w:drawing>
          <wp:inline distT="0" distB="0" distL="0" distR="0" wp14:anchorId="78FE4794" wp14:editId="4E0CF85E">
            <wp:extent cx="283845" cy="454660"/>
            <wp:effectExtent l="0" t="0" r="190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biLevel thresh="75000"/>
                    </a:blip>
                    <a:stretch>
                      <a:fillRect/>
                    </a:stretch>
                  </pic:blipFill>
                  <pic:spPr>
                    <a:xfrm>
                      <a:off x="0" y="0"/>
                      <a:ext cx="298597" cy="477755"/>
                    </a:xfrm>
                    <a:prstGeom prst="rect">
                      <a:avLst/>
                    </a:prstGeom>
                  </pic:spPr>
                </pic:pic>
              </a:graphicData>
            </a:graphic>
          </wp:inline>
        </w:drawing>
      </w:r>
      <w:r w:rsidRPr="00340C74">
        <w:rPr>
          <w:rFonts w:hint="eastAsia"/>
          <w:lang w:eastAsia="zh-TW"/>
        </w:rPr>
        <w:t>，釋作“爵”有問題；除此之外，未見私名有“爵”字的。任紅雨編著《中國封泥大系》（西泠印社出版社，2</w:t>
      </w:r>
      <w:r w:rsidRPr="00340C74">
        <w:rPr>
          <w:lang w:eastAsia="zh-TW"/>
        </w:rPr>
        <w:t>018</w:t>
      </w:r>
      <w:r w:rsidRPr="00340C74">
        <w:rPr>
          <w:rFonts w:hint="eastAsia"/>
          <w:lang w:eastAsia="zh-TW"/>
        </w:rPr>
        <w:t>年）收錄戰國秦漢官私印封泥六千多種，未見“爵”字。</w:t>
      </w:r>
    </w:p>
  </w:endnote>
  <w:endnote w:id="20">
    <w:p w14:paraId="60A54C84" w14:textId="77777777" w:rsidR="00340C74" w:rsidRPr="00340C74" w:rsidRDefault="00340C74" w:rsidP="00340C74">
      <w:pPr>
        <w:pStyle w:val="ad"/>
        <w:rPr>
          <w:lang w:eastAsia="zh-TW"/>
        </w:rPr>
      </w:pPr>
      <w:r w:rsidRPr="00340C74">
        <w:rPr>
          <w:rFonts w:ascii="Cambria Math" w:hAnsi="Cambria Math" w:cs="Cambria Math"/>
          <w:lang w:eastAsia="zh-TW"/>
        </w:rPr>
        <w:t>⑳</w:t>
      </w:r>
      <w:r w:rsidRPr="00340C74">
        <w:rPr>
          <w:lang w:eastAsia="zh-TW"/>
        </w:rPr>
        <w:t xml:space="preserve"> </w:t>
      </w:r>
      <w:r w:rsidRPr="00340C74">
        <w:rPr>
          <w:rFonts w:hint="eastAsia"/>
          <w:lang w:eastAsia="zh-TW"/>
        </w:rPr>
        <w:t>陳松長主編：《嶽麓書院藏秦簡》（伍），上海辭書出版社，2</w:t>
      </w:r>
      <w:r w:rsidRPr="00340C74">
        <w:rPr>
          <w:lang w:eastAsia="zh-TW"/>
        </w:rPr>
        <w:t>017</w:t>
      </w:r>
      <w:r w:rsidRPr="00340C74">
        <w:rPr>
          <w:rFonts w:hint="eastAsia"/>
          <w:lang w:eastAsia="zh-TW"/>
        </w:rPr>
        <w:t>年，第</w:t>
      </w:r>
      <w:r w:rsidRPr="00340C74">
        <w:rPr>
          <w:lang w:eastAsia="zh-TW"/>
        </w:rPr>
        <w:t>86</w:t>
      </w:r>
      <w:r w:rsidRPr="00340C74">
        <w:rPr>
          <w:rFonts w:hint="eastAsia"/>
          <w:lang w:eastAsia="zh-TW"/>
        </w:rPr>
        <w:t>—8</w:t>
      </w:r>
      <w:r w:rsidRPr="00340C74">
        <w:rPr>
          <w:lang w:eastAsia="zh-TW"/>
        </w:rPr>
        <w:t>7</w:t>
      </w:r>
      <w:r w:rsidRPr="00340C74">
        <w:rPr>
          <w:rFonts w:hint="eastAsia"/>
          <w:lang w:eastAsia="zh-TW"/>
        </w:rPr>
        <w:t>頁。</w:t>
      </w:r>
    </w:p>
  </w:endnote>
  <w:endnote w:id="21">
    <w:p w14:paraId="40754583"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㉑</w:t>
      </w:r>
      <w:r w:rsidRPr="00340C74">
        <w:rPr>
          <w:lang w:eastAsia="zh-TW"/>
        </w:rPr>
        <w:t xml:space="preserve"> </w:t>
      </w:r>
      <w:r w:rsidRPr="00340C74">
        <w:rPr>
          <w:rFonts w:hint="eastAsia"/>
          <w:lang w:eastAsia="zh-TW"/>
        </w:rPr>
        <w:t>張春龍：《里耶秦簡8-</w:t>
      </w:r>
      <w:r w:rsidRPr="00340C74">
        <w:rPr>
          <w:lang w:eastAsia="zh-TW"/>
        </w:rPr>
        <w:t>455</w:t>
      </w:r>
      <w:r w:rsidRPr="00340C74">
        <w:rPr>
          <w:rFonts w:hint="eastAsia"/>
          <w:lang w:eastAsia="zh-TW"/>
        </w:rPr>
        <w:t>號》，芝加哥大學顧立雅中心國際簡帛論壇，2</w:t>
      </w:r>
      <w:r w:rsidRPr="00340C74">
        <w:rPr>
          <w:lang w:eastAsia="zh-TW"/>
        </w:rPr>
        <w:t>008</w:t>
      </w:r>
      <w:r w:rsidRPr="00340C74">
        <w:rPr>
          <w:rFonts w:hint="eastAsia"/>
          <w:lang w:eastAsia="zh-TW"/>
        </w:rPr>
        <w:t>年；張春龍、龍京沙：《湘西里耶秦簡8—4</w:t>
      </w:r>
      <w:r w:rsidRPr="00340C74">
        <w:rPr>
          <w:lang w:eastAsia="zh-TW"/>
        </w:rPr>
        <w:t>55</w:t>
      </w:r>
      <w:r w:rsidRPr="00340C74">
        <w:rPr>
          <w:rFonts w:hint="eastAsia"/>
          <w:lang w:eastAsia="zh-TW"/>
        </w:rPr>
        <w:t>號》，見</w:t>
      </w:r>
      <w:r w:rsidRPr="00340C74">
        <w:rPr>
          <w:lang w:eastAsia="zh-TW"/>
        </w:rPr>
        <w:t>武漢大學簡帛研究中心</w:t>
      </w:r>
      <w:r w:rsidRPr="00340C74">
        <w:rPr>
          <w:rFonts w:hint="eastAsia"/>
          <w:lang w:eastAsia="zh-TW"/>
        </w:rPr>
        <w:t>主辦：《簡帛》（第四輯），</w:t>
      </w:r>
      <w:r w:rsidRPr="00340C74">
        <w:rPr>
          <w:lang w:eastAsia="zh-TW"/>
        </w:rPr>
        <w:t>上海古籍出版社</w:t>
      </w:r>
      <w:r w:rsidRPr="00340C74">
        <w:rPr>
          <w:rFonts w:hint="eastAsia"/>
          <w:lang w:eastAsia="zh-TW"/>
        </w:rPr>
        <w:t>，</w:t>
      </w:r>
      <w:r w:rsidRPr="00340C74">
        <w:rPr>
          <w:lang w:eastAsia="zh-TW"/>
        </w:rPr>
        <w:t>2009</w:t>
      </w:r>
      <w:r w:rsidRPr="00340C74">
        <w:rPr>
          <w:rFonts w:hint="eastAsia"/>
          <w:lang w:eastAsia="zh-TW"/>
        </w:rPr>
        <w:t>年，第1</w:t>
      </w:r>
      <w:r w:rsidRPr="00340C74">
        <w:rPr>
          <w:lang w:eastAsia="zh-TW"/>
        </w:rPr>
        <w:t>1</w:t>
      </w:r>
      <w:r w:rsidRPr="00340C74">
        <w:rPr>
          <w:rFonts w:hint="eastAsia"/>
          <w:lang w:eastAsia="zh-TW"/>
        </w:rPr>
        <w:t>—</w:t>
      </w:r>
      <w:r w:rsidRPr="00340C74">
        <w:rPr>
          <w:lang w:eastAsia="zh-TW"/>
        </w:rPr>
        <w:t>16</w:t>
      </w:r>
      <w:r w:rsidRPr="00340C74">
        <w:rPr>
          <w:rFonts w:hint="eastAsia"/>
          <w:lang w:eastAsia="zh-TW"/>
        </w:rPr>
        <w:t>頁。</w:t>
      </w:r>
    </w:p>
  </w:endnote>
  <w:endnote w:id="22">
    <w:p w14:paraId="6DF87918"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㉒</w:t>
      </w:r>
      <w:r w:rsidRPr="00340C74">
        <w:rPr>
          <w:lang w:eastAsia="zh-TW"/>
        </w:rPr>
        <w:t xml:space="preserve"> </w:t>
      </w:r>
      <w:r w:rsidRPr="00340C74">
        <w:rPr>
          <w:rFonts w:hint="eastAsia"/>
          <w:lang w:eastAsia="zh-TW"/>
        </w:rPr>
        <w:t>湖南省文物考古研究所編著：《里耶秦簡》（壹），文物出版社，2</w:t>
      </w:r>
      <w:r w:rsidRPr="00340C74">
        <w:rPr>
          <w:lang w:eastAsia="zh-TW"/>
        </w:rPr>
        <w:t>012</w:t>
      </w:r>
      <w:r w:rsidRPr="00340C74">
        <w:rPr>
          <w:rFonts w:hint="eastAsia"/>
          <w:lang w:eastAsia="zh-TW"/>
        </w:rPr>
        <w:t>年，第6</w:t>
      </w:r>
      <w:r w:rsidRPr="00340C74">
        <w:rPr>
          <w:lang w:eastAsia="zh-TW"/>
        </w:rPr>
        <w:t>8</w:t>
      </w:r>
      <w:r w:rsidRPr="00340C74">
        <w:rPr>
          <w:rFonts w:hint="eastAsia"/>
          <w:lang w:eastAsia="zh-TW"/>
        </w:rPr>
        <w:t>—</w:t>
      </w:r>
      <w:r w:rsidRPr="00340C74">
        <w:rPr>
          <w:lang w:eastAsia="zh-TW"/>
        </w:rPr>
        <w:t>69</w:t>
      </w:r>
      <w:r w:rsidRPr="00340C74">
        <w:rPr>
          <w:rFonts w:hint="eastAsia"/>
          <w:lang w:eastAsia="zh-TW"/>
        </w:rPr>
        <w:t>頁。</w:t>
      </w:r>
    </w:p>
  </w:endnote>
  <w:endnote w:id="23">
    <w:p w14:paraId="704A8AFF"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㉓</w:t>
      </w:r>
      <w:r w:rsidRPr="00340C74">
        <w:rPr>
          <w:lang w:eastAsia="zh-TW"/>
        </w:rPr>
        <w:t xml:space="preserve"> </w:t>
      </w:r>
      <w:r w:rsidRPr="00340C74">
        <w:rPr>
          <w:rFonts w:hint="eastAsia"/>
          <w:lang w:eastAsia="zh-TW"/>
        </w:rPr>
        <w:t>游逸飛：《里耶秦簡8-455號木方選釋》，見武漢大學簡帛研究中心主辦《簡帛》（第六輯），上海古籍出版社，2011年，第87—104頁。</w:t>
      </w:r>
    </w:p>
  </w:endnote>
  <w:endnote w:id="24">
    <w:p w14:paraId="76C34D72"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㉔</w:t>
      </w:r>
      <w:r w:rsidRPr="00340C74">
        <w:rPr>
          <w:lang w:eastAsia="zh-TW"/>
        </w:rPr>
        <w:t xml:space="preserve"> </w:t>
      </w:r>
      <w:r w:rsidRPr="00340C74">
        <w:rPr>
          <w:rFonts w:hint="eastAsia"/>
          <w:lang w:eastAsia="zh-TW"/>
        </w:rPr>
        <w:t>游逸飛：《里耶秦簡8-455號木方選釋》，第87—104頁。陳偉主編：《里耶秦簡牘校釋（第1卷）》，武漢大學出版社，2012年，第155—159頁。陳侃理：《里耶秦方與“書同文字》，《文物》2014年第9期，第76—81頁。郭永秉：《讀里耶8：461木方札記》，見氏著：《古文字與古文獻論集續編》，上海古籍出版社，2015年，第386—398頁。陳松長、賀曉朦：《秦漢簡牘所見“走馬”、“簪裊”關係考論》，《中國史研究》2015年第4期，第57—66頁。周波：《戰國銘文分域研究》，上海古籍出版社，2</w:t>
      </w:r>
      <w:r w:rsidRPr="00340C74">
        <w:rPr>
          <w:lang w:eastAsia="zh-TW"/>
        </w:rPr>
        <w:t>019</w:t>
      </w:r>
      <w:r w:rsidRPr="00340C74">
        <w:rPr>
          <w:rFonts w:hint="eastAsia"/>
          <w:lang w:eastAsia="zh-TW"/>
        </w:rPr>
        <w:t>年1</w:t>
      </w:r>
      <w:r w:rsidRPr="00340C74">
        <w:rPr>
          <w:lang w:eastAsia="zh-TW"/>
        </w:rPr>
        <w:t>0</w:t>
      </w:r>
      <w:r w:rsidRPr="00340C74">
        <w:rPr>
          <w:rFonts w:hint="eastAsia"/>
          <w:lang w:eastAsia="zh-TW"/>
        </w:rPr>
        <w:t>月，第3</w:t>
      </w:r>
      <w:r w:rsidRPr="00340C74">
        <w:rPr>
          <w:lang w:eastAsia="zh-TW"/>
        </w:rPr>
        <w:t>3</w:t>
      </w:r>
      <w:r w:rsidRPr="00340C74">
        <w:rPr>
          <w:rFonts w:hint="eastAsia"/>
          <w:lang w:eastAsia="zh-TW"/>
        </w:rPr>
        <w:t>頁。</w:t>
      </w:r>
    </w:p>
  </w:endnote>
  <w:endnote w:id="25">
    <w:p w14:paraId="3D7F1583"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㉕</w:t>
      </w:r>
      <w:r w:rsidRPr="00340C74">
        <w:rPr>
          <w:lang w:eastAsia="zh-TW"/>
        </w:rPr>
        <w:t xml:space="preserve"> </w:t>
      </w:r>
      <w:r w:rsidRPr="00340C74">
        <w:rPr>
          <w:rFonts w:hint="eastAsia"/>
          <w:lang w:eastAsia="zh-TW"/>
        </w:rPr>
        <w:t>陳偉主編：《里耶秦簡牘校釋（第1卷）》，第1</w:t>
      </w:r>
      <w:r w:rsidRPr="00340C74">
        <w:rPr>
          <w:lang w:eastAsia="zh-TW"/>
        </w:rPr>
        <w:t>59</w:t>
      </w:r>
      <w:r w:rsidRPr="00340C74">
        <w:rPr>
          <w:rFonts w:hint="eastAsia"/>
          <w:lang w:eastAsia="zh-TW"/>
        </w:rPr>
        <w:t>頁。</w:t>
      </w:r>
    </w:p>
  </w:endnote>
  <w:endnote w:id="26">
    <w:p w14:paraId="4F69093F"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㉖</w:t>
      </w:r>
      <w:r w:rsidRPr="00340C74">
        <w:rPr>
          <w:lang w:eastAsia="zh-TW"/>
        </w:rPr>
        <w:t xml:space="preserve"> </w:t>
      </w:r>
      <w:r w:rsidRPr="00340C74">
        <w:rPr>
          <w:rFonts w:hint="eastAsia"/>
          <w:lang w:eastAsia="zh-TW"/>
        </w:rPr>
        <w:t>郭永秉：《讀里耶8：</w:t>
      </w:r>
      <w:r w:rsidRPr="00340C74">
        <w:rPr>
          <w:lang w:eastAsia="zh-TW"/>
        </w:rPr>
        <w:t>461</w:t>
      </w:r>
      <w:r w:rsidRPr="00340C74">
        <w:rPr>
          <w:rFonts w:hint="eastAsia"/>
          <w:lang w:eastAsia="zh-TW"/>
        </w:rPr>
        <w:t>木方札記》，第3</w:t>
      </w:r>
      <w:r w:rsidRPr="00340C74">
        <w:rPr>
          <w:lang w:eastAsia="zh-TW"/>
        </w:rPr>
        <w:t>97頁。</w:t>
      </w:r>
    </w:p>
  </w:endnote>
  <w:endnote w:id="27">
    <w:p w14:paraId="0B949ABE"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㉗</w:t>
      </w:r>
      <w:r w:rsidRPr="00340C74">
        <w:rPr>
          <w:lang w:eastAsia="zh-TW"/>
        </w:rPr>
        <w:t xml:space="preserve"> </w:t>
      </w:r>
      <w:r w:rsidRPr="00340C74">
        <w:rPr>
          <w:rFonts w:hint="eastAsia"/>
          <w:lang w:eastAsia="zh-TW"/>
        </w:rPr>
        <w:t>王輝主編，楊宗兵、彭文、蔣文孝編：《秦文字編》，中華書局，2</w:t>
      </w:r>
      <w:r w:rsidRPr="00340C74">
        <w:rPr>
          <w:lang w:eastAsia="zh-TW"/>
        </w:rPr>
        <w:t>015</w:t>
      </w:r>
      <w:r w:rsidRPr="00340C74">
        <w:rPr>
          <w:rFonts w:hint="eastAsia"/>
          <w:lang w:eastAsia="zh-TW"/>
        </w:rPr>
        <w:t>年，第1</w:t>
      </w:r>
      <w:r w:rsidRPr="00340C74">
        <w:rPr>
          <w:lang w:eastAsia="zh-TW"/>
        </w:rPr>
        <w:t>185</w:t>
      </w:r>
      <w:r w:rsidRPr="00340C74">
        <w:rPr>
          <w:rFonts w:hint="eastAsia"/>
          <w:lang w:eastAsia="zh-TW"/>
        </w:rPr>
        <w:t>頁。</w:t>
      </w:r>
    </w:p>
  </w:endnote>
  <w:endnote w:id="28">
    <w:p w14:paraId="5F01313B" w14:textId="4A84A8AC" w:rsidR="00340C74" w:rsidRPr="00340C74" w:rsidRDefault="00340C74" w:rsidP="00340C74">
      <w:pPr>
        <w:pStyle w:val="ad"/>
        <w:rPr>
          <w:lang w:eastAsia="zh-TW"/>
        </w:rPr>
      </w:pPr>
      <w:r w:rsidRPr="00340C74">
        <w:rPr>
          <w:rFonts w:ascii="微软雅黑" w:eastAsia="微软雅黑" w:hAnsi="微软雅黑" w:cs="微软雅黑" w:hint="eastAsia"/>
          <w:lang w:eastAsia="zh-TW"/>
        </w:rPr>
        <w:t>㉘</w:t>
      </w:r>
      <w:r w:rsidRPr="00340C74">
        <w:rPr>
          <w:lang w:eastAsia="zh-TW"/>
        </w:rPr>
        <w:t xml:space="preserve"> </w:t>
      </w:r>
      <w:r w:rsidRPr="00340C74">
        <w:rPr>
          <w:rFonts w:hint="eastAsia"/>
          <w:lang w:eastAsia="zh-TW"/>
        </w:rPr>
        <w:t>胡平生：《雲夢龍崗秦簡〈禁苑律〉中的“耎（壖）”字》，《江漢考古》1</w:t>
      </w:r>
      <w:r w:rsidRPr="00340C74">
        <w:rPr>
          <w:lang w:eastAsia="zh-TW"/>
        </w:rPr>
        <w:t>991</w:t>
      </w:r>
      <w:r w:rsidRPr="00340C74">
        <w:rPr>
          <w:rFonts w:hint="eastAsia"/>
          <w:lang w:eastAsia="zh-TW"/>
        </w:rPr>
        <w:t>年第2期，第6</w:t>
      </w:r>
      <w:r w:rsidRPr="00340C74">
        <w:rPr>
          <w:lang w:eastAsia="zh-TW"/>
        </w:rPr>
        <w:t>1</w:t>
      </w:r>
      <w:r w:rsidRPr="00340C74">
        <w:rPr>
          <w:rFonts w:hint="eastAsia"/>
          <w:lang w:eastAsia="zh-TW"/>
        </w:rPr>
        <w:t>—</w:t>
      </w:r>
      <w:r w:rsidRPr="00340C74">
        <w:rPr>
          <w:lang w:eastAsia="zh-TW"/>
        </w:rPr>
        <w:t>63</w:t>
      </w:r>
      <w:r w:rsidRPr="00340C74">
        <w:rPr>
          <w:rFonts w:hint="eastAsia"/>
          <w:lang w:eastAsia="zh-TW"/>
        </w:rPr>
        <w:t>頁。</w:t>
      </w:r>
      <w:r w:rsidRPr="00340C74">
        <w:rPr>
          <w:rFonts w:hint="eastAsia"/>
        </w:rPr>
        <w:t>马永赢：《说“壖”》，《文博》2012年第5期，第64—67頁。</w:t>
      </w:r>
      <w:r w:rsidRPr="00340C74">
        <w:rPr>
          <w:rFonts w:hint="eastAsia"/>
          <w:lang w:eastAsia="zh-TW"/>
        </w:rPr>
        <w:t>張衛星：《試論秦始皇陵的堧地》，《考古與文物》2</w:t>
      </w:r>
      <w:r w:rsidRPr="00340C74">
        <w:rPr>
          <w:lang w:eastAsia="zh-TW"/>
        </w:rPr>
        <w:t>014</w:t>
      </w:r>
      <w:r w:rsidRPr="00340C74">
        <w:rPr>
          <w:rFonts w:hint="eastAsia"/>
          <w:lang w:eastAsia="zh-TW"/>
        </w:rPr>
        <w:t>年第4期，第5</w:t>
      </w:r>
      <w:r w:rsidRPr="00340C74">
        <w:rPr>
          <w:lang w:eastAsia="zh-TW"/>
        </w:rPr>
        <w:t>8</w:t>
      </w:r>
      <w:r w:rsidRPr="00340C74">
        <w:rPr>
          <w:rFonts w:hint="eastAsia"/>
          <w:lang w:eastAsia="zh-TW"/>
        </w:rPr>
        <w:t>—</w:t>
      </w:r>
      <w:r w:rsidRPr="00340C74">
        <w:rPr>
          <w:lang w:eastAsia="zh-TW"/>
        </w:rPr>
        <w:t>62</w:t>
      </w:r>
      <w:r w:rsidRPr="00340C74">
        <w:rPr>
          <w:rFonts w:hint="eastAsia"/>
          <w:lang w:eastAsia="zh-TW"/>
        </w:rPr>
        <w:t>頁。</w:t>
      </w:r>
    </w:p>
  </w:endnote>
  <w:endnote w:id="29">
    <w:p w14:paraId="4BCA85D7"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㉙</w:t>
      </w:r>
      <w:r w:rsidRPr="00340C74">
        <w:rPr>
          <w:lang w:eastAsia="zh-TW"/>
        </w:rPr>
        <w:t xml:space="preserve"> </w:t>
      </w:r>
      <w:r w:rsidRPr="00340C74">
        <w:rPr>
          <w:rFonts w:hint="eastAsia"/>
          <w:lang w:eastAsia="zh-TW"/>
        </w:rPr>
        <w:t>刁俊：《釋耎》，《牡丹江師範學院學報（哲社版）》，2</w:t>
      </w:r>
      <w:r w:rsidRPr="00340C74">
        <w:rPr>
          <w:lang w:eastAsia="zh-TW"/>
        </w:rPr>
        <w:t>007</w:t>
      </w:r>
      <w:r w:rsidRPr="00340C74">
        <w:rPr>
          <w:rFonts w:hint="eastAsia"/>
          <w:lang w:eastAsia="zh-TW"/>
        </w:rPr>
        <w:t>年第5期，第7</w:t>
      </w:r>
      <w:r w:rsidRPr="00340C74">
        <w:rPr>
          <w:lang w:eastAsia="zh-TW"/>
        </w:rPr>
        <w:t>2</w:t>
      </w:r>
      <w:r w:rsidRPr="00340C74">
        <w:rPr>
          <w:rFonts w:hint="eastAsia"/>
          <w:lang w:eastAsia="zh-TW"/>
        </w:rPr>
        <w:t>—</w:t>
      </w:r>
      <w:r w:rsidRPr="00340C74">
        <w:rPr>
          <w:lang w:eastAsia="zh-TW"/>
        </w:rPr>
        <w:t>74</w:t>
      </w:r>
      <w:r w:rsidRPr="00340C74">
        <w:rPr>
          <w:rFonts w:hint="eastAsia"/>
          <w:lang w:eastAsia="zh-TW"/>
        </w:rPr>
        <w:t>頁。</w:t>
      </w:r>
    </w:p>
  </w:endnote>
  <w:endnote w:id="30">
    <w:p w14:paraId="337D680A"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㉚</w:t>
      </w:r>
      <w:r w:rsidRPr="00340C74">
        <w:rPr>
          <w:lang w:eastAsia="zh-TW"/>
        </w:rPr>
        <w:t xml:space="preserve"> </w:t>
      </w:r>
      <w:r w:rsidRPr="00340C74">
        <w:rPr>
          <w:rFonts w:hint="eastAsia"/>
          <w:lang w:eastAsia="zh-TW"/>
        </w:rPr>
        <w:t>《史記》卷六《秦始皇本紀》，中華書局，2</w:t>
      </w:r>
      <w:r w:rsidRPr="00340C74">
        <w:rPr>
          <w:lang w:eastAsia="zh-TW"/>
        </w:rPr>
        <w:t>014</w:t>
      </w:r>
      <w:r w:rsidRPr="00340C74">
        <w:rPr>
          <w:rFonts w:hint="eastAsia"/>
          <w:lang w:eastAsia="zh-TW"/>
        </w:rPr>
        <w:t>年，第3</w:t>
      </w:r>
      <w:r w:rsidRPr="00340C74">
        <w:rPr>
          <w:lang w:eastAsia="zh-TW"/>
        </w:rPr>
        <w:t>12</w:t>
      </w:r>
      <w:r w:rsidRPr="00340C74">
        <w:rPr>
          <w:rFonts w:hint="eastAsia"/>
          <w:lang w:eastAsia="zh-TW"/>
        </w:rPr>
        <w:t>頁。</w:t>
      </w:r>
    </w:p>
  </w:endnote>
  <w:endnote w:id="31">
    <w:p w14:paraId="6D0D26CA"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㉛</w:t>
      </w:r>
      <w:r w:rsidRPr="00340C74">
        <w:rPr>
          <w:lang w:eastAsia="zh-TW"/>
        </w:rPr>
        <w:t xml:space="preserve"> </w:t>
      </w:r>
      <w:r w:rsidRPr="00340C74">
        <w:rPr>
          <w:rFonts w:hint="eastAsia"/>
          <w:lang w:eastAsia="zh-TW"/>
        </w:rPr>
        <w:t>同上，第3</w:t>
      </w:r>
      <w:r w:rsidRPr="00340C74">
        <w:rPr>
          <w:lang w:eastAsia="zh-TW"/>
        </w:rPr>
        <w:t>34</w:t>
      </w:r>
      <w:r w:rsidRPr="00340C74">
        <w:rPr>
          <w:rFonts w:hint="eastAsia"/>
          <w:lang w:eastAsia="zh-TW"/>
        </w:rPr>
        <w:t>頁。</w:t>
      </w:r>
    </w:p>
  </w:endnote>
  <w:endnote w:id="32">
    <w:p w14:paraId="2C960773"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㉜</w:t>
      </w:r>
      <w:r w:rsidRPr="00340C74">
        <w:rPr>
          <w:lang w:eastAsia="zh-TW"/>
        </w:rPr>
        <w:t xml:space="preserve"> </w:t>
      </w:r>
      <w:r w:rsidRPr="00340C74">
        <w:rPr>
          <w:rFonts w:hint="eastAsia"/>
          <w:lang w:eastAsia="zh-TW"/>
        </w:rPr>
        <w:t>郭善兵：《中國古代帝王宗廟禮制研究》，人民出版社，2007年，第67頁。</w:t>
      </w:r>
    </w:p>
  </w:endnote>
  <w:endnote w:id="33">
    <w:p w14:paraId="12A88831"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㉝</w:t>
      </w:r>
      <w:r w:rsidRPr="00340C74">
        <w:rPr>
          <w:lang w:eastAsia="zh-TW"/>
        </w:rPr>
        <w:t xml:space="preserve"> </w:t>
      </w:r>
      <w:r w:rsidRPr="00340C74">
        <w:rPr>
          <w:rFonts w:hint="eastAsia"/>
          <w:lang w:eastAsia="zh-TW"/>
        </w:rPr>
        <w:t>錢杭：《周代宗法制度史研究》，學林出版社，1</w:t>
      </w:r>
      <w:r w:rsidRPr="00340C74">
        <w:rPr>
          <w:lang w:eastAsia="zh-TW"/>
        </w:rPr>
        <w:t>991</w:t>
      </w:r>
      <w:r w:rsidRPr="00340C74">
        <w:rPr>
          <w:rFonts w:hint="eastAsia"/>
          <w:lang w:eastAsia="zh-TW"/>
        </w:rPr>
        <w:t>年，第1</w:t>
      </w:r>
      <w:r w:rsidRPr="00340C74">
        <w:rPr>
          <w:lang w:eastAsia="zh-TW"/>
        </w:rPr>
        <w:t>88</w:t>
      </w:r>
      <w:r w:rsidRPr="00340C74">
        <w:rPr>
          <w:rFonts w:hint="eastAsia"/>
          <w:lang w:eastAsia="zh-TW"/>
        </w:rPr>
        <w:t>頁。</w:t>
      </w:r>
    </w:p>
  </w:endnote>
  <w:endnote w:id="34">
    <w:p w14:paraId="667D893A"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㉞</w:t>
      </w:r>
      <w:r w:rsidRPr="00340C74">
        <w:rPr>
          <w:lang w:eastAsia="zh-TW"/>
        </w:rPr>
        <w:t xml:space="preserve"> </w:t>
      </w:r>
      <w:r w:rsidRPr="00340C74">
        <w:rPr>
          <w:rFonts w:hint="eastAsia"/>
          <w:lang w:eastAsia="zh-TW"/>
        </w:rPr>
        <w:t>邱文傑：《秦二世“壞宗廟”試解》，《唐都學刊》2</w:t>
      </w:r>
      <w:r w:rsidRPr="00340C74">
        <w:rPr>
          <w:lang w:eastAsia="zh-TW"/>
        </w:rPr>
        <w:t>019</w:t>
      </w:r>
      <w:r w:rsidRPr="00340C74">
        <w:rPr>
          <w:rFonts w:hint="eastAsia"/>
          <w:lang w:eastAsia="zh-TW"/>
        </w:rPr>
        <w:t>年第4期，第1</w:t>
      </w:r>
      <w:r w:rsidRPr="00340C74">
        <w:rPr>
          <w:lang w:eastAsia="zh-TW"/>
        </w:rPr>
        <w:t>1</w:t>
      </w:r>
      <w:r w:rsidRPr="00340C74">
        <w:rPr>
          <w:rFonts w:hint="eastAsia"/>
          <w:lang w:eastAsia="zh-TW"/>
        </w:rPr>
        <w:t>—</w:t>
      </w:r>
      <w:r w:rsidRPr="00340C74">
        <w:rPr>
          <w:lang w:eastAsia="zh-TW"/>
        </w:rPr>
        <w:t>19</w:t>
      </w:r>
      <w:r w:rsidRPr="00340C74">
        <w:rPr>
          <w:rFonts w:hint="eastAsia"/>
          <w:lang w:eastAsia="zh-TW"/>
        </w:rPr>
        <w:t>頁。</w:t>
      </w:r>
    </w:p>
  </w:endnote>
  <w:endnote w:id="35">
    <w:p w14:paraId="79067692"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㉟</w:t>
      </w:r>
      <w:r w:rsidRPr="00340C74">
        <w:rPr>
          <w:lang w:eastAsia="zh-TW"/>
        </w:rPr>
        <w:t xml:space="preserve"> </w:t>
      </w:r>
      <w:r w:rsidRPr="00340C74">
        <w:rPr>
          <w:rFonts w:hint="eastAsia"/>
          <w:lang w:eastAsia="zh-TW"/>
        </w:rPr>
        <w:t>陳偉：《〈秦二世元年十月甲午詔書〉通釋》，《江漢考古》</w:t>
      </w:r>
      <w:r w:rsidRPr="00340C74">
        <w:rPr>
          <w:lang w:eastAsia="zh-TW"/>
        </w:rPr>
        <w:t>2017</w:t>
      </w:r>
      <w:r w:rsidRPr="00340C74">
        <w:rPr>
          <w:rFonts w:hint="eastAsia"/>
          <w:lang w:eastAsia="zh-TW"/>
        </w:rPr>
        <w:t>年第</w:t>
      </w:r>
      <w:r w:rsidRPr="00340C74">
        <w:rPr>
          <w:lang w:eastAsia="zh-TW"/>
        </w:rPr>
        <w:t>1</w:t>
      </w:r>
      <w:r w:rsidRPr="00340C74">
        <w:rPr>
          <w:rFonts w:hint="eastAsia"/>
          <w:lang w:eastAsia="zh-TW"/>
        </w:rPr>
        <w:t>期，第</w:t>
      </w:r>
      <w:r w:rsidRPr="00340C74">
        <w:rPr>
          <w:lang w:eastAsia="zh-TW"/>
        </w:rPr>
        <w:t>124</w:t>
      </w:r>
      <w:r w:rsidRPr="00340C74">
        <w:rPr>
          <w:rFonts w:hint="eastAsia"/>
          <w:lang w:eastAsia="zh-TW"/>
        </w:rPr>
        <w:t>—126頁。何有祖：《秦二世元年詔書解讀》，《文獻》</w:t>
      </w:r>
      <w:r w:rsidRPr="00340C74">
        <w:rPr>
          <w:lang w:eastAsia="zh-TW"/>
        </w:rPr>
        <w:t>2020</w:t>
      </w:r>
      <w:r w:rsidRPr="00340C74">
        <w:rPr>
          <w:rFonts w:hint="eastAsia"/>
          <w:lang w:eastAsia="zh-TW"/>
        </w:rPr>
        <w:t>年第1期，第</w:t>
      </w:r>
      <w:r w:rsidRPr="00340C74">
        <w:rPr>
          <w:lang w:eastAsia="zh-TW"/>
        </w:rPr>
        <w:t>49</w:t>
      </w:r>
      <w:r w:rsidRPr="00340C74">
        <w:rPr>
          <w:rFonts w:hint="eastAsia"/>
          <w:lang w:eastAsia="zh-TW"/>
        </w:rPr>
        <w:t>—</w:t>
      </w:r>
      <w:r w:rsidRPr="00340C74">
        <w:rPr>
          <w:lang w:eastAsia="zh-TW"/>
        </w:rPr>
        <w:t>55</w:t>
      </w:r>
      <w:r w:rsidRPr="00340C74">
        <w:rPr>
          <w:rFonts w:hint="eastAsia"/>
          <w:lang w:eastAsia="zh-TW"/>
        </w:rPr>
        <w:t>頁。</w:t>
      </w:r>
    </w:p>
  </w:endnote>
  <w:endnote w:id="36">
    <w:p w14:paraId="07FFAC97"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㊱</w:t>
      </w:r>
      <w:r w:rsidRPr="00340C74">
        <w:rPr>
          <w:lang w:eastAsia="zh-TW"/>
        </w:rPr>
        <w:t xml:space="preserve"> </w:t>
      </w:r>
      <w:r w:rsidRPr="00340C74">
        <w:rPr>
          <w:rFonts w:hint="eastAsia"/>
          <w:lang w:eastAsia="zh-TW"/>
        </w:rPr>
        <w:t>程鵬萬：《簡牘帛書格式研究》，上海古籍出版社，2</w:t>
      </w:r>
      <w:r w:rsidRPr="00340C74">
        <w:rPr>
          <w:lang w:eastAsia="zh-TW"/>
        </w:rPr>
        <w:t>017</w:t>
      </w:r>
      <w:r w:rsidRPr="00340C74">
        <w:rPr>
          <w:rFonts w:hint="eastAsia"/>
          <w:lang w:eastAsia="zh-TW"/>
        </w:rPr>
        <w:t>年，第1</w:t>
      </w:r>
      <w:r w:rsidRPr="00340C74">
        <w:rPr>
          <w:lang w:eastAsia="zh-TW"/>
        </w:rPr>
        <w:t>89</w:t>
      </w:r>
      <w:r w:rsidRPr="00340C74">
        <w:rPr>
          <w:rFonts w:hint="eastAsia"/>
          <w:lang w:eastAsia="zh-TW"/>
        </w:rPr>
        <w:t>—1</w:t>
      </w:r>
      <w:r w:rsidRPr="00340C74">
        <w:rPr>
          <w:lang w:eastAsia="zh-TW"/>
        </w:rPr>
        <w:t>94</w:t>
      </w:r>
      <w:r w:rsidRPr="00340C74">
        <w:rPr>
          <w:rFonts w:hint="eastAsia"/>
          <w:lang w:eastAsia="zh-TW"/>
        </w:rPr>
        <w:t>頁。</w:t>
      </w:r>
    </w:p>
  </w:endnote>
  <w:endnote w:id="37">
    <w:p w14:paraId="768CBF8B"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㊲</w:t>
      </w:r>
      <w:r w:rsidRPr="00340C74">
        <w:rPr>
          <w:lang w:eastAsia="zh-TW"/>
        </w:rPr>
        <w:t xml:space="preserve"> </w:t>
      </w:r>
      <w:r w:rsidRPr="00340C74">
        <w:rPr>
          <w:rFonts w:hint="eastAsia"/>
          <w:lang w:eastAsia="zh-TW"/>
        </w:rPr>
        <w:t>北京大學出土文獻研究所編：《北京大學藏西漢竹書（叁）》，上海古籍出版社，</w:t>
      </w:r>
      <w:r w:rsidRPr="00340C74">
        <w:rPr>
          <w:lang w:eastAsia="zh-TW"/>
        </w:rPr>
        <w:t>2015</w:t>
      </w:r>
      <w:r w:rsidRPr="00340C74">
        <w:rPr>
          <w:rFonts w:hint="eastAsia"/>
          <w:lang w:eastAsia="zh-TW"/>
        </w:rPr>
        <w:t>年，第1</w:t>
      </w:r>
      <w:r w:rsidRPr="00340C74">
        <w:rPr>
          <w:lang w:eastAsia="zh-TW"/>
        </w:rPr>
        <w:t>91</w:t>
      </w:r>
      <w:r w:rsidRPr="00340C74">
        <w:rPr>
          <w:rFonts w:hint="eastAsia"/>
          <w:lang w:eastAsia="zh-TW"/>
        </w:rPr>
        <w:t>頁。</w:t>
      </w:r>
    </w:p>
  </w:endnote>
  <w:endnote w:id="38">
    <w:p w14:paraId="109D3B86" w14:textId="77777777" w:rsidR="00340C74" w:rsidRPr="00340C74" w:rsidRDefault="00340C74" w:rsidP="00340C74">
      <w:pPr>
        <w:pStyle w:val="ad"/>
        <w:rPr>
          <w:lang w:eastAsia="zh-TW"/>
        </w:rPr>
      </w:pPr>
      <w:r w:rsidRPr="00340C74">
        <w:rPr>
          <w:rFonts w:ascii="微软雅黑" w:eastAsia="微软雅黑" w:hAnsi="微软雅黑" w:cs="微软雅黑" w:hint="eastAsia"/>
          <w:lang w:eastAsia="zh-TW"/>
        </w:rPr>
        <w:t>㊳</w:t>
      </w:r>
      <w:r w:rsidRPr="00340C74">
        <w:rPr>
          <w:lang w:eastAsia="zh-TW"/>
        </w:rPr>
        <w:t xml:space="preserve"> </w:t>
      </w:r>
      <w:r w:rsidRPr="00340C74">
        <w:rPr>
          <w:rFonts w:hint="eastAsia"/>
          <w:lang w:eastAsia="zh-TW"/>
        </w:rPr>
        <w:t>《史記》卷一一三《南越列傳》，第3</w:t>
      </w:r>
      <w:r w:rsidRPr="00340C74">
        <w:rPr>
          <w:lang w:eastAsia="zh-TW"/>
        </w:rPr>
        <w:t>572</w:t>
      </w:r>
      <w:r w:rsidRPr="00340C74">
        <w:rPr>
          <w:rFonts w:hint="eastAsia"/>
          <w:lang w:eastAsia="zh-TW"/>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default"/>
    <w:sig w:usb0="00000000" w:usb1="0000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834000"/>
    </w:sdtPr>
    <w:sdtEndPr/>
    <w:sdtContent>
      <w:p w14:paraId="2AE71F09" w14:textId="77777777" w:rsidR="00C64CDB" w:rsidRDefault="00FA30F4">
        <w:pPr>
          <w:pStyle w:val="af0"/>
          <w:ind w:firstLine="480"/>
          <w:jc w:val="center"/>
        </w:pPr>
        <w:r>
          <w:fldChar w:fldCharType="begin"/>
        </w:r>
        <w:r>
          <w:instrText>PAGE   \* MERGEFORMAT</w:instrText>
        </w:r>
        <w:r>
          <w:fldChar w:fldCharType="separate"/>
        </w:r>
        <w:r>
          <w:rPr>
            <w:lang w:val="zh-CN"/>
          </w:rPr>
          <w:t>2</w:t>
        </w:r>
        <w:r>
          <w:fldChar w:fldCharType="end"/>
        </w:r>
      </w:p>
    </w:sdtContent>
  </w:sdt>
  <w:p w14:paraId="7F9E6060" w14:textId="77777777" w:rsidR="00C64CDB" w:rsidRDefault="00C64CD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CCF" w14:textId="77777777" w:rsidR="00C64CDB" w:rsidRDefault="00FA30F4">
    <w:pPr>
      <w:pStyle w:val="af0"/>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6083D0A7" w14:textId="77777777" w:rsidR="00C64CDB" w:rsidRDefault="00C64CDB">
    <w:pPr>
      <w:pStyle w:val="af0"/>
    </w:pPr>
  </w:p>
  <w:p w14:paraId="3BE86F75" w14:textId="77777777" w:rsidR="00C64CDB" w:rsidRDefault="00C64C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1279" w14:textId="77777777"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Pr>
        <w:sz w:val="18"/>
        <w:szCs w:val="18"/>
      </w:rPr>
      <w:t>2</w:t>
    </w:r>
    <w:r>
      <w:rPr>
        <w:rFonts w:hint="eastAsia"/>
        <w:sz w:val="18"/>
        <w:szCs w:val="18"/>
      </w:rPr>
      <w:t>年</w:t>
    </w:r>
    <w:r>
      <w:rPr>
        <w:sz w:val="18"/>
        <w:szCs w:val="18"/>
      </w:rPr>
      <w:t>1</w:t>
    </w:r>
    <w:r>
      <w:rPr>
        <w:rFonts w:hint="eastAsia"/>
        <w:sz w:val="18"/>
        <w:szCs w:val="18"/>
      </w:rPr>
      <w:t>1月2日</w:t>
    </w:r>
    <w:r>
      <w:rPr>
        <w:sz w:val="18"/>
        <w:szCs w:val="18"/>
      </w:rPr>
      <w:tab/>
    </w:r>
    <w:r>
      <w:rPr>
        <w:rFonts w:hint="eastAsia"/>
        <w:sz w:val="18"/>
        <w:szCs w:val="18"/>
      </w:rPr>
      <w:t>发布日期：</w:t>
    </w:r>
    <w:r>
      <w:rPr>
        <w:sz w:val="18"/>
        <w:szCs w:val="18"/>
      </w:rPr>
      <w:t>20</w:t>
    </w:r>
    <w:r>
      <w:rPr>
        <w:rFonts w:hint="eastAsia"/>
        <w:sz w:val="18"/>
        <w:szCs w:val="18"/>
      </w:rPr>
      <w:t>2</w:t>
    </w:r>
    <w:r>
      <w:rPr>
        <w:sz w:val="18"/>
        <w:szCs w:val="18"/>
      </w:rPr>
      <w:t>2</w:t>
    </w:r>
    <w:r>
      <w:rPr>
        <w:rFonts w:hint="eastAsia"/>
        <w:sz w:val="18"/>
        <w:szCs w:val="18"/>
      </w:rPr>
      <w:t>年</w:t>
    </w:r>
    <w:r>
      <w:rPr>
        <w:sz w:val="18"/>
        <w:szCs w:val="18"/>
      </w:rPr>
      <w:t>1</w:t>
    </w:r>
    <w:r>
      <w:rPr>
        <w:rFonts w:hint="eastAsia"/>
        <w:sz w:val="18"/>
        <w:szCs w:val="18"/>
      </w:rPr>
      <w:t>1月3日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Default="00C64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2533" w14:textId="77777777" w:rsidR="00F140EC" w:rsidRDefault="00F140EC">
      <w:r>
        <w:separator/>
      </w:r>
    </w:p>
  </w:footnote>
  <w:footnote w:type="continuationSeparator" w:id="0">
    <w:p w14:paraId="3F6E2CE9" w14:textId="77777777" w:rsidR="00F140EC" w:rsidRDefault="00F1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9C66" w14:textId="77777777" w:rsidR="00C64CDB" w:rsidRDefault="00C64CDB">
    <w:pPr>
      <w:pStyle w:val="af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5421" w14:textId="1D51F1F5" w:rsidR="003C1BBA" w:rsidRDefault="003C1BBA" w:rsidP="003C1BBA">
    <w:pPr>
      <w:pStyle w:val="af2"/>
      <w:spacing w:before="240" w:after="240"/>
      <w:ind w:firstLine="436"/>
    </w:pPr>
    <w:r>
      <w:rPr>
        <w:rFonts w:hint="eastAsia"/>
      </w:rPr>
      <w:t>复旦大学出土文献与古文字研究中心网站论文</w:t>
    </w:r>
  </w:p>
  <w:p w14:paraId="4051E84F" w14:textId="54DC5857" w:rsidR="00C64CDB" w:rsidRPr="003C1BBA" w:rsidRDefault="003C1BBA" w:rsidP="003C1BBA">
    <w:pPr>
      <w:pStyle w:val="af2"/>
      <w:spacing w:before="240" w:after="240"/>
      <w:ind w:firstLine="436"/>
    </w:pPr>
    <w:r>
      <w:rPr>
        <w:rFonts w:hint="eastAsia"/>
      </w:rPr>
      <w:t>链接：</w:t>
    </w:r>
    <w:r>
      <w:t>http://www.fdgwz.org.cn/Web/Show/1096</w:t>
    </w:r>
    <w:r w:rsidR="003D57D0">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0091" w14:textId="77777777" w:rsidR="00C64CDB" w:rsidRDefault="00C64CDB">
    <w:pPr>
      <w:pStyle w:val="af2"/>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F465" w14:textId="77777777" w:rsidR="00C64CDB" w:rsidRDefault="00FA30F4">
    <w:pPr>
      <w:pStyle w:val="af2"/>
      <w:spacing w:before="240" w:after="240"/>
      <w:ind w:firstLine="436"/>
    </w:pPr>
    <w:r>
      <w:rPr>
        <w:rFonts w:hint="eastAsia"/>
      </w:rPr>
      <w:t>复旦大学出土文献与古文字研究中心网站论文</w:t>
    </w:r>
  </w:p>
  <w:p w14:paraId="414180E0" w14:textId="67F44D93" w:rsidR="00C64CDB" w:rsidRDefault="00FA30F4">
    <w:pPr>
      <w:pStyle w:val="af2"/>
      <w:spacing w:before="240" w:after="240"/>
      <w:ind w:firstLine="436"/>
    </w:pPr>
    <w:r>
      <w:rPr>
        <w:rFonts w:hint="eastAsia"/>
      </w:rPr>
      <w:t>链接：</w:t>
    </w:r>
    <w:r>
      <w:t>http://www.fdgwz.org.cn/Web/Show/1096</w:t>
    </w:r>
    <w:r w:rsidR="00C706E1">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RjNGUxZTgwY2MzMjZjZTM0ZWQ3NzZiOWQxMGM3OGM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69A2"/>
    <w:rsid w:val="00031027"/>
    <w:rsid w:val="0003211C"/>
    <w:rsid w:val="00032E60"/>
    <w:rsid w:val="00033997"/>
    <w:rsid w:val="00033F9D"/>
    <w:rsid w:val="00035922"/>
    <w:rsid w:val="00036B75"/>
    <w:rsid w:val="00036C59"/>
    <w:rsid w:val="00037D45"/>
    <w:rsid w:val="000414E8"/>
    <w:rsid w:val="00041765"/>
    <w:rsid w:val="00041E3D"/>
    <w:rsid w:val="00043973"/>
    <w:rsid w:val="00050E7C"/>
    <w:rsid w:val="0005645C"/>
    <w:rsid w:val="000602F4"/>
    <w:rsid w:val="00060DC7"/>
    <w:rsid w:val="000626A6"/>
    <w:rsid w:val="000642EB"/>
    <w:rsid w:val="0006648C"/>
    <w:rsid w:val="00067514"/>
    <w:rsid w:val="00073508"/>
    <w:rsid w:val="00075069"/>
    <w:rsid w:val="00075BC1"/>
    <w:rsid w:val="00076D07"/>
    <w:rsid w:val="00076F82"/>
    <w:rsid w:val="0008174D"/>
    <w:rsid w:val="00084150"/>
    <w:rsid w:val="000860FF"/>
    <w:rsid w:val="00086283"/>
    <w:rsid w:val="00095B2D"/>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00A8"/>
    <w:rsid w:val="00100BE3"/>
    <w:rsid w:val="00102E1C"/>
    <w:rsid w:val="0010392E"/>
    <w:rsid w:val="00104E73"/>
    <w:rsid w:val="00110B5F"/>
    <w:rsid w:val="00112D77"/>
    <w:rsid w:val="00114AB0"/>
    <w:rsid w:val="00117A29"/>
    <w:rsid w:val="001273D1"/>
    <w:rsid w:val="00130713"/>
    <w:rsid w:val="00131D4E"/>
    <w:rsid w:val="001332B7"/>
    <w:rsid w:val="001347BB"/>
    <w:rsid w:val="00135E38"/>
    <w:rsid w:val="0013704E"/>
    <w:rsid w:val="00140848"/>
    <w:rsid w:val="00140894"/>
    <w:rsid w:val="001433AC"/>
    <w:rsid w:val="0014698C"/>
    <w:rsid w:val="00154671"/>
    <w:rsid w:val="00156D70"/>
    <w:rsid w:val="00157CC9"/>
    <w:rsid w:val="00161956"/>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C01CD"/>
    <w:rsid w:val="001C0A09"/>
    <w:rsid w:val="001C0EEC"/>
    <w:rsid w:val="001C2AB0"/>
    <w:rsid w:val="001C3756"/>
    <w:rsid w:val="001C743C"/>
    <w:rsid w:val="001C7CFF"/>
    <w:rsid w:val="001C7EF2"/>
    <w:rsid w:val="001D1713"/>
    <w:rsid w:val="001D427D"/>
    <w:rsid w:val="001D6615"/>
    <w:rsid w:val="001D76E5"/>
    <w:rsid w:val="001D7AFE"/>
    <w:rsid w:val="001E6598"/>
    <w:rsid w:val="001E71B9"/>
    <w:rsid w:val="001F1566"/>
    <w:rsid w:val="001F1BFC"/>
    <w:rsid w:val="001F7BAB"/>
    <w:rsid w:val="002000B5"/>
    <w:rsid w:val="002009A6"/>
    <w:rsid w:val="00200B58"/>
    <w:rsid w:val="00211416"/>
    <w:rsid w:val="002117E4"/>
    <w:rsid w:val="002129CF"/>
    <w:rsid w:val="00216AB7"/>
    <w:rsid w:val="00217A9A"/>
    <w:rsid w:val="002209DA"/>
    <w:rsid w:val="002211DE"/>
    <w:rsid w:val="00221F6F"/>
    <w:rsid w:val="00222C57"/>
    <w:rsid w:val="00222DB3"/>
    <w:rsid w:val="00222FCE"/>
    <w:rsid w:val="00226A4D"/>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B0ED9"/>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6B02"/>
    <w:rsid w:val="002E722C"/>
    <w:rsid w:val="002F12CC"/>
    <w:rsid w:val="002F1FE6"/>
    <w:rsid w:val="002F2D81"/>
    <w:rsid w:val="002F459B"/>
    <w:rsid w:val="002F52DC"/>
    <w:rsid w:val="00300BB1"/>
    <w:rsid w:val="0030415D"/>
    <w:rsid w:val="00307775"/>
    <w:rsid w:val="003108A4"/>
    <w:rsid w:val="00311E98"/>
    <w:rsid w:val="00312503"/>
    <w:rsid w:val="00313A1D"/>
    <w:rsid w:val="00314632"/>
    <w:rsid w:val="00314846"/>
    <w:rsid w:val="00317DBF"/>
    <w:rsid w:val="00317E80"/>
    <w:rsid w:val="0032051F"/>
    <w:rsid w:val="00324A0C"/>
    <w:rsid w:val="00324B47"/>
    <w:rsid w:val="00327329"/>
    <w:rsid w:val="00327BF1"/>
    <w:rsid w:val="00330794"/>
    <w:rsid w:val="00330B16"/>
    <w:rsid w:val="00332FF4"/>
    <w:rsid w:val="00334313"/>
    <w:rsid w:val="0033589E"/>
    <w:rsid w:val="00336427"/>
    <w:rsid w:val="003367D1"/>
    <w:rsid w:val="003370F3"/>
    <w:rsid w:val="00340C74"/>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57D0"/>
    <w:rsid w:val="003E1354"/>
    <w:rsid w:val="003E1502"/>
    <w:rsid w:val="003E1E5C"/>
    <w:rsid w:val="003E335D"/>
    <w:rsid w:val="003F1FF4"/>
    <w:rsid w:val="003F3825"/>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46F5"/>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0EA7"/>
    <w:rsid w:val="004918C3"/>
    <w:rsid w:val="00492180"/>
    <w:rsid w:val="004974E0"/>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18B"/>
    <w:rsid w:val="004F62FC"/>
    <w:rsid w:val="004F6F0B"/>
    <w:rsid w:val="004F6F9B"/>
    <w:rsid w:val="005002E6"/>
    <w:rsid w:val="00503A9E"/>
    <w:rsid w:val="005045E9"/>
    <w:rsid w:val="005049FB"/>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45DA"/>
    <w:rsid w:val="0062642B"/>
    <w:rsid w:val="00627B94"/>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76EC3"/>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18E1"/>
    <w:rsid w:val="00723138"/>
    <w:rsid w:val="00724A1F"/>
    <w:rsid w:val="007317E0"/>
    <w:rsid w:val="0073193D"/>
    <w:rsid w:val="0073487E"/>
    <w:rsid w:val="00740478"/>
    <w:rsid w:val="00740A8A"/>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4B9"/>
    <w:rsid w:val="007D5FCD"/>
    <w:rsid w:val="007D776B"/>
    <w:rsid w:val="007F3D78"/>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637E6"/>
    <w:rsid w:val="008645AC"/>
    <w:rsid w:val="00865714"/>
    <w:rsid w:val="00866FD9"/>
    <w:rsid w:val="00870C38"/>
    <w:rsid w:val="00876421"/>
    <w:rsid w:val="008815F2"/>
    <w:rsid w:val="008839BB"/>
    <w:rsid w:val="00883E9F"/>
    <w:rsid w:val="00884DD1"/>
    <w:rsid w:val="00885A24"/>
    <w:rsid w:val="00886963"/>
    <w:rsid w:val="008875BA"/>
    <w:rsid w:val="008875D9"/>
    <w:rsid w:val="008964C1"/>
    <w:rsid w:val="0089710F"/>
    <w:rsid w:val="008A23C5"/>
    <w:rsid w:val="008A3266"/>
    <w:rsid w:val="008A36BA"/>
    <w:rsid w:val="008A46F9"/>
    <w:rsid w:val="008A6027"/>
    <w:rsid w:val="008A626F"/>
    <w:rsid w:val="008A674E"/>
    <w:rsid w:val="008A7F84"/>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B25"/>
    <w:rsid w:val="008D68C6"/>
    <w:rsid w:val="008D7BDB"/>
    <w:rsid w:val="008E0E66"/>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6182D"/>
    <w:rsid w:val="00962238"/>
    <w:rsid w:val="00962DFC"/>
    <w:rsid w:val="00964805"/>
    <w:rsid w:val="00967C6A"/>
    <w:rsid w:val="00970316"/>
    <w:rsid w:val="00970D12"/>
    <w:rsid w:val="0097125F"/>
    <w:rsid w:val="0097257A"/>
    <w:rsid w:val="00977A96"/>
    <w:rsid w:val="00986333"/>
    <w:rsid w:val="0098705C"/>
    <w:rsid w:val="00987883"/>
    <w:rsid w:val="00992297"/>
    <w:rsid w:val="009945ED"/>
    <w:rsid w:val="00994CD0"/>
    <w:rsid w:val="00995DB3"/>
    <w:rsid w:val="009A0FAD"/>
    <w:rsid w:val="009A569F"/>
    <w:rsid w:val="009A75E4"/>
    <w:rsid w:val="009A7E56"/>
    <w:rsid w:val="009B0579"/>
    <w:rsid w:val="009B0C81"/>
    <w:rsid w:val="009B45C3"/>
    <w:rsid w:val="009C4773"/>
    <w:rsid w:val="009C483E"/>
    <w:rsid w:val="009C5916"/>
    <w:rsid w:val="009C7D0F"/>
    <w:rsid w:val="009D2100"/>
    <w:rsid w:val="009D2D81"/>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A2818"/>
    <w:rsid w:val="00AA3B72"/>
    <w:rsid w:val="00AA4359"/>
    <w:rsid w:val="00AA543B"/>
    <w:rsid w:val="00AA5ACA"/>
    <w:rsid w:val="00AA6604"/>
    <w:rsid w:val="00AA7065"/>
    <w:rsid w:val="00AA75D5"/>
    <w:rsid w:val="00AA7E0A"/>
    <w:rsid w:val="00AB0B6C"/>
    <w:rsid w:val="00AB2A94"/>
    <w:rsid w:val="00AB3DF0"/>
    <w:rsid w:val="00AB58B2"/>
    <w:rsid w:val="00AB760A"/>
    <w:rsid w:val="00AC4C6A"/>
    <w:rsid w:val="00AC5167"/>
    <w:rsid w:val="00AD0D79"/>
    <w:rsid w:val="00AD0F5C"/>
    <w:rsid w:val="00AD369B"/>
    <w:rsid w:val="00AD48AD"/>
    <w:rsid w:val="00AD6890"/>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6A56"/>
    <w:rsid w:val="00B96F7B"/>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E70CF"/>
    <w:rsid w:val="00BF358E"/>
    <w:rsid w:val="00BF5F1D"/>
    <w:rsid w:val="00BF689F"/>
    <w:rsid w:val="00C008DD"/>
    <w:rsid w:val="00C02697"/>
    <w:rsid w:val="00C02E8C"/>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3770"/>
    <w:rsid w:val="00C4502F"/>
    <w:rsid w:val="00C46047"/>
    <w:rsid w:val="00C50F78"/>
    <w:rsid w:val="00C52B1A"/>
    <w:rsid w:val="00C540E0"/>
    <w:rsid w:val="00C57D84"/>
    <w:rsid w:val="00C639B5"/>
    <w:rsid w:val="00C64CDB"/>
    <w:rsid w:val="00C666BF"/>
    <w:rsid w:val="00C673BD"/>
    <w:rsid w:val="00C706E1"/>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5B17"/>
    <w:rsid w:val="00CC33AB"/>
    <w:rsid w:val="00CC48D0"/>
    <w:rsid w:val="00CC5289"/>
    <w:rsid w:val="00CC56E7"/>
    <w:rsid w:val="00CC6F6E"/>
    <w:rsid w:val="00CD09E7"/>
    <w:rsid w:val="00CD12D8"/>
    <w:rsid w:val="00CD2F98"/>
    <w:rsid w:val="00CD33F3"/>
    <w:rsid w:val="00CD3AD6"/>
    <w:rsid w:val="00CE1F09"/>
    <w:rsid w:val="00CE3711"/>
    <w:rsid w:val="00CE4186"/>
    <w:rsid w:val="00CF2087"/>
    <w:rsid w:val="00CF227B"/>
    <w:rsid w:val="00CF2D53"/>
    <w:rsid w:val="00CF3432"/>
    <w:rsid w:val="00CF46B5"/>
    <w:rsid w:val="00CF55D5"/>
    <w:rsid w:val="00CF5871"/>
    <w:rsid w:val="00D00583"/>
    <w:rsid w:val="00D009DD"/>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5042"/>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6A9"/>
    <w:rsid w:val="00D769E1"/>
    <w:rsid w:val="00D76AAD"/>
    <w:rsid w:val="00D77944"/>
    <w:rsid w:val="00D81F8C"/>
    <w:rsid w:val="00D84579"/>
    <w:rsid w:val="00D859D5"/>
    <w:rsid w:val="00D85C5E"/>
    <w:rsid w:val="00D875E6"/>
    <w:rsid w:val="00D91E89"/>
    <w:rsid w:val="00D926DE"/>
    <w:rsid w:val="00D936F8"/>
    <w:rsid w:val="00D94D4A"/>
    <w:rsid w:val="00DA17FB"/>
    <w:rsid w:val="00DA2027"/>
    <w:rsid w:val="00DA469D"/>
    <w:rsid w:val="00DB12D6"/>
    <w:rsid w:val="00DB1A8E"/>
    <w:rsid w:val="00DB2818"/>
    <w:rsid w:val="00DB50D0"/>
    <w:rsid w:val="00DB5D05"/>
    <w:rsid w:val="00DB6A18"/>
    <w:rsid w:val="00DC2A33"/>
    <w:rsid w:val="00DC3ABD"/>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34B"/>
    <w:rsid w:val="00E01E6C"/>
    <w:rsid w:val="00E02DA9"/>
    <w:rsid w:val="00E03B22"/>
    <w:rsid w:val="00E05DA2"/>
    <w:rsid w:val="00E0700B"/>
    <w:rsid w:val="00E1084C"/>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4731F"/>
    <w:rsid w:val="00E53B98"/>
    <w:rsid w:val="00E56D5B"/>
    <w:rsid w:val="00E622CA"/>
    <w:rsid w:val="00E64CC6"/>
    <w:rsid w:val="00E718B3"/>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7DB3"/>
    <w:rsid w:val="00ED7E5B"/>
    <w:rsid w:val="00EE0568"/>
    <w:rsid w:val="00EE05FC"/>
    <w:rsid w:val="00EE1189"/>
    <w:rsid w:val="00EE5251"/>
    <w:rsid w:val="00EE528D"/>
    <w:rsid w:val="00EE6C33"/>
    <w:rsid w:val="00EE6DB8"/>
    <w:rsid w:val="00EE70FE"/>
    <w:rsid w:val="00EF0E85"/>
    <w:rsid w:val="00EF2B6D"/>
    <w:rsid w:val="00EF302F"/>
    <w:rsid w:val="00EF540C"/>
    <w:rsid w:val="00F00755"/>
    <w:rsid w:val="00F00938"/>
    <w:rsid w:val="00F00BEB"/>
    <w:rsid w:val="00F02015"/>
    <w:rsid w:val="00F05B87"/>
    <w:rsid w:val="00F06B67"/>
    <w:rsid w:val="00F074DB"/>
    <w:rsid w:val="00F10AFC"/>
    <w:rsid w:val="00F13540"/>
    <w:rsid w:val="00F140EC"/>
    <w:rsid w:val="00F15F78"/>
    <w:rsid w:val="00F16ADF"/>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2B7F"/>
    <w:rsid w:val="00FD3E77"/>
    <w:rsid w:val="00FD71AB"/>
    <w:rsid w:val="00FE080D"/>
    <w:rsid w:val="00FE0A61"/>
    <w:rsid w:val="00FE20AC"/>
    <w:rsid w:val="00FE20B3"/>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hAnsi="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sz w:val="20"/>
      <w:szCs w:val="20"/>
    </w:rPr>
  </w:style>
  <w:style w:type="paragraph" w:styleId="a4">
    <w:name w:val="Document Map"/>
    <w:basedOn w:val="a"/>
    <w:link w:val="11"/>
    <w:unhideWhenUsed/>
    <w:qFormat/>
    <w:pPr>
      <w:spacing w:line="360" w:lineRule="auto"/>
      <w:textAlignment w:val="center"/>
    </w:pPr>
    <w:rPr>
      <w:rFonts w:hAnsi="Times New Roman"/>
      <w:sz w:val="18"/>
      <w:szCs w:val="18"/>
    </w:rPr>
  </w:style>
  <w:style w:type="paragraph" w:styleId="a5">
    <w:name w:val="annotation text"/>
    <w:basedOn w:val="a"/>
    <w:link w:val="a6"/>
    <w:semiHidden/>
    <w:unhideWhenUsed/>
    <w:qFormat/>
    <w:pPr>
      <w:jc w:val="left"/>
      <w:textAlignment w:val="center"/>
    </w:pPr>
    <w:rPr>
      <w:rFonts w:asciiTheme="minorHAnsi" w:eastAsiaTheme="minorEastAsia" w:hAnsiTheme="minorHAnsi" w:cstheme="minorBidi"/>
      <w:sz w:val="21"/>
    </w:rPr>
  </w:style>
  <w:style w:type="paragraph" w:styleId="a7">
    <w:name w:val="Body Text"/>
    <w:basedOn w:val="a"/>
    <w:link w:val="a8"/>
    <w:qFormat/>
    <w:pPr>
      <w:spacing w:after="120"/>
    </w:pPr>
    <w:rPr>
      <w:rFonts w:ascii="Calibri" w:hAnsi="Calibri"/>
      <w:kern w:val="0"/>
      <w:sz w:val="20"/>
      <w:szCs w:val="20"/>
    </w:rPr>
  </w:style>
  <w:style w:type="paragraph" w:styleId="a9">
    <w:name w:val="Body Text Indent"/>
    <w:basedOn w:val="a"/>
    <w:link w:val="aa"/>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b">
    <w:name w:val="Date"/>
    <w:basedOn w:val="a"/>
    <w:next w:val="a"/>
    <w:link w:val="ac"/>
    <w:unhideWhenUsed/>
    <w:pPr>
      <w:ind w:leftChars="2500" w:left="100"/>
    </w:pPr>
  </w:style>
  <w:style w:type="paragraph" w:styleId="ad">
    <w:name w:val="endnote text"/>
    <w:basedOn w:val="a"/>
    <w:link w:val="12"/>
    <w:unhideWhenUsed/>
    <w:qFormat/>
    <w:pPr>
      <w:snapToGrid w:val="0"/>
      <w:jc w:val="left"/>
    </w:pPr>
  </w:style>
  <w:style w:type="paragraph" w:styleId="ae">
    <w:name w:val="Balloon Text"/>
    <w:basedOn w:val="a"/>
    <w:link w:val="af"/>
    <w:uiPriority w:val="99"/>
    <w:unhideWhenUsed/>
    <w:qFormat/>
    <w:rPr>
      <w:sz w:val="18"/>
      <w:szCs w:val="18"/>
    </w:rPr>
  </w:style>
  <w:style w:type="paragraph" w:styleId="af0">
    <w:name w:val="footer"/>
    <w:basedOn w:val="a"/>
    <w:link w:val="af1"/>
    <w:uiPriority w:val="99"/>
    <w:pPr>
      <w:tabs>
        <w:tab w:val="center" w:pos="4153"/>
        <w:tab w:val="right" w:pos="8306"/>
      </w:tabs>
      <w:snapToGrid w:val="0"/>
      <w:jc w:val="left"/>
    </w:pPr>
    <w:rPr>
      <w:rFonts w:ascii="Times New Roman" w:eastAsia="PMingLiU" w:hAnsi="Times New Roman"/>
      <w:sz w:val="20"/>
      <w:szCs w:val="20"/>
      <w:lang w:eastAsia="zh-TW"/>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
    <w:next w:val="a"/>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5">
    <w:name w:val="footnote text"/>
    <w:basedOn w:val="a"/>
    <w:link w:val="14"/>
    <w:qFormat/>
    <w:pPr>
      <w:snapToGrid w:val="0"/>
      <w:jc w:val="left"/>
    </w:pPr>
    <w:rPr>
      <w:rFonts w:ascii="Times New Roman" w:eastAsia="PMingLiU" w:hAnsi="Times New Roman"/>
      <w:sz w:val="20"/>
      <w:szCs w:val="20"/>
      <w:lang w:eastAsia="zh-TW"/>
    </w:rPr>
  </w:style>
  <w:style w:type="paragraph" w:styleId="af6">
    <w:name w:val="Normal (Web)"/>
    <w:basedOn w:val="a"/>
    <w:uiPriority w:val="99"/>
    <w:unhideWhenUsed/>
    <w:pPr>
      <w:widowControl/>
      <w:spacing w:before="100" w:beforeAutospacing="1" w:after="100" w:afterAutospacing="1"/>
      <w:jc w:val="left"/>
    </w:pPr>
    <w:rPr>
      <w:rFonts w:cs="宋体"/>
      <w:kern w:val="0"/>
      <w:szCs w:val="24"/>
    </w:rPr>
  </w:style>
  <w:style w:type="paragraph" w:styleId="af7">
    <w:name w:val="Title"/>
    <w:basedOn w:val="a"/>
    <w:next w:val="a"/>
    <w:link w:val="af8"/>
    <w:uiPriority w:val="10"/>
    <w:qFormat/>
    <w:pPr>
      <w:wordWrap w:val="0"/>
      <w:spacing w:before="240" w:after="60"/>
      <w:jc w:val="center"/>
      <w:outlineLvl w:val="0"/>
    </w:pPr>
    <w:rPr>
      <w:rFonts w:asciiTheme="majorHAnsi" w:hAnsiTheme="majorHAnsi" w:cstheme="majorBidi"/>
      <w:b/>
      <w:bCs/>
      <w:sz w:val="32"/>
      <w:szCs w:val="32"/>
    </w:rPr>
  </w:style>
  <w:style w:type="paragraph" w:styleId="af9">
    <w:name w:val="annotation subject"/>
    <w:basedOn w:val="a5"/>
    <w:next w:val="a5"/>
    <w:link w:val="afa"/>
    <w:semiHidden/>
    <w:unhideWhenUsed/>
    <w:rPr>
      <w:b/>
      <w:bCs/>
    </w:rPr>
  </w:style>
  <w:style w:type="table" w:styleId="afb">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endnote reference"/>
    <w:basedOn w:val="a0"/>
    <w:uiPriority w:val="99"/>
    <w:unhideWhenUsed/>
    <w:qFormat/>
    <w:rPr>
      <w:vertAlign w:val="superscript"/>
    </w:rPr>
  </w:style>
  <w:style w:type="character" w:styleId="afe">
    <w:name w:val="page number"/>
    <w:qFormat/>
  </w:style>
  <w:style w:type="character" w:styleId="aff">
    <w:name w:val="FollowedHyperlink"/>
    <w:basedOn w:val="a0"/>
    <w:unhideWhenUsed/>
    <w:rPr>
      <w:color w:val="954F72" w:themeColor="followedHyperlink"/>
      <w:u w:val="single"/>
    </w:rPr>
  </w:style>
  <w:style w:type="character" w:styleId="aff0">
    <w:name w:val="Emphasis"/>
    <w:uiPriority w:val="20"/>
    <w:qFormat/>
    <w:rPr>
      <w:i/>
      <w:iCs/>
    </w:rPr>
  </w:style>
  <w:style w:type="character" w:styleId="aff1">
    <w:name w:val="Hyperlink"/>
    <w:uiPriority w:val="99"/>
    <w:unhideWhenUsed/>
    <w:qFormat/>
    <w:rPr>
      <w:color w:val="0563C1"/>
      <w:u w:val="single"/>
    </w:rPr>
  </w:style>
  <w:style w:type="character" w:styleId="aff2">
    <w:name w:val="annotation reference"/>
    <w:basedOn w:val="a0"/>
    <w:semiHidden/>
    <w:unhideWhenUsed/>
    <w:qFormat/>
    <w:rPr>
      <w:sz w:val="21"/>
      <w:szCs w:val="21"/>
    </w:rPr>
  </w:style>
  <w:style w:type="character" w:styleId="aff3">
    <w:name w:val="footnote reference"/>
    <w:qFormat/>
    <w:rPr>
      <w:vertAlign w:val="superscript"/>
    </w:rPr>
  </w:style>
  <w:style w:type="paragraph" w:customStyle="1" w:styleId="aff4">
    <w:name w:val="網文引用"/>
    <w:basedOn w:val="a"/>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qFormat/>
    <w:rPr>
      <w:rFonts w:ascii="宋体"/>
      <w:kern w:val="2"/>
      <w:sz w:val="18"/>
      <w:szCs w:val="18"/>
    </w:rPr>
  </w:style>
  <w:style w:type="character" w:customStyle="1" w:styleId="af1">
    <w:name w:val="页脚 字符"/>
    <w:link w:val="af0"/>
    <w:uiPriority w:val="99"/>
    <w:qFormat/>
    <w:rPr>
      <w:rFonts w:ascii="Times New Roman" w:eastAsia="PMingLiU" w:hAnsi="Times New Roman"/>
      <w:kern w:val="2"/>
      <w:lang w:eastAsia="zh-TW"/>
    </w:rPr>
  </w:style>
  <w:style w:type="paragraph" w:customStyle="1" w:styleId="aff5">
    <w:name w:val="網文正文頂格"/>
    <w:basedOn w:val="aff6"/>
    <w:qFormat/>
    <w:pPr>
      <w:ind w:firstLineChars="0" w:firstLine="0"/>
      <w:jc w:val="left"/>
    </w:pPr>
  </w:style>
  <w:style w:type="paragraph" w:customStyle="1" w:styleId="aff6">
    <w:name w:val="網文正文"/>
    <w:basedOn w:val="a"/>
    <w:link w:val="Char1"/>
    <w:qFormat/>
    <w:pPr>
      <w:spacing w:line="480" w:lineRule="auto"/>
      <w:ind w:firstLineChars="200" w:firstLine="200"/>
      <w:textAlignment w:val="center"/>
    </w:pPr>
    <w:rPr>
      <w:sz w:val="28"/>
    </w:rPr>
  </w:style>
  <w:style w:type="character" w:customStyle="1" w:styleId="14">
    <w:name w:val="脚注文本 字符1"/>
    <w:link w:val="af5"/>
    <w:semiHidden/>
    <w:qFormat/>
    <w:locked/>
    <w:rPr>
      <w:rFonts w:ascii="Times New Roman" w:eastAsia="PMingLiU" w:hAnsi="Times New Roman"/>
      <w:kern w:val="2"/>
      <w:lang w:eastAsia="zh-TW"/>
    </w:rPr>
  </w:style>
  <w:style w:type="paragraph" w:customStyle="1" w:styleId="aff7">
    <w:name w:val="網文標題"/>
    <w:basedOn w:val="a"/>
    <w:link w:val="Char2"/>
    <w:qFormat/>
    <w:pPr>
      <w:jc w:val="center"/>
    </w:pPr>
    <w:rPr>
      <w:rFonts w:ascii="黑体"/>
      <w:b/>
      <w:sz w:val="32"/>
      <w:szCs w:val="44"/>
    </w:rPr>
  </w:style>
  <w:style w:type="character" w:customStyle="1" w:styleId="Char2">
    <w:name w:val="網文標題 Char"/>
    <w:link w:val="aff7"/>
    <w:qFormat/>
    <w:rPr>
      <w:rFonts w:ascii="黑体"/>
      <w:b/>
      <w:kern w:val="2"/>
      <w:sz w:val="32"/>
      <w:szCs w:val="44"/>
    </w:rPr>
  </w:style>
  <w:style w:type="paragraph" w:customStyle="1" w:styleId="aff8">
    <w:name w:val="網文作者"/>
    <w:basedOn w:val="a"/>
    <w:link w:val="Char3"/>
    <w:qFormat/>
    <w:pPr>
      <w:jc w:val="center"/>
    </w:pPr>
    <w:rPr>
      <w:b/>
      <w:sz w:val="28"/>
      <w:lang w:eastAsia="zh-TW"/>
    </w:rPr>
  </w:style>
  <w:style w:type="character" w:customStyle="1" w:styleId="Char3">
    <w:name w:val="網文作者 Char"/>
    <w:link w:val="aff8"/>
    <w:qFormat/>
    <w:rPr>
      <w:rFonts w:ascii="宋体" w:hAnsi="宋体"/>
      <w:b/>
      <w:kern w:val="2"/>
      <w:sz w:val="28"/>
      <w:szCs w:val="22"/>
      <w:lang w:eastAsia="zh-TW"/>
    </w:rPr>
  </w:style>
  <w:style w:type="character" w:customStyle="1" w:styleId="Char1">
    <w:name w:val="網文正文 Char"/>
    <w:link w:val="aff6"/>
    <w:qFormat/>
    <w:rPr>
      <w:rFonts w:ascii="宋体" w:hAnsi="宋体"/>
      <w:kern w:val="2"/>
      <w:sz w:val="28"/>
      <w:szCs w:val="22"/>
    </w:rPr>
  </w:style>
  <w:style w:type="character" w:customStyle="1" w:styleId="Char">
    <w:name w:val="網文引用 Char"/>
    <w:link w:val="aff4"/>
    <w:qFormat/>
    <w:rPr>
      <w:rFonts w:ascii="楷体" w:eastAsia="楷体" w:hAnsi="楷体"/>
      <w:spacing w:val="4"/>
      <w:sz w:val="24"/>
      <w:szCs w:val="22"/>
      <w:lang w:eastAsia="zh-TW"/>
    </w:rPr>
  </w:style>
  <w:style w:type="character" w:customStyle="1" w:styleId="12">
    <w:name w:val="尾注文本 字符1"/>
    <w:link w:val="ad"/>
    <w:uiPriority w:val="99"/>
    <w:qFormat/>
    <w:rPr>
      <w:rFonts w:ascii="宋体" w:hAnsi="宋体"/>
      <w:kern w:val="2"/>
      <w:sz w:val="24"/>
      <w:szCs w:val="22"/>
    </w:rPr>
  </w:style>
  <w:style w:type="character" w:customStyle="1" w:styleId="af3">
    <w:name w:val="页眉 字符"/>
    <w:link w:val="af2"/>
    <w:uiPriority w:val="99"/>
    <w:qFormat/>
    <w:rPr>
      <w:rFonts w:ascii="宋体" w:hAnsi="宋体"/>
      <w:kern w:val="2"/>
      <w:sz w:val="18"/>
      <w:szCs w:val="18"/>
    </w:rPr>
  </w:style>
  <w:style w:type="character" w:customStyle="1" w:styleId="st1">
    <w:name w:val="st1"/>
    <w:qFormat/>
  </w:style>
  <w:style w:type="paragraph" w:customStyle="1" w:styleId="110">
    <w:name w:val="标题 11"/>
    <w:basedOn w:val="a"/>
    <w:next w:val="a"/>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9"/>
    <w:uiPriority w:val="1"/>
    <w:qFormat/>
    <w:pPr>
      <w:widowControl w:val="0"/>
      <w:jc w:val="both"/>
    </w:pPr>
    <w:rPr>
      <w:kern w:val="2"/>
      <w:sz w:val="21"/>
      <w:szCs w:val="22"/>
    </w:rPr>
  </w:style>
  <w:style w:type="paragraph" w:styleId="aff9">
    <w:name w:val="No Spacing"/>
    <w:uiPriority w:val="1"/>
    <w:qFormat/>
    <w:pPr>
      <w:widowControl w:val="0"/>
      <w:jc w:val="both"/>
    </w:pPr>
    <w:rPr>
      <w:rFonts w:ascii="宋体" w:hAnsi="宋体"/>
      <w:kern w:val="2"/>
      <w:sz w:val="24"/>
      <w:szCs w:val="22"/>
    </w:rPr>
  </w:style>
  <w:style w:type="paragraph" w:customStyle="1" w:styleId="16">
    <w:name w:val="批注框文本1"/>
    <w:basedOn w:val="a"/>
    <w:next w:val="ae"/>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
    <w:next w:val="affa"/>
    <w:uiPriority w:val="34"/>
    <w:qFormat/>
    <w:pPr>
      <w:spacing w:after="120" w:line="276" w:lineRule="auto"/>
      <w:ind w:firstLineChars="200" w:firstLine="420"/>
    </w:pPr>
    <w:rPr>
      <w:rFonts w:ascii="Calibri" w:hAnsi="Calibri"/>
      <w:sz w:val="21"/>
    </w:rPr>
  </w:style>
  <w:style w:type="paragraph" w:styleId="affa">
    <w:name w:val="List Paragraph"/>
    <w:basedOn w:val="a"/>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
    <w:name w:val="批注框文本 字符"/>
    <w:link w:val="ae"/>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
    <w:qFormat/>
    <w:rPr>
      <w:rFonts w:ascii="Tahoma" w:hAnsi="Tahoma"/>
      <w:szCs w:val="20"/>
    </w:rPr>
  </w:style>
  <w:style w:type="character" w:customStyle="1" w:styleId="postbody1">
    <w:name w:val="postbody1"/>
    <w:qFormat/>
    <w:rPr>
      <w:sz w:val="11"/>
      <w:szCs w:val="11"/>
    </w:rPr>
  </w:style>
  <w:style w:type="character" w:customStyle="1" w:styleId="hot">
    <w:name w:val="hot"/>
    <w:basedOn w:val="a0"/>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8">
    <w:name w:val="正文文本 字符"/>
    <w:link w:val="a7"/>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b">
    <w:name w:val="尾注文本 字符"/>
    <w:qFormat/>
    <w:rPr>
      <w:kern w:val="2"/>
      <w:sz w:val="21"/>
      <w:szCs w:val="24"/>
    </w:rPr>
  </w:style>
  <w:style w:type="character" w:customStyle="1" w:styleId="affc">
    <w:name w:val="脚注文本 字符"/>
    <w:uiPriority w:val="99"/>
    <w:qFormat/>
    <w:rPr>
      <w:sz w:val="20"/>
      <w:szCs w:val="20"/>
    </w:rPr>
  </w:style>
  <w:style w:type="paragraph" w:customStyle="1" w:styleId="affd">
    <w:name w:val="注文"/>
    <w:basedOn w:val="a"/>
    <w:qFormat/>
    <w:pPr>
      <w:ind w:leftChars="405" w:left="1155" w:hangingChars="10" w:hanging="21"/>
    </w:pPr>
    <w:rPr>
      <w:rFonts w:ascii="Calibri" w:hAnsi="Calibri"/>
      <w:color w:val="92D050"/>
      <w:sz w:val="21"/>
      <w:szCs w:val="21"/>
    </w:rPr>
  </w:style>
  <w:style w:type="paragraph" w:customStyle="1" w:styleId="affe">
    <w:name w:val="小標"/>
    <w:basedOn w:val="a"/>
    <w:qFormat/>
    <w:pPr>
      <w:ind w:leftChars="53" w:left="708" w:hangingChars="200" w:hanging="560"/>
    </w:pPr>
    <w:rPr>
      <w:rFonts w:ascii="Calibri" w:hAnsi="Calibri"/>
      <w:sz w:val="21"/>
      <w:szCs w:val="24"/>
    </w:rPr>
  </w:style>
  <w:style w:type="character" w:customStyle="1" w:styleId="ac">
    <w:name w:val="日期 字符"/>
    <w:link w:val="ab"/>
    <w:qFormat/>
    <w:rPr>
      <w:rFonts w:ascii="宋体" w:hAnsi="宋体"/>
      <w:kern w:val="2"/>
      <w:sz w:val="24"/>
      <w:szCs w:val="22"/>
    </w:rPr>
  </w:style>
  <w:style w:type="character" w:customStyle="1" w:styleId="Char5">
    <w:name w:val="尾注文本 Char"/>
    <w:qFormat/>
    <w:rPr>
      <w:kern w:val="2"/>
      <w:sz w:val="21"/>
      <w:szCs w:val="24"/>
    </w:rPr>
  </w:style>
  <w:style w:type="character" w:customStyle="1" w:styleId="fontstyle01">
    <w:name w:val="fontstyle01"/>
    <w:basedOn w:val="a0"/>
    <w:qFormat/>
    <w:rPr>
      <w:rFonts w:ascii="TimesNewRomanPS-BoldMT" w:hAnsi="TimesNewRomanPS-BoldMT" w:hint="default"/>
      <w:b/>
      <w:bCs/>
      <w:color w:val="000000"/>
      <w:sz w:val="36"/>
      <w:szCs w:val="36"/>
    </w:rPr>
  </w:style>
  <w:style w:type="character" w:customStyle="1" w:styleId="fontstyle11">
    <w:name w:val="fontstyle11"/>
    <w:basedOn w:val="a0"/>
    <w:qFormat/>
    <w:rPr>
      <w:rFonts w:ascii="宋体" w:eastAsia="宋体" w:hAnsi="宋体" w:hint="eastAsia"/>
      <w:color w:val="000000"/>
      <w:sz w:val="36"/>
      <w:szCs w:val="36"/>
    </w:rPr>
  </w:style>
  <w:style w:type="character" w:customStyle="1" w:styleId="fontstyle21">
    <w:name w:val="fontstyle21"/>
    <w:basedOn w:val="a0"/>
    <w:qFormat/>
    <w:rPr>
      <w:rFonts w:ascii="Batang" w:eastAsia="Batang" w:hint="eastAsia"/>
      <w:color w:val="000000"/>
      <w:sz w:val="24"/>
      <w:szCs w:val="24"/>
    </w:rPr>
  </w:style>
  <w:style w:type="character" w:customStyle="1" w:styleId="fontstyle31">
    <w:name w:val="fontstyle31"/>
    <w:basedOn w:val="a0"/>
    <w:qFormat/>
    <w:rPr>
      <w:rFonts w:ascii="New Gulim" w:hAnsi="New Gulim" w:hint="default"/>
      <w:color w:val="000000"/>
      <w:sz w:val="24"/>
      <w:szCs w:val="24"/>
    </w:rPr>
  </w:style>
  <w:style w:type="character" w:customStyle="1" w:styleId="afff">
    <w:name w:val="控呇湮佽恅苤蚼 红色"/>
    <w:basedOn w:val="a0"/>
    <w:qFormat/>
    <w:rPr>
      <w:rFonts w:ascii="控呇湮佽恅苤蚼" w:eastAsia="控呇湮佽恅苤蚼" w:hAnsi="控呇湮佽恅苤蚼"/>
      <w:color w:val="FF0000"/>
    </w:rPr>
  </w:style>
  <w:style w:type="paragraph" w:customStyle="1" w:styleId="Char11">
    <w:name w:val="Char11"/>
    <w:basedOn w:val="a"/>
    <w:qFormat/>
    <w:rPr>
      <w:rFonts w:ascii="Tahoma" w:hAnsi="Tahoma"/>
      <w:szCs w:val="20"/>
    </w:rPr>
  </w:style>
  <w:style w:type="character" w:customStyle="1" w:styleId="af8">
    <w:name w:val="标题 字符"/>
    <w:basedOn w:val="a0"/>
    <w:link w:val="af7"/>
    <w:uiPriority w:val="10"/>
    <w:qFormat/>
    <w:rPr>
      <w:rFonts w:asciiTheme="majorHAnsi" w:hAnsiTheme="majorHAnsi" w:cstheme="majorBidi"/>
      <w:b/>
      <w:bCs/>
      <w:kern w:val="2"/>
      <w:sz w:val="32"/>
      <w:szCs w:val="32"/>
    </w:rPr>
  </w:style>
  <w:style w:type="paragraph" w:customStyle="1" w:styleId="4">
    <w:name w:val="样式4"/>
    <w:basedOn w:val="a"/>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0"/>
    <w:uiPriority w:val="99"/>
    <w:semiHidden/>
    <w:unhideWhenUsed/>
    <w:qFormat/>
    <w:rPr>
      <w:color w:val="808080"/>
      <w:shd w:val="clear" w:color="auto" w:fill="E6E6E6"/>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a">
    <w:name w:val="批注主题 字符"/>
    <w:basedOn w:val="a6"/>
    <w:link w:val="af9"/>
    <w:uiPriority w:val="99"/>
    <w:semiHidden/>
    <w:qFormat/>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qFormat/>
    <w:rPr>
      <w:rFonts w:ascii="宋体" w:hAnsi="宋体"/>
      <w:b/>
      <w:bCs/>
      <w:kern w:val="2"/>
      <w:sz w:val="28"/>
      <w:szCs w:val="28"/>
    </w:rPr>
  </w:style>
  <w:style w:type="character" w:customStyle="1" w:styleId="mw-headline">
    <w:name w:val="mw-headline"/>
    <w:basedOn w:val="a0"/>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4"/>
    <w:uiPriority w:val="11"/>
    <w:qFormat/>
    <w:rPr>
      <w:rFonts w:ascii="Cambria" w:hAnsi="Cambria"/>
      <w:b/>
      <w:bCs/>
      <w:kern w:val="28"/>
      <w:sz w:val="24"/>
      <w:szCs w:val="32"/>
    </w:rPr>
  </w:style>
  <w:style w:type="character" w:customStyle="1" w:styleId="afff0">
    <w:name w:val="副标题 字符"/>
    <w:basedOn w:val="a0"/>
    <w:uiPriority w:val="11"/>
    <w:qFormat/>
    <w:rPr>
      <w:rFonts w:asciiTheme="minorHAnsi" w:eastAsiaTheme="minorEastAsia" w:hAnsiTheme="minorHAnsi" w:cstheme="minorBidi"/>
      <w:b/>
      <w:bCs/>
      <w:kern w:val="28"/>
      <w:sz w:val="32"/>
      <w:szCs w:val="32"/>
    </w:rPr>
  </w:style>
  <w:style w:type="character" w:customStyle="1" w:styleId="afff1">
    <w:name w:val="文档结构图 字符"/>
    <w:basedOn w:val="a0"/>
    <w:qFormat/>
    <w:rPr>
      <w:rFonts w:ascii="Microsoft YaHei UI" w:eastAsia="Microsoft YaHei UI" w:hAnsi="宋体"/>
      <w:kern w:val="2"/>
      <w:sz w:val="18"/>
      <w:szCs w:val="18"/>
    </w:rPr>
  </w:style>
  <w:style w:type="character" w:customStyle="1" w:styleId="11">
    <w:name w:val="文档结构图 字符1"/>
    <w:link w:val="a4"/>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2">
    <w:name w:val="引文"/>
    <w:basedOn w:val="a"/>
    <w:qFormat/>
    <w:pPr>
      <w:widowControl/>
      <w:ind w:leftChars="100" w:left="210" w:firstLineChars="200" w:firstLine="480"/>
      <w:jc w:val="left"/>
    </w:pPr>
    <w:rPr>
      <w:rFonts w:ascii="仿宋" w:eastAsia="仿宋" w:hAnsi="仿宋" w:cs="宋体"/>
      <w:kern w:val="0"/>
      <w:szCs w:val="24"/>
    </w:rPr>
  </w:style>
  <w:style w:type="paragraph" w:customStyle="1" w:styleId="afff3">
    <w:name w:val="注釋"/>
    <w:basedOn w:val="a"/>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0"/>
    <w:uiPriority w:val="99"/>
    <w:semiHidden/>
    <w:unhideWhenUsed/>
    <w:qFormat/>
    <w:rPr>
      <w:color w:val="605E5C"/>
      <w:shd w:val="clear" w:color="auto" w:fill="E1DFDD"/>
    </w:rPr>
  </w:style>
  <w:style w:type="table" w:customStyle="1" w:styleId="19">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Quote"/>
    <w:basedOn w:val="a"/>
    <w:next w:val="a"/>
    <w:link w:val="afff5"/>
    <w:uiPriority w:val="29"/>
    <w:qFormat/>
    <w:pPr>
      <w:spacing w:before="200" w:after="160"/>
      <w:ind w:left="864" w:right="864"/>
      <w:jc w:val="center"/>
    </w:pPr>
    <w:rPr>
      <w:i/>
      <w:iCs/>
      <w:color w:val="404040" w:themeColor="text1" w:themeTint="BF"/>
    </w:rPr>
  </w:style>
  <w:style w:type="character" w:customStyle="1" w:styleId="afff5">
    <w:name w:val="引用 字符"/>
    <w:basedOn w:val="a0"/>
    <w:link w:val="afff4"/>
    <w:uiPriority w:val="29"/>
    <w:qFormat/>
    <w:rPr>
      <w:rFonts w:ascii="宋体" w:hAnsi="宋体"/>
      <w:i/>
      <w:iCs/>
      <w:color w:val="404040" w:themeColor="text1" w:themeTint="BF"/>
      <w:kern w:val="2"/>
      <w:sz w:val="24"/>
      <w:szCs w:val="22"/>
    </w:rPr>
  </w:style>
  <w:style w:type="paragraph" w:customStyle="1" w:styleId="1a">
    <w:name w:val="标题1"/>
    <w:basedOn w:val="a"/>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6">
    <w:name w:val="作者行"/>
    <w:basedOn w:val="a"/>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4"/>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6"/>
    <w:qFormat/>
    <w:rPr>
      <w:rFonts w:ascii="方正仿宋简体" w:eastAsia="方正仿宋简体" w:hAnsi="Times New Roman"/>
      <w:kern w:val="2"/>
      <w:sz w:val="28"/>
      <w:szCs w:val="28"/>
    </w:rPr>
  </w:style>
  <w:style w:type="paragraph" w:customStyle="1" w:styleId="120">
    <w:name w:val="样式1标题2"/>
    <w:basedOn w:val="a"/>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7"/>
    <w:link w:val="2Char"/>
    <w:qFormat/>
  </w:style>
  <w:style w:type="paragraph" w:customStyle="1" w:styleId="140">
    <w:name w:val="样式1标题4"/>
    <w:basedOn w:val="a"/>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7">
    <w:name w:val="标题４"/>
    <w:basedOn w:val="140"/>
    <w:next w:val="a7"/>
    <w:link w:val="Char8"/>
    <w:qFormat/>
    <w:pPr>
      <w:ind w:firstLine="400"/>
    </w:pPr>
  </w:style>
  <w:style w:type="character" w:customStyle="1" w:styleId="Char8">
    <w:name w:val="标题４ Char"/>
    <w:link w:val="afff7"/>
    <w:qFormat/>
    <w:rPr>
      <w:rFonts w:ascii="方正黑体简体" w:eastAsia="方正黑体简体" w:hAnsi="Times New Roman"/>
      <w:kern w:val="2"/>
      <w:sz w:val="21"/>
      <w:szCs w:val="24"/>
    </w:rPr>
  </w:style>
  <w:style w:type="character" w:customStyle="1" w:styleId="aa">
    <w:name w:val="正文文本缩进 字符"/>
    <w:basedOn w:val="a0"/>
    <w:link w:val="a9"/>
    <w:qFormat/>
    <w:rPr>
      <w:rFonts w:ascii="Times New Roman" w:eastAsia="方正书宋简体" w:hAnsi="Times New Roman"/>
      <w:kern w:val="2"/>
      <w:szCs w:val="24"/>
    </w:rPr>
  </w:style>
  <w:style w:type="paragraph" w:customStyle="1" w:styleId="afff8">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9">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8"/>
    <w:qFormat/>
    <w:rPr>
      <w:rFonts w:ascii="方正书宋简体" w:eastAsia="方正书宋简体" w:hAnsi="Times New Roman"/>
      <w:b w:val="0"/>
      <w:bCs/>
      <w:snapToGrid w:val="0"/>
      <w:kern w:val="44"/>
      <w:sz w:val="36"/>
      <w:szCs w:val="44"/>
    </w:rPr>
  </w:style>
  <w:style w:type="paragraph" w:customStyle="1" w:styleId="afffa">
    <w:name w:val="论丛作者"/>
    <w:basedOn w:val="afff6"/>
    <w:link w:val="Charb"/>
    <w:qFormat/>
    <w:pPr>
      <w:adjustRightInd w:val="0"/>
      <w:spacing w:line="240" w:lineRule="auto"/>
      <w:outlineLvl w:val="0"/>
    </w:pPr>
  </w:style>
  <w:style w:type="character" w:customStyle="1" w:styleId="Chara">
    <w:name w:val="论丛副题 Char"/>
    <w:basedOn w:val="2Char"/>
    <w:link w:val="afff9"/>
    <w:qFormat/>
    <w:rPr>
      <w:rFonts w:ascii="方正楷体简体" w:eastAsia="方正楷体简体" w:hAnsi="Cambria"/>
      <w:bCs/>
      <w:snapToGrid w:val="0"/>
      <w:w w:val="120"/>
      <w:kern w:val="2"/>
      <w:sz w:val="28"/>
      <w:szCs w:val="32"/>
    </w:rPr>
  </w:style>
  <w:style w:type="paragraph" w:customStyle="1" w:styleId="afffb">
    <w:name w:val="论丛题注"/>
    <w:basedOn w:val="af5"/>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a"/>
    <w:qFormat/>
    <w:rPr>
      <w:rFonts w:ascii="方正仿宋简体" w:eastAsia="方正仿宋简体" w:hAnsi="Times New Roman"/>
      <w:kern w:val="2"/>
      <w:sz w:val="28"/>
      <w:szCs w:val="28"/>
    </w:rPr>
  </w:style>
  <w:style w:type="paragraph" w:customStyle="1" w:styleId="afffc">
    <w:name w:val="论丛提要"/>
    <w:basedOn w:val="a"/>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c"/>
    <w:link w:val="afffb"/>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c"/>
    <w:qFormat/>
    <w:rPr>
      <w:rFonts w:ascii="方正书宋简体" w:eastAsia="方正书宋简体" w:hAnsi="Times New Roman"/>
      <w:snapToGrid w:val="0"/>
      <w:sz w:val="18"/>
      <w:szCs w:val="18"/>
    </w:rPr>
  </w:style>
  <w:style w:type="paragraph" w:customStyle="1" w:styleId="afffd">
    <w:name w:val="论丛正文"/>
    <w:basedOn w:val="a"/>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d"/>
    <w:qFormat/>
    <w:rPr>
      <w:rFonts w:ascii="方正书宋简体" w:eastAsia="方正书宋简体" w:hAnsi="Times New Roman"/>
      <w:kern w:val="2"/>
    </w:rPr>
  </w:style>
  <w:style w:type="paragraph" w:customStyle="1" w:styleId="32">
    <w:name w:val="论丛题3"/>
    <w:basedOn w:val="afff7"/>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e">
    <w:name w:val="论丛引例"/>
    <w:basedOn w:val="a"/>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
    <w:name w:val="论丛表题"/>
    <w:basedOn w:val="a"/>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e"/>
    <w:qFormat/>
    <w:rPr>
      <w:rFonts w:ascii="方正仿宋简体" w:eastAsia="方正仿宋简体" w:hAnsi="Times New Roman"/>
      <w:kern w:val="2"/>
    </w:rPr>
  </w:style>
  <w:style w:type="paragraph" w:customStyle="1" w:styleId="affff0">
    <w:name w:val="论丛附参题"/>
    <w:basedOn w:val="ad"/>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
    <w:qFormat/>
    <w:rPr>
      <w:rFonts w:ascii="方正准圆简体" w:eastAsia="方正准圆简体" w:hAnsi="Times New Roman"/>
      <w:w w:val="110"/>
      <w:kern w:val="2"/>
      <w:sz w:val="18"/>
      <w:szCs w:val="18"/>
    </w:rPr>
  </w:style>
  <w:style w:type="paragraph" w:customStyle="1" w:styleId="affff1">
    <w:name w:val="论丛附参文"/>
    <w:basedOn w:val="afffd"/>
    <w:link w:val="Charf2"/>
    <w:qFormat/>
    <w:pPr>
      <w:spacing w:line="300" w:lineRule="exact"/>
      <w:ind w:firstLine="382"/>
    </w:pPr>
    <w:rPr>
      <w:sz w:val="18"/>
      <w:szCs w:val="18"/>
    </w:rPr>
  </w:style>
  <w:style w:type="character" w:customStyle="1" w:styleId="Charf1">
    <w:name w:val="论丛附参题 Char"/>
    <w:basedOn w:val="affb"/>
    <w:link w:val="affff0"/>
    <w:qFormat/>
    <w:rPr>
      <w:rFonts w:ascii="方正黑体简体" w:eastAsia="方正黑体简体" w:hAnsi="Times New Roman"/>
      <w:snapToGrid w:val="0"/>
      <w:kern w:val="2"/>
      <w:sz w:val="18"/>
      <w:szCs w:val="18"/>
    </w:rPr>
  </w:style>
  <w:style w:type="paragraph" w:customStyle="1" w:styleId="affff2">
    <w:name w:val="论丛英摘"/>
    <w:basedOn w:val="a"/>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1"/>
    <w:qFormat/>
    <w:rPr>
      <w:rFonts w:ascii="方正书宋简体" w:eastAsia="方正书宋简体" w:hAnsi="Times New Roman"/>
      <w:kern w:val="2"/>
      <w:sz w:val="18"/>
      <w:szCs w:val="18"/>
    </w:rPr>
  </w:style>
  <w:style w:type="character" w:customStyle="1" w:styleId="Charf3">
    <w:name w:val="论丛英摘 Char"/>
    <w:basedOn w:val="a0"/>
    <w:link w:val="affff2"/>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1"/>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qFormat/>
  </w:style>
  <w:style w:type="table" w:customStyle="1" w:styleId="33">
    <w:name w:val="网格型3"/>
    <w:basedOn w:val="a1"/>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9.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6.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9.bin"/><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2.xml"/><Relationship Id="rId8" Type="http://schemas.openxmlformats.org/officeDocument/2006/relationships/image" Target="media/image3.png"/></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901</Words>
  <Characters>5140</Characters>
  <Application>Microsoft Office Word</Application>
  <DocSecurity>0</DocSecurity>
  <Lines>42</Lines>
  <Paragraphs>12</Paragraphs>
  <ScaleCrop>false</ScaleCrop>
  <Company>GWZ</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dell007</cp:lastModifiedBy>
  <cp:revision>17</cp:revision>
  <dcterms:created xsi:type="dcterms:W3CDTF">2019-09-16T14:32:00Z</dcterms:created>
  <dcterms:modified xsi:type="dcterms:W3CDTF">2022-11-03T11:28:00Z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