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7F18" w14:textId="77777777" w:rsidR="00B224E4" w:rsidRPr="00B224E4" w:rsidRDefault="00B224E4" w:rsidP="00B224E4">
      <w:pPr>
        <w:pStyle w:val="ab"/>
        <w:rPr>
          <w:rStyle w:val="StrongEmphasis"/>
          <w:b/>
          <w:bCs w:val="0"/>
        </w:rPr>
      </w:pPr>
      <w:bookmarkStart w:id="0" w:name="_Hlk113519225"/>
      <w:bookmarkStart w:id="1" w:name="_Hlk113894214"/>
      <w:bookmarkStart w:id="2" w:name="OLE_LINK1"/>
      <w:r w:rsidRPr="00B224E4">
        <w:rPr>
          <w:rStyle w:val="StrongEmphasis"/>
          <w:rFonts w:hint="eastAsia"/>
          <w:b/>
          <w:bCs w:val="0"/>
        </w:rPr>
        <w:t>再談上博竹</w:t>
      </w:r>
      <w:proofErr w:type="gramStart"/>
      <w:r w:rsidRPr="00B224E4">
        <w:rPr>
          <w:rStyle w:val="StrongEmphasis"/>
          <w:rFonts w:hint="eastAsia"/>
          <w:b/>
          <w:bCs w:val="0"/>
        </w:rPr>
        <w:t>書</w:t>
      </w:r>
      <w:proofErr w:type="gramEnd"/>
      <w:r w:rsidRPr="00B224E4">
        <w:rPr>
          <w:rStyle w:val="StrongEmphasis"/>
          <w:rFonts w:hint="eastAsia"/>
          <w:b/>
          <w:bCs w:val="0"/>
        </w:rPr>
        <w:t>《鬼神之明》中的“送</w:t>
      </w:r>
      <w:bookmarkEnd w:id="0"/>
      <w:r w:rsidRPr="00B224E4">
        <w:rPr>
          <w:rStyle w:val="StrongEmphasis"/>
          <w:rFonts w:hint="eastAsia"/>
          <w:b/>
          <w:bCs w:val="0"/>
        </w:rPr>
        <w:drawing>
          <wp:inline distT="0" distB="0" distL="0" distR="0" wp14:anchorId="30E436D9" wp14:editId="3E18F7F3">
            <wp:extent cx="195566" cy="22605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8" cstate="print">
                      <a:extLst>
                        <a:ext uri="{28A0092B-C50C-407E-A947-70E740481C1C}">
                          <a14:useLocalDpi xmlns:a14="http://schemas.microsoft.com/office/drawing/2010/main" val="0"/>
                        </a:ext>
                      </a:extLst>
                    </a:blip>
                    <a:srcRect l="21687" t="10843" r="17439" b="18793"/>
                    <a:stretch/>
                  </pic:blipFill>
                  <pic:spPr bwMode="auto">
                    <a:xfrm>
                      <a:off x="0" y="0"/>
                      <a:ext cx="207093" cy="239379"/>
                    </a:xfrm>
                    <a:prstGeom prst="rect">
                      <a:avLst/>
                    </a:prstGeom>
                    <a:ln>
                      <a:noFill/>
                    </a:ln>
                    <a:extLst>
                      <a:ext uri="{53640926-AAD7-44D8-BBD7-CCE9431645EC}">
                        <a14:shadowObscured xmlns:a14="http://schemas.microsoft.com/office/drawing/2010/main"/>
                      </a:ext>
                    </a:extLst>
                  </pic:spPr>
                </pic:pic>
              </a:graphicData>
            </a:graphic>
          </wp:inline>
        </w:drawing>
      </w:r>
      <w:r w:rsidRPr="00B224E4">
        <w:rPr>
          <w:rStyle w:val="StrongEmphasis"/>
          <w:rFonts w:hint="eastAsia"/>
          <w:b/>
          <w:bCs w:val="0"/>
        </w:rPr>
        <w:t>公”</w:t>
      </w:r>
    </w:p>
    <w:bookmarkEnd w:id="1"/>
    <w:p w14:paraId="41DF5B4C" w14:textId="77777777" w:rsidR="00B224E4" w:rsidRDefault="00B224E4" w:rsidP="00B224E4">
      <w:pPr>
        <w:pStyle w:val="ac"/>
        <w:rPr>
          <w:rFonts w:eastAsia="PMingLiU"/>
        </w:rPr>
      </w:pPr>
    </w:p>
    <w:p w14:paraId="74B8A3E8" w14:textId="344122C3" w:rsidR="00B224E4" w:rsidRPr="00B224E4" w:rsidRDefault="00B224E4" w:rsidP="00B224E4">
      <w:pPr>
        <w:pStyle w:val="ac"/>
      </w:pPr>
      <w:r w:rsidRPr="00B224E4">
        <w:t>（</w:t>
      </w:r>
      <w:r w:rsidRPr="00B224E4">
        <w:rPr>
          <w:rFonts w:hint="eastAsia"/>
        </w:rPr>
        <w:t>首發</w:t>
      </w:r>
      <w:r w:rsidRPr="00B224E4">
        <w:t>）</w:t>
      </w:r>
    </w:p>
    <w:p w14:paraId="5362842C" w14:textId="0703F35F" w:rsidR="00B224E4" w:rsidRPr="00B224E4" w:rsidRDefault="00B224E4" w:rsidP="00B224E4">
      <w:pPr>
        <w:pStyle w:val="ac"/>
      </w:pPr>
      <w:r w:rsidRPr="00B224E4">
        <w:rPr>
          <w:rFonts w:hint="eastAsia"/>
        </w:rPr>
        <w:t>李清銀</w:t>
      </w:r>
    </w:p>
    <w:p w14:paraId="3D9C31E5" w14:textId="30BE3EE3" w:rsidR="00B224E4" w:rsidRDefault="00B224E4" w:rsidP="00B224E4">
      <w:pPr>
        <w:pStyle w:val="ac"/>
        <w:rPr>
          <w:rFonts w:eastAsia="PMingLiU"/>
        </w:rPr>
      </w:pPr>
      <w:r w:rsidRPr="00B224E4">
        <w:rPr>
          <w:rFonts w:hint="eastAsia"/>
        </w:rPr>
        <w:t>南京師範大學文學院</w:t>
      </w:r>
    </w:p>
    <w:p w14:paraId="0D7F60DC" w14:textId="77777777" w:rsidR="00B224E4" w:rsidRPr="00B224E4" w:rsidRDefault="00B224E4" w:rsidP="00B224E4">
      <w:pPr>
        <w:pStyle w:val="ac"/>
        <w:rPr>
          <w:rFonts w:eastAsia="PMingLiU" w:hint="eastAsia"/>
        </w:rPr>
      </w:pPr>
    </w:p>
    <w:p w14:paraId="05757EA1" w14:textId="77777777" w:rsidR="00B224E4" w:rsidRPr="00B224E4" w:rsidRDefault="00B224E4" w:rsidP="00B224E4">
      <w:pPr>
        <w:pStyle w:val="aa"/>
        <w:ind w:firstLineChars="0" w:firstLine="0"/>
        <w:rPr>
          <w:rFonts w:ascii="楷体" w:eastAsia="楷体" w:hAnsi="楷体"/>
          <w:lang w:eastAsia="zh-TW"/>
        </w:rPr>
      </w:pPr>
      <w:r w:rsidRPr="00B224E4">
        <w:rPr>
          <w:rFonts w:ascii="黑体" w:eastAsia="黑体" w:hAnsi="黑体" w:hint="eastAsia"/>
          <w:b/>
          <w:bCs/>
          <w:lang w:eastAsia="zh-TW"/>
        </w:rPr>
        <w:t>摘要：</w:t>
      </w:r>
      <w:bookmarkStart w:id="3" w:name="_Hlk113612330"/>
      <w:r w:rsidRPr="00B224E4">
        <w:rPr>
          <w:rFonts w:ascii="楷体" w:eastAsia="楷体" w:hAnsi="楷体" w:hint="eastAsia"/>
          <w:lang w:eastAsia="zh-TW"/>
        </w:rPr>
        <w:t>目前關於上博竹書《鬼神之明》中“送</w:t>
      </w:r>
      <w:r w:rsidRPr="00B224E4">
        <w:rPr>
          <w:rFonts w:ascii="楷体" w:eastAsia="楷体" w:hAnsi="楷体"/>
          <w:lang w:eastAsia="zh-TW"/>
        </w:rPr>
        <w:drawing>
          <wp:inline distT="0" distB="0" distL="0" distR="0" wp14:anchorId="5EED0C4D" wp14:editId="46FDDCCF">
            <wp:extent cx="126853" cy="146686"/>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702" cy="160387"/>
                    </a:xfrm>
                    <a:prstGeom prst="rect">
                      <a:avLst/>
                    </a:prstGeom>
                    <a:noFill/>
                  </pic:spPr>
                </pic:pic>
              </a:graphicData>
            </a:graphic>
          </wp:inline>
        </w:drawing>
      </w:r>
      <w:bookmarkEnd w:id="3"/>
      <w:r w:rsidRPr="00B224E4">
        <w:rPr>
          <w:rFonts w:ascii="楷体" w:eastAsia="楷体" w:hAnsi="楷体" w:hint="eastAsia"/>
          <w:lang w:eastAsia="zh-TW"/>
        </w:rPr>
        <w:t>公”的解讀，釋為“榮夷公”或是“秦穆公”，均有一定的不合理性。遍檢相關文獻，從多重角度來看，“送</w:t>
      </w:r>
      <w:r w:rsidRPr="00B224E4">
        <w:rPr>
          <w:rFonts w:ascii="楷体" w:eastAsia="楷体" w:hAnsi="楷体"/>
          <w:lang w:eastAsia="zh-TW"/>
        </w:rPr>
        <w:drawing>
          <wp:inline distT="0" distB="0" distL="0" distR="0" wp14:anchorId="140CCE30" wp14:editId="4A4ECADF">
            <wp:extent cx="128270" cy="146050"/>
            <wp:effectExtent l="0" t="0" r="508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Pr="00B224E4">
        <w:rPr>
          <w:rFonts w:ascii="楷体" w:eastAsia="楷体" w:hAnsi="楷体" w:hint="eastAsia"/>
          <w:lang w:eastAsia="zh-TW"/>
        </w:rPr>
        <w:t>公”當為伯嚭。《鬼神之明》的學派屬性也非為“敬天命、遠鬼神而远之”的儒家，當為墨子後學的疑惑反思之作。</w:t>
      </w:r>
    </w:p>
    <w:p w14:paraId="07879685" w14:textId="77777777" w:rsidR="00B224E4" w:rsidRPr="00B224E4" w:rsidRDefault="00B224E4" w:rsidP="00B224E4">
      <w:pPr>
        <w:pStyle w:val="aa"/>
        <w:ind w:firstLineChars="0" w:firstLine="0"/>
        <w:rPr>
          <w:lang w:eastAsia="zh-TW"/>
        </w:rPr>
      </w:pPr>
      <w:r w:rsidRPr="00B224E4">
        <w:rPr>
          <w:rFonts w:ascii="黑体" w:eastAsia="黑体" w:hAnsi="黑体" w:hint="eastAsia"/>
          <w:b/>
          <w:bCs/>
          <w:lang w:eastAsia="zh-TW"/>
        </w:rPr>
        <w:t>關鍵字：</w:t>
      </w:r>
      <w:r w:rsidRPr="00B224E4">
        <w:rPr>
          <w:rFonts w:ascii="楷体" w:eastAsia="楷体" w:hAnsi="楷体" w:hint="eastAsia"/>
          <w:lang w:eastAsia="zh-TW"/>
        </w:rPr>
        <w:t>鬼神之明；送</w:t>
      </w:r>
      <w:r w:rsidRPr="00B224E4">
        <w:rPr>
          <w:rFonts w:ascii="楷体" w:eastAsia="楷体" w:hAnsi="楷体"/>
        </w:rPr>
        <w:drawing>
          <wp:inline distT="0" distB="0" distL="0" distR="0" wp14:anchorId="4BC9B922" wp14:editId="14D02B51">
            <wp:extent cx="121285" cy="150106"/>
            <wp:effectExtent l="0" t="0" r="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257" cy="172348"/>
                    </a:xfrm>
                    <a:prstGeom prst="rect">
                      <a:avLst/>
                    </a:prstGeom>
                    <a:noFill/>
                  </pic:spPr>
                </pic:pic>
              </a:graphicData>
            </a:graphic>
          </wp:inline>
        </w:drawing>
      </w:r>
      <w:r w:rsidRPr="00B224E4">
        <w:rPr>
          <w:rFonts w:ascii="楷体" w:eastAsia="楷体" w:hAnsi="楷体" w:hint="eastAsia"/>
          <w:lang w:eastAsia="zh-TW"/>
        </w:rPr>
        <w:t xml:space="preserve">公；秦穆公；伯嚭 </w:t>
      </w:r>
      <w:r w:rsidRPr="00B224E4">
        <w:rPr>
          <w:lang w:eastAsia="zh-TW"/>
        </w:rPr>
        <w:t xml:space="preserve"> </w:t>
      </w:r>
    </w:p>
    <w:p w14:paraId="77A63059" w14:textId="77777777" w:rsidR="00B224E4" w:rsidRPr="00B224E4" w:rsidRDefault="00B224E4" w:rsidP="00B224E4">
      <w:pPr>
        <w:rPr>
          <w:lang w:eastAsia="zh-TW"/>
        </w:rPr>
      </w:pPr>
    </w:p>
    <w:p w14:paraId="7E322C90" w14:textId="187D7489" w:rsidR="00B224E4" w:rsidRPr="00B224E4" w:rsidRDefault="00B224E4" w:rsidP="00B224E4">
      <w:pPr>
        <w:pStyle w:val="aa"/>
        <w:ind w:firstLine="560"/>
        <w:rPr>
          <w:lang w:eastAsia="zh-TW"/>
        </w:rPr>
      </w:pPr>
      <w:bookmarkStart w:id="4" w:name="_Hlk113385524"/>
      <w:r w:rsidRPr="00B224E4">
        <w:rPr>
          <w:rFonts w:hint="eastAsia"/>
          <w:lang w:eastAsia="zh-TW"/>
        </w:rPr>
        <w:t>關於上博簡五《鬼神之明》中的“送</w:t>
      </w:r>
      <w:bookmarkEnd w:id="4"/>
      <w:r w:rsidRPr="00B224E4">
        <w:rPr>
          <w:lang w:eastAsia="zh-TW"/>
        </w:rPr>
        <w:drawing>
          <wp:inline distT="0" distB="0" distL="0" distR="0" wp14:anchorId="111A6D5D" wp14:editId="3DE23F55">
            <wp:extent cx="128270" cy="146050"/>
            <wp:effectExtent l="0" t="0" r="508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Pr="00B224E4">
        <w:rPr>
          <w:rFonts w:hint="eastAsia"/>
          <w:lang w:eastAsia="zh-TW"/>
        </w:rPr>
        <w:t>公”，莫衷一是。整理者疑為“榮夷公”（或作“榮夷終”），也可能為“榮夷公”、“傅公夷”兩人，有待進一步研究。《墨子·所染》：“厲王染于厲公長父、榮夷終，幽王染于傅公夷、蔡公穀。”可以參看。</w:t>
      </w:r>
      <w:r w:rsidR="008E1E90">
        <w:rPr>
          <w:rStyle w:val="ae"/>
          <w:lang w:eastAsia="zh-TW"/>
        </w:rPr>
        <w:endnoteReference w:id="1"/>
      </w:r>
      <w:r w:rsidR="008E1E90" w:rsidRPr="00B224E4">
        <w:rPr>
          <w:rFonts w:hint="eastAsia"/>
          <w:lang w:eastAsia="zh-TW"/>
        </w:rPr>
        <w:t>據</w:t>
      </w:r>
      <w:r w:rsidRPr="00B224E4">
        <w:rPr>
          <w:rFonts w:hint="eastAsia"/>
          <w:lang w:eastAsia="zh-TW"/>
        </w:rPr>
        <w:t>此，李家浩先生已從古音與文意上加以否定，並就古音、“長年”與“亂人”三個角度，指出“送</w:t>
      </w:r>
      <w:r w:rsidRPr="00B224E4">
        <w:rPr>
          <w:lang w:eastAsia="zh-TW"/>
        </w:rPr>
        <w:drawing>
          <wp:inline distT="0" distB="0" distL="0" distR="0" wp14:anchorId="2BA482B6" wp14:editId="613749FF">
            <wp:extent cx="128270" cy="146050"/>
            <wp:effectExtent l="0" t="0" r="508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當為“秦穆公”</w:t>
      </w:r>
      <w:r w:rsidR="008E1E90">
        <w:rPr>
          <w:rStyle w:val="ae"/>
          <w:lang w:eastAsia="zh-TW"/>
        </w:rPr>
        <w:endnoteReference w:id="2"/>
      </w:r>
      <w:r w:rsidR="008E1E90" w:rsidRPr="00B224E4">
        <w:rPr>
          <w:rFonts w:hint="eastAsia"/>
          <w:lang w:eastAsia="zh-TW"/>
        </w:rPr>
        <w:t>。</w:t>
      </w:r>
      <w:r w:rsidRPr="00B224E4">
        <w:rPr>
          <w:rFonts w:hint="eastAsia"/>
          <w:lang w:eastAsia="zh-TW"/>
        </w:rPr>
        <w:t>實際上其説仍可商榷。從古音和“長年”的角度來看，“秦穆公”確有一定的合理性，但符合這</w:t>
      </w:r>
      <w:r w:rsidRPr="00B224E4">
        <w:rPr>
          <w:rFonts w:hint="eastAsia"/>
          <w:lang w:eastAsia="zh-TW"/>
        </w:rPr>
        <w:lastRenderedPageBreak/>
        <w:t>一條件的並非只有秦穆公一人。從“亂人”的角度來看，李氏所舉證據也並非確鑿不破，尚可再辨。</w:t>
      </w:r>
    </w:p>
    <w:p w14:paraId="65E494DC" w14:textId="5073E763" w:rsidR="00154B9A" w:rsidRPr="00B224E4" w:rsidRDefault="00B224E4" w:rsidP="00B224E4">
      <w:pPr>
        <w:pStyle w:val="aa"/>
        <w:ind w:firstLine="560"/>
        <w:rPr>
          <w:lang w:eastAsia="zh-TW"/>
        </w:rPr>
      </w:pPr>
      <w:r w:rsidRPr="00B224E4">
        <w:rPr>
          <w:rFonts w:hint="eastAsia"/>
          <w:lang w:eastAsia="zh-TW"/>
        </w:rPr>
        <w:t>李氏根據古書所論秦穆公謚號的來源，引用《史記·蒙恬列傳》和《風俗通·皇霸·五伯》中“【秦】穆公受鄭甘言，置戎而去；違黃髪之計，而遇殽之敗；殺賢臣百里奚；</w:t>
      </w:r>
      <w:bookmarkStart w:id="6" w:name="_Hlk113388736"/>
      <w:r w:rsidRPr="00B224E4">
        <w:rPr>
          <w:rFonts w:hint="eastAsia"/>
          <w:lang w:eastAsia="zh-TW"/>
        </w:rPr>
        <w:t>以子車氏為殉，詩《黃鳥》之所為作，故謚曰‘穆’”</w:t>
      </w:r>
      <w:bookmarkEnd w:id="6"/>
      <w:r w:rsidR="00154B9A">
        <w:rPr>
          <w:rStyle w:val="ae"/>
          <w:lang w:eastAsia="zh-TW"/>
        </w:rPr>
        <w:endnoteReference w:id="3"/>
      </w:r>
      <w:r w:rsidR="00154B9A" w:rsidRPr="00B224E4">
        <w:rPr>
          <w:rFonts w:hint="eastAsia"/>
          <w:lang w:eastAsia="zh-TW"/>
        </w:rPr>
        <w:t>的所記四事為證據，指出“秦穆公”符合簡文中“天下之亂人”的評價。實際皆可辯駁。</w:t>
      </w:r>
    </w:p>
    <w:p w14:paraId="0D2FA234" w14:textId="77777777" w:rsidR="00154B9A" w:rsidRPr="00B224E4" w:rsidRDefault="00154B9A" w:rsidP="00B224E4">
      <w:pPr>
        <w:pStyle w:val="aa"/>
        <w:ind w:firstLine="560"/>
        <w:rPr>
          <w:lang w:eastAsia="zh-TW"/>
        </w:rPr>
      </w:pPr>
      <w:r w:rsidRPr="00B224E4">
        <w:rPr>
          <w:rFonts w:hint="eastAsia"/>
          <w:lang w:eastAsia="zh-TW"/>
        </w:rPr>
        <w:t>關於“受鄭甘言，置戎而去”一事，秦晉本就有嫌隙，秦穆公幾次幫助晉君回國繼位，平定内亂，救助晉國度過饑荒之年</w:t>
      </w:r>
      <w:r w:rsidRPr="00B224E4">
        <w:rPr>
          <w:lang w:eastAsia="zh-TW"/>
        </w:rPr>
        <w:t>,</w:t>
      </w:r>
      <w:r w:rsidRPr="00B224E4">
        <w:rPr>
          <w:rFonts w:hint="eastAsia"/>
          <w:lang w:eastAsia="zh-TW"/>
        </w:rPr>
        <w:t>惠及晉國民眾，却屢遭晉君的背棄。《左傳》和清華簡《系年》均有體現。助鄭置戎此舉雖與晉有隙，但也不是什麼大問題。同時也如燭之武所言，此舉確是符合秦國利益的政治考量，也體現出秦穆公幫助小國的政治關懷。故此事不當為惡行，予以過多指責。</w:t>
      </w:r>
    </w:p>
    <w:p w14:paraId="776E560A" w14:textId="6AA2D8D1" w:rsidR="00154B9A" w:rsidRPr="00B224E4" w:rsidRDefault="00154B9A" w:rsidP="00B224E4">
      <w:pPr>
        <w:pStyle w:val="aa"/>
        <w:ind w:firstLine="560"/>
        <w:rPr>
          <w:lang w:eastAsia="zh-TW"/>
        </w:rPr>
      </w:pPr>
      <w:r w:rsidRPr="00B224E4">
        <w:rPr>
          <w:rFonts w:hint="eastAsia"/>
          <w:lang w:eastAsia="zh-TW"/>
        </w:rPr>
        <w:t>關於“違黃髪之計，而遇殽之敗”一事，確乎實情。秦穆公事後自省改過，素服郊次，待之於郊，鄉師而哭。《秦誓》自責悔過為“責人斯無難，惟受責俾如流，是惟艱哉！”</w:t>
      </w:r>
      <w:r>
        <w:rPr>
          <w:rStyle w:val="ae"/>
          <w:lang w:eastAsia="zh-TW"/>
        </w:rPr>
        <w:endnoteReference w:id="4"/>
      </w:r>
      <w:r w:rsidRPr="00B224E4">
        <w:rPr>
          <w:lang w:eastAsia="zh-TW"/>
        </w:rPr>
        <w:t xml:space="preserve"> </w:t>
      </w:r>
      <w:r w:rsidRPr="00B224E4">
        <w:rPr>
          <w:rFonts w:hint="eastAsia"/>
          <w:lang w:eastAsia="zh-TW"/>
        </w:rPr>
        <w:t>若言其敗亡秦師，不得人心。文公二年，秦晉大戰再敗，也並未受到指責，反而是兵眾報殽之役，師出有名。《説苑》記載秦穆公曾使三百人推鋒爭死，視死如歸，</w:t>
      </w:r>
      <w:r w:rsidRPr="00B224E4">
        <w:rPr>
          <w:rFonts w:hint="eastAsia"/>
          <w:lang w:eastAsia="zh-TW"/>
        </w:rPr>
        <w:lastRenderedPageBreak/>
        <w:t>以報食馬之德。其對普通民眾尚寬厚闊達，以德報怨，更何況是為國作戰的士兵，足見秦穆公殽之敗雖慘失兵眾，却不足以證明其不得人心，惡行昭彰。</w:t>
      </w:r>
    </w:p>
    <w:p w14:paraId="5EE7C3D4" w14:textId="5E031866" w:rsidR="00154B9A" w:rsidRPr="00B224E4" w:rsidRDefault="00154B9A" w:rsidP="00B224E4">
      <w:pPr>
        <w:pStyle w:val="aa"/>
        <w:ind w:firstLine="560"/>
        <w:rPr>
          <w:lang w:eastAsia="zh-TW"/>
        </w:rPr>
      </w:pPr>
      <w:r w:rsidRPr="00B224E4">
        <w:rPr>
          <w:rFonts w:hint="eastAsia"/>
          <w:lang w:eastAsia="zh-TW"/>
        </w:rPr>
        <w:t>關於“殺賢臣百里奚”一事，《蒙恬列傳》和《風俗通》全為猜測之語，不可盡信。百里奚之死，《商君書》説“秦國男女流涕”。這同于秦人哀挽三良死一事，可見哀憐痛惜之情，未必真有君殺之事。且百里奚其時年歲已高，其死未必為君殺，或為自然死亡。《秦誓》中也自悔“惟古之謀人，則曰未就予忌”，應當“尚猷詢茲黃髮，則罔所愆”。</w:t>
      </w:r>
      <w:r>
        <w:rPr>
          <w:rStyle w:val="ae"/>
          <w:lang w:eastAsia="zh-TW"/>
        </w:rPr>
        <w:endnoteReference w:id="5"/>
      </w:r>
      <w:r w:rsidRPr="00B224E4">
        <w:rPr>
          <w:lang w:eastAsia="zh-TW"/>
        </w:rPr>
        <w:t xml:space="preserve"> </w:t>
      </w:r>
      <w:r w:rsidRPr="00B224E4">
        <w:rPr>
          <w:rFonts w:hint="eastAsia"/>
          <w:lang w:eastAsia="zh-TW"/>
        </w:rPr>
        <w:t>秦穆公極其重賢，《史記·李斯列傳》曰：“昔繆公求士，西取由余於戎，東得百里奚于宛，迎蹇叔于宋，來丕豹、公孫支于晉。”</w:t>
      </w:r>
      <w:r>
        <w:rPr>
          <w:rStyle w:val="ae"/>
          <w:lang w:eastAsia="zh-TW"/>
        </w:rPr>
        <w:endnoteReference w:id="6"/>
      </w:r>
      <w:r w:rsidRPr="00B224E4">
        <w:rPr>
          <w:rFonts w:hint="eastAsia"/>
          <w:lang w:eastAsia="zh-TW"/>
        </w:rPr>
        <w:t>求士不易，賢臣難得，秦穆公不會因一時的意見不合，而錯殺賢臣。即令秦穆公衝動之下殺了賢臣百里奚，百里奚之子孟明視則對其有殺父之仇，如何能在其後效忠穆公，增修國政，重施於民。孟明視且借趙成子之口説出“毋念爾祖，聿修厥德”之語，而秦穆公其後又重用了百里孟明視，幾番原諒孟明視的戰敗行為，相信並重用其施行國政。如若君殺賢臣百里奚，則難以解釋上述君臣行為。故從百里奚的年歲、秦穆公的性格以及孟明視的行為來看，秦穆公不當有“殺賢臣百里奚”一事。</w:t>
      </w:r>
    </w:p>
    <w:p w14:paraId="7C508224" w14:textId="48CB99EA" w:rsidR="00154B9A" w:rsidRPr="00B224E4" w:rsidRDefault="00154B9A" w:rsidP="00B224E4">
      <w:pPr>
        <w:pStyle w:val="aa"/>
        <w:ind w:firstLine="560"/>
        <w:rPr>
          <w:lang w:eastAsia="zh-TW"/>
        </w:rPr>
      </w:pPr>
      <w:r w:rsidRPr="00B224E4">
        <w:rPr>
          <w:rFonts w:hint="eastAsia"/>
          <w:lang w:eastAsia="zh-TW"/>
        </w:rPr>
        <w:lastRenderedPageBreak/>
        <w:t>關於“以子車氏為殉”一事，歷來説法不一，目前主要有穆公迫害説、康公殉葬説、三良從死説三種觀點。《史記》、《左傳》和《毛詩序》，在提及“三良之死”和秦穆公的關係時，都是用的“從死”二字表述。楊伯峻先生認為“先秦皆謂三良被殺，自殺之説，或起于漢人”</w:t>
      </w:r>
      <w:r>
        <w:rPr>
          <w:rStyle w:val="ae"/>
          <w:lang w:eastAsia="zh-TW"/>
        </w:rPr>
        <w:endnoteReference w:id="7"/>
      </w:r>
      <w:r w:rsidRPr="00B224E4">
        <w:rPr>
          <w:rFonts w:hint="eastAsia"/>
          <w:lang w:eastAsia="zh-TW"/>
        </w:rPr>
        <w:t xml:space="preserve"> 。反映出先秦與漢代文本的表述不同。</w:t>
      </w:r>
    </w:p>
    <w:p w14:paraId="379D8F06" w14:textId="7B9C55AB" w:rsidR="00154B9A" w:rsidRPr="00B224E4" w:rsidRDefault="00154B9A" w:rsidP="00B224E4">
      <w:pPr>
        <w:pStyle w:val="aa"/>
        <w:ind w:firstLine="560"/>
        <w:rPr>
          <w:lang w:eastAsia="zh-TW"/>
        </w:rPr>
      </w:pPr>
      <w:r w:rsidRPr="00B224E4">
        <w:rPr>
          <w:rFonts w:hint="eastAsia"/>
          <w:lang w:eastAsia="zh-TW"/>
        </w:rPr>
        <w:t>從秦國的風俗習性來看，先秦三良自殺説並非無據。</w:t>
      </w:r>
      <w:bookmarkStart w:id="7" w:name="_Hlk113438443"/>
      <w:r w:rsidRPr="00B224E4">
        <w:rPr>
          <w:rFonts w:hint="eastAsia"/>
          <w:lang w:eastAsia="zh-TW"/>
        </w:rPr>
        <w:t>秦國盛行殉葬之風，《史記·秦本紀》曰：</w:t>
      </w:r>
      <w:bookmarkEnd w:id="7"/>
      <w:r w:rsidRPr="00B224E4">
        <w:rPr>
          <w:rFonts w:hint="eastAsia"/>
          <w:lang w:eastAsia="zh-TW"/>
        </w:rPr>
        <w:t>“二十年，武公卒，葬雍平陽。初以人從死，從死者六十六人。”</w:t>
      </w:r>
      <w:r>
        <w:rPr>
          <w:rStyle w:val="ae"/>
          <w:lang w:eastAsia="zh-TW"/>
        </w:rPr>
        <w:endnoteReference w:id="8"/>
      </w:r>
      <w:r w:rsidRPr="00B224E4">
        <w:rPr>
          <w:rFonts w:hint="eastAsia"/>
          <w:lang w:eastAsia="zh-TW"/>
        </w:rPr>
        <w:t>其後言“三十九年，繆公卒，葬雍。從死者百七十七人，秦之良臣子輿氏三人名曰奄息、仲行、針虎，亦在從死之中。秦人哀之，為作歌黃鳥之詩。”</w:t>
      </w:r>
      <w:r>
        <w:rPr>
          <w:rStyle w:val="ae"/>
          <w:lang w:eastAsia="zh-TW"/>
        </w:rPr>
        <w:endnoteReference w:id="9"/>
      </w:r>
      <w:r w:rsidRPr="00B224E4">
        <w:rPr>
          <w:rFonts w:hint="eastAsia"/>
          <w:lang w:eastAsia="zh-TW"/>
        </w:rPr>
        <w:t>秦都雍城發現的春秋晚期的秦景公大墓，經發掘證實，被殉者多達</w:t>
      </w:r>
      <w:r w:rsidRPr="00B224E4">
        <w:rPr>
          <w:lang w:eastAsia="zh-TW"/>
        </w:rPr>
        <w:t>182</w:t>
      </w:r>
      <w:r w:rsidRPr="00B224E4">
        <w:rPr>
          <w:rFonts w:hint="eastAsia"/>
          <w:lang w:eastAsia="zh-TW"/>
        </w:rPr>
        <w:t>人。侯馬喬村發現的秦滅三晉後的秦人墓，其中</w:t>
      </w:r>
      <w:r w:rsidRPr="00B224E4">
        <w:rPr>
          <w:lang w:eastAsia="zh-TW"/>
        </w:rPr>
        <w:t>10</w:t>
      </w:r>
      <w:r w:rsidRPr="00B224E4">
        <w:rPr>
          <w:rFonts w:hint="eastAsia"/>
          <w:lang w:eastAsia="zh-TW"/>
        </w:rPr>
        <w:t>座發現有殉人，共殉葬</w:t>
      </w:r>
      <w:r w:rsidRPr="00B224E4">
        <w:rPr>
          <w:lang w:eastAsia="zh-TW"/>
        </w:rPr>
        <w:t>38</w:t>
      </w:r>
      <w:r w:rsidRPr="00B224E4">
        <w:rPr>
          <w:rFonts w:hint="eastAsia"/>
          <w:lang w:eastAsia="zh-TW"/>
        </w:rPr>
        <w:t>人。證明了殉葬之風在秦國盛行已久，是一種普遍現象。據研究，春秋戰國時期殉人身份有了較大的變化，殉人除近親、臣下和家内僕從外，還有不少大臣、義士被捲入了殉人的行列。</w:t>
      </w:r>
      <w:r>
        <w:rPr>
          <w:rStyle w:val="ae"/>
          <w:lang w:eastAsia="zh-TW"/>
        </w:rPr>
        <w:endnoteReference w:id="10"/>
      </w:r>
      <w:r w:rsidRPr="00B224E4">
        <w:rPr>
          <w:rFonts w:hint="eastAsia"/>
          <w:lang w:eastAsia="zh-TW"/>
        </w:rPr>
        <w:t>此種風氣並非秦國獨有。楚、趙、齊諸國皆有，只是不如秦國這樣以人數眾多、以賢從死的殉葬習俗令人駭目。</w:t>
      </w:r>
    </w:p>
    <w:p w14:paraId="32849B0B" w14:textId="5C498C9F" w:rsidR="00154B9A" w:rsidRPr="00B224E4" w:rsidRDefault="00154B9A" w:rsidP="00B224E4">
      <w:pPr>
        <w:pStyle w:val="aa"/>
        <w:ind w:firstLine="560"/>
        <w:rPr>
          <w:lang w:eastAsia="zh-TW"/>
        </w:rPr>
      </w:pPr>
      <w:r w:rsidRPr="00B224E4">
        <w:rPr>
          <w:rFonts w:hint="eastAsia"/>
          <w:lang w:eastAsia="zh-TW"/>
        </w:rPr>
        <w:t>從秦穆公的個人品德來看，秦穆公重視賢才、寬信得人。據《漢</w:t>
      </w:r>
      <w:r w:rsidRPr="00B224E4">
        <w:rPr>
          <w:rFonts w:hint="eastAsia"/>
          <w:lang w:eastAsia="zh-TW"/>
        </w:rPr>
        <w:lastRenderedPageBreak/>
        <w:t>書·匡橫傳》載：“秦穆貴信，而士多從死”，應劭注曰：“秦穆公與群臣飲酒酣，公曰：‘生共此樂，死共此哀。’於是奄息、仲行、鍼虎許諾‘及公薨，皆從死’。”</w:t>
      </w:r>
      <w:r>
        <w:rPr>
          <w:rStyle w:val="ae"/>
          <w:lang w:eastAsia="zh-TW"/>
        </w:rPr>
        <w:endnoteReference w:id="11"/>
      </w:r>
      <w:r w:rsidRPr="00B224E4">
        <w:rPr>
          <w:rFonts w:hint="eastAsia"/>
          <w:lang w:eastAsia="zh-TW"/>
        </w:rPr>
        <w:t>由此可知，三良和秦穆公是早有</w:t>
      </w:r>
      <w:r w:rsidRPr="00B224E4">
        <w:rPr>
          <w:lang w:eastAsia="zh-TW"/>
        </w:rPr>
        <w:t>“</w:t>
      </w:r>
      <w:r w:rsidRPr="00B224E4">
        <w:rPr>
          <w:rFonts w:hint="eastAsia"/>
          <w:lang w:eastAsia="zh-TW"/>
        </w:rPr>
        <w:t>生死共隨</w:t>
      </w:r>
      <w:r w:rsidRPr="00B224E4">
        <w:rPr>
          <w:lang w:eastAsia="zh-TW"/>
        </w:rPr>
        <w:t>”</w:t>
      </w:r>
      <w:r w:rsidRPr="00B224E4">
        <w:rPr>
          <w:rFonts w:hint="eastAsia"/>
          <w:lang w:eastAsia="zh-TW"/>
        </w:rPr>
        <w:t>的義殉諾言在先。結合秦人重諾貴信、不懼生死的性格，將追隨君主生死視為一種榮耀，故而三良從死是為了履行和秦穆公之間的承諾，同時也是希望通過這種方式證明自己對穆公的忠信。</w:t>
      </w:r>
    </w:p>
    <w:p w14:paraId="243CC1E0" w14:textId="77777777" w:rsidR="00154B9A" w:rsidRPr="00B224E4" w:rsidRDefault="00154B9A" w:rsidP="00B224E4">
      <w:pPr>
        <w:pStyle w:val="aa"/>
        <w:ind w:firstLine="560"/>
        <w:rPr>
          <w:lang w:eastAsia="zh-TW"/>
        </w:rPr>
      </w:pPr>
      <w:r w:rsidRPr="00B224E4">
        <w:rPr>
          <w:rFonts w:hint="eastAsia"/>
          <w:lang w:eastAsia="zh-TW"/>
        </w:rPr>
        <w:t>至於是秦穆公或是秦康公殺三良的説法，莫衷一是。</w:t>
      </w:r>
      <w:bookmarkStart w:id="10" w:name="_Hlk113441744"/>
      <w:r w:rsidRPr="00B224E4">
        <w:rPr>
          <w:rFonts w:hint="eastAsia"/>
          <w:lang w:eastAsia="zh-TW"/>
        </w:rPr>
        <w:t>《詩經·黃鳥》更多表達的是一種痛惜三良死於殘酷的殉葬制度的哀挽之情。</w:t>
      </w:r>
      <w:bookmarkEnd w:id="10"/>
      <w:r w:rsidRPr="00B224E4">
        <w:rPr>
          <w:rFonts w:hint="eastAsia"/>
          <w:lang w:eastAsia="zh-TW"/>
        </w:rPr>
        <w:t>《左傳》與《史記》也只是從人性關懷的角度出發，以其不霸不盟的結果，來歸咎秦穆公，以此指責這種殉葬制度的殘酷慘烈。秦穆公未必真下令殺三良，但三良確因秦穆公而死。這也是後來聚訟的因由。</w:t>
      </w:r>
    </w:p>
    <w:p w14:paraId="49E66FCA" w14:textId="77777777" w:rsidR="00154B9A" w:rsidRPr="00B224E4" w:rsidRDefault="00154B9A" w:rsidP="00B224E4">
      <w:pPr>
        <w:pStyle w:val="aa"/>
        <w:ind w:firstLine="560"/>
        <w:rPr>
          <w:lang w:eastAsia="zh-TW"/>
        </w:rPr>
      </w:pPr>
      <w:r w:rsidRPr="00B224E4">
        <w:rPr>
          <w:rFonts w:hint="eastAsia"/>
          <w:lang w:eastAsia="zh-TW"/>
        </w:rPr>
        <w:t>因而，從秦國的殉葬習俗、個人品質來看，秦穆公未必真有下令殺三良之事。即令真有，《左傳》與《史記》以秦穆公不霸不盟的結果加以批駁，正好回應了“鬼神之明”的主題，如此又怎能體現其與伍子胥對比後“鬼神不明”的思想呢？</w:t>
      </w:r>
    </w:p>
    <w:p w14:paraId="285B61D0" w14:textId="2339A25F" w:rsidR="00154B9A" w:rsidRPr="00B224E4" w:rsidRDefault="00154B9A" w:rsidP="00B224E4">
      <w:pPr>
        <w:pStyle w:val="aa"/>
        <w:ind w:firstLine="560"/>
        <w:rPr>
          <w:lang w:eastAsia="zh-TW"/>
        </w:rPr>
      </w:pPr>
      <w:r w:rsidRPr="00B224E4">
        <w:rPr>
          <w:rFonts w:hint="eastAsia"/>
          <w:lang w:eastAsia="zh-TW"/>
        </w:rPr>
        <w:t>關於秦穆公謚號的問題，穆作為常用謚號，先秦時期就有多人使用過。金文中也常常出現穆公的名號。春秋戰國時期謚號為穆的有秦穆公、宋穆公、鄭穆公、魯穆公、衛穆公、曹穆公、單穆公、小邾穆</w:t>
      </w:r>
      <w:r w:rsidRPr="00B224E4">
        <w:rPr>
          <w:rFonts w:hint="eastAsia"/>
          <w:lang w:eastAsia="zh-TW"/>
        </w:rPr>
        <w:lastRenderedPageBreak/>
        <w:t>公、陳穆公、召穆公等。在肯定李氏將“</w:t>
      </w:r>
      <w:r w:rsidRPr="00B224E4">
        <w:rPr>
          <w:lang w:eastAsia="zh-TW"/>
        </w:rPr>
        <w:drawing>
          <wp:inline distT="0" distB="0" distL="0" distR="0" wp14:anchorId="211E9939" wp14:editId="2DE8F487">
            <wp:extent cx="128270" cy="146050"/>
            <wp:effectExtent l="0" t="0" r="508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46050"/>
                    </a:xfrm>
                    <a:prstGeom prst="rect">
                      <a:avLst/>
                    </a:prstGeom>
                    <a:noFill/>
                  </pic:spPr>
                </pic:pic>
              </a:graphicData>
            </a:graphic>
          </wp:inline>
        </w:drawing>
      </w:r>
      <w:r w:rsidRPr="00B224E4">
        <w:rPr>
          <w:rFonts w:hint="eastAsia"/>
          <w:lang w:eastAsia="zh-TW"/>
        </w:rPr>
        <w:t>”讀為“繆”，“繆”與“穆”古通用的基礎上，符合簡文中“長年而死”的人，有秦穆公（在位</w:t>
      </w:r>
      <w:r w:rsidRPr="00B224E4">
        <w:rPr>
          <w:lang w:eastAsia="zh-TW"/>
        </w:rPr>
        <w:t>39</w:t>
      </w:r>
      <w:r w:rsidRPr="00B224E4">
        <w:rPr>
          <w:rFonts w:hint="eastAsia"/>
          <w:lang w:eastAsia="zh-TW"/>
        </w:rPr>
        <w:t>年）、鄭穆公（在位</w:t>
      </w:r>
      <w:r w:rsidRPr="00B224E4">
        <w:rPr>
          <w:lang w:eastAsia="zh-TW"/>
        </w:rPr>
        <w:t>43</w:t>
      </w:r>
      <w:r w:rsidRPr="00B224E4">
        <w:rPr>
          <w:rFonts w:hint="eastAsia"/>
          <w:lang w:eastAsia="zh-TW"/>
        </w:rPr>
        <w:t>年）、魯穆公（在位</w:t>
      </w:r>
      <w:r w:rsidRPr="00B224E4">
        <w:rPr>
          <w:lang w:eastAsia="zh-TW"/>
        </w:rPr>
        <w:t>33</w:t>
      </w:r>
      <w:r w:rsidRPr="00B224E4">
        <w:rPr>
          <w:rFonts w:hint="eastAsia"/>
          <w:lang w:eastAsia="zh-TW"/>
        </w:rPr>
        <w:t>年）、小邾穆公（起碼在位</w:t>
      </w:r>
      <w:r w:rsidRPr="00B224E4">
        <w:rPr>
          <w:lang w:eastAsia="zh-TW"/>
        </w:rPr>
        <w:t>41</w:t>
      </w:r>
      <w:r w:rsidRPr="00B224E4">
        <w:rPr>
          <w:rFonts w:hint="eastAsia"/>
          <w:lang w:eastAsia="zh-TW"/>
        </w:rPr>
        <w:t>年）。這四位穆公的史書評價並不低。鄭穆公在位時期，先後與楚國、晉國結盟，左右斡旋，使得免遭亡國之險。《史記》引鄭國大夫石癸贊其“餘庶子無如蘭賢”，記其“時蘭事晉文公甚謹，愛幸之”。魯穆公注重禮賢下士，隆禮子思，諮以國事；容許墨翟在魯授徒傳道，組織學派，使魯國一度出現安定局面。相關言論也可見郭店楚簡《魯穆公問子思》。小邾穆公作為小國君主，不忘魯惠，向魯國朝貢。除却秦穆公外，可見後三位長年的穆公也符合“布德執義曰穆，中情見貌曰穆”的謚號要求，且秦穆公的個人成就與歷史意義明顯高於後三位，除却殺三良這一爭議事件外，並無太大過錯。“名實過爽曰繆”雖為惡謚，但郭沫若先生指出兩周王號中的“幽、厲、靈、夷、湣、煬、荒、燥”均有善義。未必“繆”者在早期不有善義。且臣子也不宜給君主上惡謚。楚共王自請為‘靈’若‘厲’，子囊尚改為“共”。秦穆公比之楚平王對待臣下的態度，何以臣下會給穆公冠“繆”這一惡謚。指明“繆”為惡謚的兩部書，也可再辨。《史記·蒙恬列傳》曰：“昔者秦穆公殺三良而死，罪百里奚而非其罪也，故</w:t>
      </w:r>
      <w:r w:rsidRPr="00B224E4">
        <w:rPr>
          <w:rFonts w:hint="eastAsia"/>
          <w:lang w:eastAsia="zh-TW"/>
        </w:rPr>
        <w:lastRenderedPageBreak/>
        <w:t>立號曰‘繆’。”</w:t>
      </w:r>
      <w:r>
        <w:rPr>
          <w:rStyle w:val="ae"/>
          <w:lang w:eastAsia="zh-TW"/>
        </w:rPr>
        <w:endnoteReference w:id="12"/>
      </w:r>
      <w:r w:rsidRPr="00B224E4">
        <w:rPr>
          <w:lang w:eastAsia="zh-TW"/>
        </w:rPr>
        <w:t xml:space="preserve"> </w:t>
      </w:r>
      <w:r w:rsidRPr="00B224E4">
        <w:rPr>
          <w:rFonts w:hint="eastAsia"/>
          <w:lang w:eastAsia="zh-TW"/>
        </w:rPr>
        <w:t>蒙恬此語重在表明因君主不明而忠臣慘死，自己不能無罪而死的政治立場。這是急於開脫求生的話語，未必真合穆公謚號由來的實情。《風俗通·皇霸·五伯》存在讚揚齊桓晉文，貶低秦穆公、宋襄公和楚莊王的政治立場，認為後者並未做到鹹建五長，功實明白，糾率同盟的伯霸功績。關於秦穆公殺三良一事，《風俗通》認為秦穆公“以子車氏為殉”，而《史記正義》引應劭又説：“秦穆公與群臣飲，酒酣，公曰：‘生共此樂，死共此哀。’於是奄息、仲行、針虎許諾。及公薨，皆從死。”</w:t>
      </w:r>
      <w:r>
        <w:rPr>
          <w:rStyle w:val="ae"/>
          <w:lang w:eastAsia="zh-TW"/>
        </w:rPr>
        <w:endnoteReference w:id="13"/>
      </w:r>
      <w:r w:rsidRPr="00B224E4">
        <w:rPr>
          <w:rFonts w:hint="eastAsia"/>
          <w:lang w:eastAsia="zh-TW"/>
        </w:rPr>
        <w:t>同一作者，觀點前後矛盾不一，令人費解。</w:t>
      </w:r>
    </w:p>
    <w:p w14:paraId="54C442B3" w14:textId="77777777" w:rsidR="00154B9A" w:rsidRPr="00B224E4" w:rsidRDefault="00154B9A" w:rsidP="00B224E4">
      <w:pPr>
        <w:pStyle w:val="aa"/>
        <w:ind w:firstLine="560"/>
        <w:rPr>
          <w:lang w:eastAsia="zh-TW"/>
        </w:rPr>
      </w:pPr>
      <w:r w:rsidRPr="00B224E4">
        <w:rPr>
          <w:rFonts w:hint="eastAsia"/>
          <w:lang w:eastAsia="zh-TW"/>
        </w:rPr>
        <w:t>再看簡文中“天下之亂人”的評價，秦穆公殺三良之事，確實讓人憤慨，《左傳》與《史記》也就此指責他不具備結盟稱霸的條件。遍檢相關資料，結合他的種種行跡以及後來史書評價，歷來對秦穆公的評價都是褒多貶少，即便存在一些爭議性的事件，也只是出現了一些小範圍的波動影響，並没有對中原各國以及秦國自身發展產生巨大的惡性影響，自然也遠没有達到“天下之亂人”的地步。</w:t>
      </w:r>
    </w:p>
    <w:p w14:paraId="083FBA94" w14:textId="6BA2E14A" w:rsidR="00154B9A" w:rsidRPr="00B224E4" w:rsidRDefault="00154B9A" w:rsidP="00B224E4">
      <w:pPr>
        <w:pStyle w:val="aa"/>
        <w:ind w:firstLine="560"/>
        <w:rPr>
          <w:lang w:eastAsia="zh-TW"/>
        </w:rPr>
      </w:pPr>
      <w:r w:rsidRPr="00B224E4">
        <w:rPr>
          <w:rFonts w:hint="eastAsia"/>
          <w:lang w:eastAsia="zh-TW"/>
        </w:rPr>
        <w:t>《鬼神之明》與墨家思想密切相關，且看《墨子》一書對秦穆公的評價。《明鬼下》曰：“昔者鄭穆公，當晝日中處乎廟，有神入門而左，鳥身，素服三絕，面狀正方。鄭穆公見之，乃恐懼奔，神曰：</w:t>
      </w:r>
      <w:r w:rsidRPr="00B224E4">
        <w:rPr>
          <w:rFonts w:hint="eastAsia"/>
          <w:lang w:eastAsia="zh-TW"/>
        </w:rPr>
        <w:lastRenderedPageBreak/>
        <w:t>‘無懼！帝享女明德，使予錫女壽十年有九，使若國家蕃昌，子孫茂，毋失。鄭穆公再拜稽首曰：</w:t>
      </w:r>
      <w:r w:rsidRPr="00B224E4">
        <w:rPr>
          <w:lang w:eastAsia="zh-TW"/>
        </w:rPr>
        <w:t>‘</w:t>
      </w:r>
      <w:r w:rsidRPr="00B224E4">
        <w:rPr>
          <w:rFonts w:hint="eastAsia"/>
          <w:lang w:eastAsia="zh-TW"/>
        </w:rPr>
        <w:t>敢問神名？</w:t>
      </w:r>
      <w:r w:rsidRPr="00B224E4">
        <w:rPr>
          <w:lang w:eastAsia="zh-TW"/>
        </w:rPr>
        <w:t>’</w:t>
      </w:r>
      <w:r w:rsidRPr="00B224E4">
        <w:rPr>
          <w:rFonts w:hint="eastAsia"/>
          <w:lang w:eastAsia="zh-TW"/>
        </w:rPr>
        <w:t>曰：</w:t>
      </w:r>
      <w:r w:rsidRPr="00B224E4">
        <w:rPr>
          <w:lang w:eastAsia="zh-TW"/>
        </w:rPr>
        <w:t>‘</w:t>
      </w:r>
      <w:r w:rsidRPr="00B224E4">
        <w:rPr>
          <w:rFonts w:hint="eastAsia"/>
          <w:lang w:eastAsia="zh-TW"/>
        </w:rPr>
        <w:t>予為句芒。</w:t>
      </w:r>
      <w:r w:rsidRPr="00B224E4">
        <w:rPr>
          <w:lang w:eastAsia="zh-TW"/>
        </w:rPr>
        <w:t>’</w:t>
      </w:r>
      <w:r w:rsidRPr="00B224E4">
        <w:rPr>
          <w:rFonts w:hint="eastAsia"/>
          <w:lang w:eastAsia="zh-TW"/>
        </w:rPr>
        <w:t>若以鄭穆公之所身見為儀，則鬼神之有，豈可疑哉？”</w:t>
      </w:r>
      <w:r>
        <w:rPr>
          <w:rStyle w:val="ae"/>
          <w:lang w:eastAsia="zh-TW"/>
        </w:rPr>
        <w:endnoteReference w:id="14"/>
      </w:r>
    </w:p>
    <w:p w14:paraId="0FE56250" w14:textId="77777777" w:rsidR="00154B9A" w:rsidRPr="00B224E4" w:rsidRDefault="00154B9A" w:rsidP="00B224E4">
      <w:pPr>
        <w:pStyle w:val="aa"/>
        <w:ind w:firstLine="560"/>
        <w:rPr>
          <w:lang w:eastAsia="zh-TW"/>
        </w:rPr>
      </w:pPr>
      <w:bookmarkStart w:id="12" w:name="_Hlk113547972"/>
      <w:r w:rsidRPr="00B224E4">
        <w:rPr>
          <w:rFonts w:hint="eastAsia"/>
          <w:lang w:eastAsia="zh-TW"/>
        </w:rPr>
        <w:t xml:space="preserve">郭璞、孫詒讓以及李氏均認同此處之“鄭穆公”當為秦穆公，而《鬼神之明》又與墨家關係密切，何以《明鬼》承認秦穆公的明德，賜壽延國。而《鬼神之明》反指責其為失德的“天下之亂人”，豈不前後矛盾相悖。 </w:t>
      </w:r>
    </w:p>
    <w:bookmarkEnd w:id="12"/>
    <w:p w14:paraId="6DF9406C" w14:textId="77777777" w:rsidR="00154B9A" w:rsidRPr="00B224E4" w:rsidRDefault="00154B9A" w:rsidP="00B224E4">
      <w:pPr>
        <w:pStyle w:val="aa"/>
        <w:ind w:firstLine="560"/>
        <w:rPr>
          <w:lang w:eastAsia="zh-TW"/>
        </w:rPr>
      </w:pPr>
      <w:r w:rsidRPr="00B224E4">
        <w:rPr>
          <w:rFonts w:hint="eastAsia"/>
          <w:lang w:eastAsia="zh-TW"/>
        </w:rPr>
        <w:t>總的來説，將秦穆公指為“天下之亂人”，是不大符合史書評價與墨家的看法。</w:t>
      </w:r>
      <w:bookmarkStart w:id="13" w:name="_Hlk113519379"/>
      <w:r w:rsidRPr="00B224E4">
        <w:rPr>
          <w:rFonts w:hint="eastAsia"/>
          <w:lang w:eastAsia="zh-TW"/>
        </w:rPr>
        <w:t>經重新研究，“送</w:t>
      </w:r>
      <w:bookmarkEnd w:id="13"/>
      <w:r w:rsidRPr="00B224E4">
        <w:rPr>
          <w:lang w:eastAsia="zh-TW"/>
        </w:rPr>
        <w:drawing>
          <wp:inline distT="0" distB="0" distL="0" distR="0" wp14:anchorId="5CF9AA32" wp14:editId="7103211E">
            <wp:extent cx="100418" cy="114337"/>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17" cy="114792"/>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當為“龔繆公”，為與伍子胥同殿為臣的“伯嚭”。</w:t>
      </w:r>
    </w:p>
    <w:p w14:paraId="0E295344" w14:textId="3219848F" w:rsidR="00154B9A" w:rsidRPr="00B224E4" w:rsidRDefault="00154B9A" w:rsidP="00B224E4">
      <w:pPr>
        <w:pStyle w:val="aa"/>
        <w:ind w:firstLine="560"/>
        <w:rPr>
          <w:lang w:eastAsia="zh-TW"/>
        </w:rPr>
      </w:pPr>
      <w:r w:rsidRPr="00B224E4">
        <w:rPr>
          <w:rFonts w:hint="eastAsia"/>
          <w:lang w:eastAsia="zh-TW"/>
        </w:rPr>
        <w:t>從古音來看，經李氏研究,</w:t>
      </w:r>
      <w:r w:rsidRPr="00B224E4">
        <w:rPr>
          <w:lang w:eastAsia="zh-TW"/>
        </w:rPr>
        <w:t>“</w:t>
      </w:r>
      <w:r w:rsidRPr="00B224E4">
        <w:rPr>
          <w:rFonts w:hint="eastAsia"/>
          <w:lang w:val="zh-TW" w:eastAsia="zh-TW"/>
        </w:rPr>
        <w:drawing>
          <wp:inline distT="0" distB="0" distL="0" distR="0" wp14:anchorId="201A7DC0" wp14:editId="33570059">
            <wp:extent cx="139562" cy="152437"/>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pic:nvPicPr>
                  <pic:blipFill rotWithShape="1">
                    <a:blip r:embed="rId12" cstate="print">
                      <a:extLst>
                        <a:ext uri="{28A0092B-C50C-407E-A947-70E740481C1C}">
                          <a14:useLocalDpi xmlns:a14="http://schemas.microsoft.com/office/drawing/2010/main" val="0"/>
                        </a:ext>
                      </a:extLst>
                    </a:blip>
                    <a:srcRect l="46599" t="73054" r="50194" b="20718"/>
                    <a:stretch/>
                  </pic:blipFill>
                  <pic:spPr bwMode="auto">
                    <a:xfrm>
                      <a:off x="0" y="0"/>
                      <a:ext cx="141288" cy="154322"/>
                    </a:xfrm>
                    <a:prstGeom prst="rect">
                      <a:avLst/>
                    </a:prstGeom>
                    <a:ln>
                      <a:noFill/>
                    </a:ln>
                    <a:extLst>
                      <a:ext uri="{53640926-AAD7-44D8-BBD7-CCE9431645EC}">
                        <a14:shadowObscured xmlns:a14="http://schemas.microsoft.com/office/drawing/2010/main"/>
                      </a:ext>
                    </a:extLst>
                  </pic:spPr>
                </pic:pic>
              </a:graphicData>
            </a:graphic>
          </wp:inline>
        </w:drawing>
      </w:r>
      <w:r w:rsidRPr="00B224E4">
        <w:rPr>
          <w:lang w:eastAsia="zh-TW"/>
        </w:rPr>
        <w:t>”</w:t>
      </w:r>
      <w:r w:rsidRPr="00B224E4">
        <w:rPr>
          <w:rFonts w:hint="eastAsia"/>
          <w:lang w:eastAsia="zh-TW"/>
        </w:rPr>
        <w:t>為“送”的異體，為方便表達，下徑書為“送”。“送”為心母東部字，“龔”為見母東部字。心母與見母關係比較接近。</w:t>
      </w:r>
      <w:r>
        <w:rPr>
          <w:rStyle w:val="ae"/>
          <w:lang w:eastAsia="zh-TW"/>
        </w:rPr>
        <w:endnoteReference w:id="15"/>
      </w:r>
      <w:r w:rsidRPr="00B224E4">
        <w:rPr>
          <w:rFonts w:hint="eastAsia"/>
          <w:lang w:eastAsia="zh-TW"/>
        </w:rPr>
        <w:t>聲母部分，心母為齒頭音，見母為牙音。據國一姝的研究，心母與牙音通</w:t>
      </w:r>
      <w:r w:rsidRPr="00B224E4">
        <w:rPr>
          <w:lang w:eastAsia="zh-TW"/>
        </w:rPr>
        <w:t>43</w:t>
      </w:r>
      <w:r w:rsidRPr="00B224E4">
        <w:rPr>
          <w:rFonts w:hint="eastAsia"/>
          <w:lang w:eastAsia="zh-TW"/>
        </w:rPr>
        <w:t>次，與牙音諧</w:t>
      </w:r>
      <w:r w:rsidRPr="00B224E4">
        <w:rPr>
          <w:lang w:eastAsia="zh-TW"/>
        </w:rPr>
        <w:t>18</w:t>
      </w:r>
      <w:r w:rsidRPr="00B224E4">
        <w:rPr>
          <w:rFonts w:hint="eastAsia"/>
          <w:lang w:eastAsia="zh-TW"/>
        </w:rPr>
        <w:t>次。</w:t>
      </w:r>
      <w:r>
        <w:rPr>
          <w:rStyle w:val="ae"/>
          <w:lang w:eastAsia="zh-TW"/>
        </w:rPr>
        <w:endnoteReference w:id="16"/>
      </w:r>
      <w:r w:rsidRPr="00B224E4">
        <w:rPr>
          <w:rFonts w:hint="eastAsia"/>
          <w:lang w:eastAsia="zh-TW"/>
        </w:rPr>
        <w:t>公字聲系中見母的公、心母的淞、頌互諧。匀字聲系中，心母的荀、峋，見母的均互諧。見字聲系中心母的祟、見母的屈互諧。歳為心母字，從刀歲聲的劌為見母字。韻母部分，“送”、“龔”同屬東韻，所以簡文中的“送”可讀為“龔”。</w:t>
      </w:r>
    </w:p>
    <w:p w14:paraId="626C1E0F" w14:textId="08096B34" w:rsidR="00154B9A" w:rsidRPr="00B224E4" w:rsidRDefault="00154B9A" w:rsidP="00B224E4">
      <w:pPr>
        <w:pStyle w:val="aa"/>
        <w:ind w:firstLine="560"/>
        <w:rPr>
          <w:lang w:eastAsia="zh-TW"/>
        </w:rPr>
      </w:pPr>
      <w:r w:rsidRPr="00B224E4">
        <w:rPr>
          <w:rFonts w:hint="eastAsia"/>
          <w:lang w:eastAsia="zh-TW"/>
        </w:rPr>
        <w:lastRenderedPageBreak/>
        <w:t>至於“</w:t>
      </w:r>
      <w:r w:rsidRPr="00B224E4">
        <w:rPr>
          <w:lang w:eastAsia="zh-TW"/>
        </w:rPr>
        <w:drawing>
          <wp:inline distT="0" distB="0" distL="0" distR="0" wp14:anchorId="2BB528C1" wp14:editId="7ACC3B3C">
            <wp:extent cx="97790" cy="11557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”字，可徑直按照李氏的説法，“</w:t>
      </w:r>
      <w:bookmarkStart w:id="14" w:name="_Hlk113519022"/>
      <w:r w:rsidRPr="00B224E4">
        <w:rPr>
          <w:lang w:eastAsia="zh-TW"/>
        </w:rPr>
        <w:drawing>
          <wp:inline distT="0" distB="0" distL="0" distR="0" wp14:anchorId="1340E840" wp14:editId="3C1A8863">
            <wp:extent cx="97790" cy="11557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”當從“矛”聲。既然古代“矛”與“卯”音近可通，“卯”與“翏”亦音近可通，那麼從“矛”的“</w:t>
      </w:r>
      <w:r w:rsidRPr="00B224E4">
        <w:rPr>
          <w:lang w:eastAsia="zh-TW"/>
        </w:rPr>
        <w:drawing>
          <wp:inline distT="0" distB="0" distL="0" distR="0" wp14:anchorId="60EF0D16" wp14:editId="4DD5FE00">
            <wp:extent cx="97790" cy="11557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”與從“翏”聲的“繆”當然也可以相通。故“送</w:t>
      </w:r>
      <w:r w:rsidRPr="00B224E4">
        <w:rPr>
          <w:lang w:eastAsia="zh-TW"/>
        </w:rPr>
        <w:drawing>
          <wp:inline distT="0" distB="0" distL="0" distR="0" wp14:anchorId="257E2D41" wp14:editId="749AD5A0">
            <wp:extent cx="97790" cy="11557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當為</w:t>
      </w:r>
      <w:r w:rsidRPr="00B224E4">
        <w:rPr>
          <w:lang w:eastAsia="zh-TW"/>
        </w:rPr>
        <w:t>“</w:t>
      </w:r>
      <w:r w:rsidRPr="00B224E4">
        <w:rPr>
          <w:rFonts w:hint="eastAsia"/>
          <w:lang w:eastAsia="zh-TW"/>
        </w:rPr>
        <w:t>龔繆公</w:t>
      </w:r>
      <w:r w:rsidRPr="00B224E4">
        <w:rPr>
          <w:lang w:eastAsia="zh-TW"/>
        </w:rPr>
        <w:t>”</w:t>
      </w:r>
      <w:r w:rsidRPr="00B224E4">
        <w:rPr>
          <w:rFonts w:hint="eastAsia"/>
          <w:lang w:eastAsia="zh-TW"/>
        </w:rPr>
        <w:t>。</w:t>
      </w:r>
    </w:p>
    <w:p w14:paraId="68CA14CA" w14:textId="77777777" w:rsidR="00154B9A" w:rsidRPr="00B224E4" w:rsidRDefault="00154B9A" w:rsidP="00B224E4">
      <w:pPr>
        <w:pStyle w:val="aa"/>
        <w:ind w:firstLine="560"/>
        <w:rPr>
          <w:lang w:eastAsia="zh-TW"/>
        </w:rPr>
      </w:pPr>
      <w:r w:rsidRPr="00B224E4">
        <w:rPr>
          <w:lang w:eastAsia="zh-TW"/>
        </w:rPr>
        <w:t xml:space="preserve"> </w:t>
      </w:r>
      <w:r w:rsidRPr="00B224E4">
        <w:rPr>
          <w:rFonts w:hint="eastAsia"/>
          <w:lang w:eastAsia="zh-TW"/>
        </w:rPr>
        <w:t>先秦時代所稱的“</w:t>
      </w:r>
      <w:r w:rsidRPr="00B224E4">
        <w:rPr>
          <w:lang w:eastAsia="zh-TW"/>
        </w:rPr>
        <w:t>AB</w:t>
      </w:r>
      <w:r w:rsidRPr="00B224E4">
        <w:rPr>
          <w:rFonts w:hint="eastAsia"/>
          <w:lang w:eastAsia="zh-TW"/>
        </w:rPr>
        <w:t>公”，通常</w:t>
      </w:r>
      <w:r w:rsidRPr="00B224E4">
        <w:rPr>
          <w:lang w:eastAsia="zh-TW"/>
        </w:rPr>
        <w:t>A</w:t>
      </w:r>
      <w:r w:rsidRPr="00B224E4">
        <w:rPr>
          <w:rFonts w:hint="eastAsia"/>
          <w:lang w:eastAsia="zh-TW"/>
        </w:rPr>
        <w:t>為國名或是大夫的采邑名，</w:t>
      </w:r>
      <w:r w:rsidRPr="00B224E4">
        <w:rPr>
          <w:lang w:eastAsia="zh-TW"/>
        </w:rPr>
        <w:t>B</w:t>
      </w:r>
      <w:r w:rsidRPr="00B224E4">
        <w:rPr>
          <w:rFonts w:hint="eastAsia"/>
          <w:lang w:eastAsia="zh-TW"/>
        </w:rPr>
        <w:t>為謚號。此處之“龔”當為采邑名，“繆”為謚號。春秋戰國時期，楚僭王號，縣尹稱公，故呼卿為君。吳越同于楚國稱王，故吳越臣子稱公亦無不可。</w:t>
      </w:r>
      <w:bookmarkStart w:id="15" w:name="_Hlk113556471"/>
      <w:r w:rsidRPr="00B224E4">
        <w:rPr>
          <w:rFonts w:hint="eastAsia"/>
          <w:lang w:eastAsia="zh-TW"/>
        </w:rPr>
        <w:t>當然，此“公”亦可為自號，如陶朱公、白公勝。</w:t>
      </w:r>
      <w:bookmarkEnd w:id="15"/>
      <w:r w:rsidRPr="00B224E4">
        <w:rPr>
          <w:rFonts w:hint="eastAsia"/>
          <w:lang w:eastAsia="zh-TW"/>
        </w:rPr>
        <w:t>至於“龔繆公”是否為伯嚭，由於現有材料的匱乏與研究力度的不足，目前並無直接證據，但尚有兩條間接證據，可加以證明。</w:t>
      </w:r>
    </w:p>
    <w:p w14:paraId="2B8C8671" w14:textId="77777777" w:rsidR="00154B9A" w:rsidRPr="00B224E4" w:rsidRDefault="00154B9A" w:rsidP="00B224E4">
      <w:pPr>
        <w:pStyle w:val="aa"/>
        <w:ind w:firstLine="560"/>
        <w:rPr>
          <w:lang w:eastAsia="zh-TW"/>
        </w:rPr>
      </w:pPr>
      <w:r w:rsidRPr="00B224E4">
        <w:rPr>
          <w:rFonts w:hint="eastAsia"/>
          <w:lang w:eastAsia="zh-TW"/>
        </w:rPr>
        <w:t>“龔”可指為群舒中的“舒龔”。甲骨文有龔國，龔人于商末東遷龔丘，龔丘正與古徐國相近，或與徐國于周初同遷往淮南。春秋時期，在今江淮一帶有舒、舒庸、舒蓼、舒鳩、舒龍、舒鮑、舒龔等小國，史稱“群舒”。舒龔當為舒人和龔人結合而建立的舒龔小國。其時有部分龔人淪為吳越臣民，故注家稱為“吳越之蠻”。龔人正處於吳越之間，與之關係密切。自當有可能牽涉吳越之爭，與伯嚭發生聯繫。</w:t>
      </w:r>
      <w:r w:rsidRPr="00B224E4">
        <w:rPr>
          <w:lang w:eastAsia="zh-TW"/>
        </w:rPr>
        <w:t xml:space="preserve"> </w:t>
      </w:r>
    </w:p>
    <w:bookmarkEnd w:id="14"/>
    <w:p w14:paraId="490E5698" w14:textId="742A7267" w:rsidR="00154B9A" w:rsidRPr="00B224E4" w:rsidRDefault="00154B9A" w:rsidP="00B224E4">
      <w:pPr>
        <w:pStyle w:val="aa"/>
        <w:ind w:firstLine="560"/>
        <w:rPr>
          <w:lang w:eastAsia="zh-TW"/>
        </w:rPr>
      </w:pPr>
      <w:r w:rsidRPr="00B224E4">
        <w:rPr>
          <w:rFonts w:hint="eastAsia"/>
          <w:lang w:eastAsia="zh-TW"/>
        </w:rPr>
        <w:t>關於舒龔與伯嚭的聯繫，可見《左傳》和《史記》中的記載。《左</w:t>
      </w:r>
      <w:r w:rsidRPr="00B224E4">
        <w:rPr>
          <w:rFonts w:hint="eastAsia"/>
          <w:lang w:eastAsia="zh-TW"/>
        </w:rPr>
        <w:lastRenderedPageBreak/>
        <w:t>傳·昭公三十年》曰：“吳子使徐人執掩餘，使鍾吾人執燭庸，二公子奔楚。楚子大封，而定其徙。”</w:t>
      </w:r>
      <w:r>
        <w:rPr>
          <w:rStyle w:val="ae"/>
          <w:lang w:eastAsia="zh-TW"/>
        </w:rPr>
        <w:endnoteReference w:id="17"/>
      </w:r>
      <w:r w:rsidRPr="00B224E4">
        <w:rPr>
          <w:rFonts w:hint="eastAsia"/>
          <w:lang w:eastAsia="zh-TW"/>
        </w:rPr>
        <w:t>這裡的“大封”與“定其徙”，在《史記》與《吳越春秋》中則指為“舒”。《史記·伍子胥列傳》曰：“楚誅其大臣郤宛、伯州犁，伯州犁之孫伯嚭亡奔吳，吳亦以嚭為大夫。前王僚所遣二公子將兵伐楚者，道絕不得歸。後聞闔廬弑王僚自立，遂以其兵降楚，楚封之于舒。闔廬立三年，乃興師與伍胥、伯嚭伐楚，拔舒，遂禽故吳反二將軍。”</w:t>
      </w:r>
      <w:r>
        <w:rPr>
          <w:rStyle w:val="ae"/>
          <w:lang w:eastAsia="zh-TW"/>
        </w:rPr>
        <w:endnoteReference w:id="18"/>
      </w:r>
      <w:r w:rsidRPr="00B224E4">
        <w:rPr>
          <w:rFonts w:hint="eastAsia"/>
          <w:lang w:eastAsia="zh-TW"/>
        </w:rPr>
        <w:t>《吳越春秋·闔閭三年》曰：“於是吳王大悅，因鳴鼓會軍，集而攻楚。孫子為將，拔舒，殺吳亡將二公子蓋餘、燭傭。”</w:t>
      </w:r>
      <w:r>
        <w:rPr>
          <w:rStyle w:val="ae"/>
          <w:lang w:eastAsia="zh-TW"/>
        </w:rPr>
        <w:endnoteReference w:id="19"/>
      </w:r>
      <w:r w:rsidRPr="00B224E4">
        <w:rPr>
          <w:rFonts w:hint="eastAsia"/>
          <w:lang w:eastAsia="zh-TW"/>
        </w:rPr>
        <w:t>就此事予以説明。吳人伐楚拔舒的起因是吳王闔閭殺王僚自立，吳二公子不服奔楚，被封在群舒之地，而吳楚兩國在群舒展開交戰，最終吳國獲得勝利。由此，吳國就獲得了群舒的實際統治權。此次戰役對吳國君臣來説，意義非凡。對吳王來説，拔舒殺叛吳王子，是確立了自己政權的合法性，打擊了楚國的軍事實力，為進一步伐楚攻郢做好準備，同時也震懾了左右逢源的群舒。對伯嚭來説，此前奔吳，急於建功報父仇，證明自己的能力。此次戰役是他奔吳後第一次也是仕途中為數不多的所建軍功。他與伍子胥、孫子共同拔舒，應當會受到吳王的封賞。楚王既封吳叛王子于舒，為表分庭抗禮，彰顯伯嚭的智謀軍功，吳王或將群舒中的龔地封給伯嚭</w:t>
      </w:r>
      <w:r w:rsidRPr="00B224E4">
        <w:rPr>
          <w:rFonts w:hint="eastAsia"/>
          <w:lang w:eastAsia="zh-TW"/>
        </w:rPr>
        <w:lastRenderedPageBreak/>
        <w:t>作采邑，也有可能是伯嚭自作請求，向吳王邀賞龔地，紀念自己的軍功。根據清華簡《系年》的記載，“其子伍員與伍之雞逃歸吳。伍雞將吳人以圍州來，為長壑而洍之，以敗楚師，是雞父之洍。”</w:t>
      </w:r>
      <w:r>
        <w:rPr>
          <w:rStyle w:val="ae"/>
          <w:lang w:eastAsia="zh-TW"/>
        </w:rPr>
        <w:endnoteReference w:id="20"/>
      </w:r>
      <w:r w:rsidRPr="00B224E4">
        <w:rPr>
          <w:rFonts w:hint="eastAsia"/>
          <w:lang w:eastAsia="zh-TW"/>
        </w:rPr>
        <w:t xml:space="preserve">伍雞因參與圍州來獲勝而獲得洍水的冠名權。伯嚭拔舒，其功更甚，也當被封。考慮到群舒為吳越交戰的熱點地區，其後群舒盡被楚國所滅。伯嚭即便將龔地作為采邑，統治時間也不會太長。故“龔”很有可能同于“雞父之洍”，是伯嚭為紀念軍功而起的別名。亦如晉穆侯命晉文侯為“仇”，曲沃桓叔為“成師”，魯國叔孫得臣命其子為“叔孫僑如”。只是當前吳越史料的匱乏不足，難以進行更為深入細緻的探究，有待後證。 </w:t>
      </w:r>
    </w:p>
    <w:p w14:paraId="461CF23D" w14:textId="3449C15B" w:rsidR="00154B9A" w:rsidRPr="00B224E4" w:rsidRDefault="00154B9A" w:rsidP="00B224E4">
      <w:pPr>
        <w:pStyle w:val="aa"/>
        <w:ind w:firstLine="560"/>
        <w:rPr>
          <w:lang w:eastAsia="zh-TW"/>
        </w:rPr>
      </w:pPr>
      <w:r w:rsidRPr="00B224E4">
        <w:rPr>
          <w:rFonts w:hint="eastAsia"/>
          <w:lang w:eastAsia="zh-TW"/>
        </w:rPr>
        <w:t>另一條伯嚭與“龔”有關的材料則在《越絕書》中。《越絕書·外傳記地傳》曰：“北郭外路南溪北城者，句踐築鼓鐘宮也，去縣七裡。其邑為龔錢。”</w:t>
      </w:r>
      <w:r>
        <w:rPr>
          <w:rStyle w:val="ae"/>
          <w:lang w:eastAsia="zh-TW"/>
        </w:rPr>
        <w:endnoteReference w:id="21"/>
      </w:r>
      <w:r w:rsidRPr="00B224E4">
        <w:rPr>
          <w:rFonts w:hint="eastAsia"/>
          <w:lang w:eastAsia="zh-TW"/>
        </w:rPr>
        <w:t xml:space="preserve"> </w:t>
      </w:r>
      <w:r w:rsidRPr="00B224E4">
        <w:rPr>
          <w:rFonts w:hint="eastAsia"/>
          <w:lang w:eastAsia="zh-TW"/>
        </w:rPr>
        <w:t>“龔錢”地名目前無考。但有可能與伯嚭有關。《越絕書》中記載了許多因大臣有功而封山封城的内容。如“山陰大城者，範蠡所築治也，今傳謂之蠡城”、“陽城裡者，範蠡城也”、“北陽裡城，大夫種城也”、“苦竹城者，句踐伐吳還，封範蠡子也”</w:t>
      </w:r>
      <w:r>
        <w:rPr>
          <w:rStyle w:val="ae"/>
          <w:lang w:eastAsia="zh-TW"/>
        </w:rPr>
        <w:endnoteReference w:id="22"/>
      </w:r>
      <w:r w:rsidRPr="00B224E4">
        <w:rPr>
          <w:rFonts w:hint="eastAsia"/>
          <w:lang w:eastAsia="zh-TW"/>
        </w:rPr>
        <w:t>、“民西大塚者，句踐客秦伊善照龜者塚也，因名塚為秦伊山。射浦者，句踐教習兵處也。今射浦去縣五裡。射卒陳音死，葬民西，故</w:t>
      </w:r>
      <w:r w:rsidRPr="00B224E4">
        <w:rPr>
          <w:rFonts w:hint="eastAsia"/>
          <w:lang w:eastAsia="zh-TW"/>
        </w:rPr>
        <w:lastRenderedPageBreak/>
        <w:t>曰陳音山”</w:t>
      </w:r>
      <w:r>
        <w:rPr>
          <w:rStyle w:val="ae"/>
          <w:lang w:eastAsia="zh-TW"/>
        </w:rPr>
        <w:endnoteReference w:id="23"/>
      </w:r>
      <w:r w:rsidRPr="00B224E4">
        <w:rPr>
          <w:rFonts w:hint="eastAsia"/>
          <w:lang w:eastAsia="zh-TW"/>
        </w:rPr>
        <w:t>、“種山者，句踐所葬大夫種也”</w:t>
      </w:r>
      <w:r>
        <w:rPr>
          <w:rStyle w:val="ae"/>
          <w:lang w:eastAsia="zh-TW"/>
        </w:rPr>
        <w:endnoteReference w:id="24"/>
      </w:r>
      <w:r w:rsidRPr="00B224E4">
        <w:rPr>
          <w:rFonts w:hint="eastAsia"/>
          <w:lang w:eastAsia="zh-TW"/>
        </w:rPr>
        <w:t>、“伍子胥城”等。根據《左傳》的記載，伯嚭在哀公二十四年仍仕于越，伯嚭作為滅吳的功臣，在越國亦擔任太宰，理當如范蠡、文種一樣受賞封地，龔錢有可能為伯嚭的封地。其封地離鼓鐘宮不遠，不足為奇。也有可能龔是伯嚭為紀念之前拔舒封龔舒的功績。而“</w:t>
      </w:r>
      <w:r w:rsidRPr="00B224E4">
        <w:rPr>
          <w:lang w:eastAsia="zh-TW"/>
        </w:rPr>
        <w:drawing>
          <wp:inline distT="0" distB="0" distL="0" distR="0" wp14:anchorId="7302521C" wp14:editId="3B14E718">
            <wp:extent cx="97790" cy="11557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或為謚號“繆”，“繆”則有“名實過爽曰繆”的惡謚，比之秦穆公，用來説明伯嚭的惡行更為恰當。《晉書》中亦有與“繆”謚有關的何曾，《晉書》曰：“（何曾）將葬，下禮官議謚。博士秦秀謚為‘繆醜’，帝不從，策謚曰孝。”</w:t>
      </w:r>
      <w:r>
        <w:rPr>
          <w:rStyle w:val="ae"/>
          <w:lang w:eastAsia="zh-TW"/>
        </w:rPr>
        <w:endnoteReference w:id="25"/>
      </w:r>
      <w:r w:rsidRPr="00B224E4">
        <w:rPr>
          <w:rFonts w:hint="eastAsia"/>
          <w:lang w:eastAsia="zh-TW"/>
        </w:rPr>
        <w:t>可見給伯嚭上“繆”之惡謚更合實情。“</w:t>
      </w:r>
      <w:r w:rsidRPr="00B224E4">
        <w:rPr>
          <w:lang w:eastAsia="zh-TW"/>
        </w:rPr>
        <w:drawing>
          <wp:inline distT="0" distB="0" distL="0" distR="0" wp14:anchorId="2BF2655A" wp14:editId="0D26FB2D">
            <wp:extent cx="97790" cy="11557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”也可能與山有關，亦如</w:t>
      </w:r>
      <w:r w:rsidRPr="00B224E4">
        <w:rPr>
          <w:lang w:eastAsia="zh-TW"/>
        </w:rPr>
        <w:t>“</w:t>
      </w:r>
      <w:r w:rsidRPr="00B224E4">
        <w:rPr>
          <w:rFonts w:hint="eastAsia"/>
          <w:lang w:eastAsia="zh-TW"/>
        </w:rPr>
        <w:t>陳音山</w:t>
      </w:r>
      <w:r w:rsidRPr="00B224E4">
        <w:rPr>
          <w:lang w:eastAsia="zh-TW"/>
        </w:rPr>
        <w:t>”</w:t>
      </w:r>
      <w:r w:rsidRPr="00B224E4">
        <w:rPr>
          <w:rFonts w:hint="eastAsia"/>
          <w:lang w:eastAsia="zh-TW"/>
        </w:rPr>
        <w:t>、</w:t>
      </w:r>
      <w:r w:rsidRPr="00B224E4">
        <w:rPr>
          <w:lang w:eastAsia="zh-TW"/>
        </w:rPr>
        <w:t>“</w:t>
      </w:r>
      <w:r w:rsidRPr="00B224E4">
        <w:rPr>
          <w:rFonts w:hint="eastAsia"/>
          <w:lang w:eastAsia="zh-TW"/>
        </w:rPr>
        <w:t>秦伊山</w:t>
      </w:r>
      <w:r w:rsidRPr="00B224E4">
        <w:rPr>
          <w:lang w:eastAsia="zh-TW"/>
        </w:rPr>
        <w:t>”</w:t>
      </w:r>
      <w:r w:rsidRPr="00B224E4">
        <w:rPr>
          <w:rFonts w:hint="eastAsia"/>
          <w:lang w:eastAsia="zh-TW"/>
        </w:rPr>
        <w:t>和</w:t>
      </w:r>
      <w:r w:rsidRPr="00B224E4">
        <w:rPr>
          <w:lang w:eastAsia="zh-TW"/>
        </w:rPr>
        <w:t>“</w:t>
      </w:r>
      <w:r w:rsidRPr="00B224E4">
        <w:rPr>
          <w:rFonts w:hint="eastAsia"/>
          <w:lang w:eastAsia="zh-TW"/>
        </w:rPr>
        <w:t>種山</w:t>
      </w:r>
      <w:r w:rsidRPr="00B224E4">
        <w:rPr>
          <w:lang w:eastAsia="zh-TW"/>
        </w:rPr>
        <w:t>”</w:t>
      </w:r>
      <w:r w:rsidRPr="00B224E4">
        <w:rPr>
          <w:rFonts w:hint="eastAsia"/>
          <w:lang w:eastAsia="zh-TW"/>
        </w:rPr>
        <w:t>，為伯嚭所封賞的山名。</w:t>
      </w:r>
    </w:p>
    <w:p w14:paraId="5F85F303" w14:textId="77777777" w:rsidR="00154B9A" w:rsidRPr="00B224E4" w:rsidRDefault="00154B9A" w:rsidP="00B224E4">
      <w:pPr>
        <w:pStyle w:val="aa"/>
        <w:ind w:firstLine="560"/>
        <w:rPr>
          <w:lang w:eastAsia="zh-TW"/>
        </w:rPr>
      </w:pPr>
      <w:r w:rsidRPr="00B224E4">
        <w:rPr>
          <w:rFonts w:hint="eastAsia"/>
          <w:lang w:eastAsia="zh-TW"/>
        </w:rPr>
        <w:t>總的來說，雖然當前並無直接證據可證明伯嚭與“龔”的關係，但是清華簡《系年》中伍雞因勝封地和《越絕書》中越王為功臣封賞山城的事情，加之伯嚭在吳越楚三國戰爭間所起的政治作用，伯嚭封“龔”名“龔”之事當具有一定的合理性。</w:t>
      </w:r>
    </w:p>
    <w:p w14:paraId="30C8A6AA" w14:textId="77777777" w:rsidR="00154B9A" w:rsidRPr="00B224E4" w:rsidRDefault="00154B9A" w:rsidP="00B224E4">
      <w:pPr>
        <w:pStyle w:val="aa"/>
        <w:ind w:firstLine="560"/>
        <w:rPr>
          <w:lang w:eastAsia="zh-TW"/>
        </w:rPr>
      </w:pPr>
      <w:r w:rsidRPr="00B224E4">
        <w:rPr>
          <w:rFonts w:hint="eastAsia"/>
          <w:lang w:eastAsia="zh-TW"/>
        </w:rPr>
        <w:t>既已認定“送</w:t>
      </w:r>
      <w:r w:rsidRPr="00B224E4">
        <w:rPr>
          <w:lang w:eastAsia="zh-TW"/>
        </w:rPr>
        <w:drawing>
          <wp:inline distT="0" distB="0" distL="0" distR="0" wp14:anchorId="2B7E99C8" wp14:editId="32DE5C7B">
            <wp:extent cx="97790" cy="11557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公”為“伯嚭”，代入簡文當中，且看其是否符合“長年而没”、“天下之亂人”以及是否具備與伍子胥進行反向對比，彰顯“鬼神不明”主題的三個條件。</w:t>
      </w:r>
    </w:p>
    <w:p w14:paraId="1CAE82CE" w14:textId="77777777" w:rsidR="00154B9A" w:rsidRPr="00B224E4" w:rsidRDefault="00154B9A" w:rsidP="00B224E4">
      <w:pPr>
        <w:pStyle w:val="aa"/>
        <w:ind w:firstLine="560"/>
        <w:rPr>
          <w:lang w:eastAsia="zh-TW"/>
        </w:rPr>
      </w:pPr>
      <w:r w:rsidRPr="00B224E4">
        <w:rPr>
          <w:rFonts w:hint="eastAsia"/>
          <w:lang w:eastAsia="zh-TW"/>
        </w:rPr>
        <w:t>首先談談伯嚭是否符合簡文所説的“長年而没”。</w:t>
      </w:r>
    </w:p>
    <w:p w14:paraId="6DDCD168" w14:textId="77777777" w:rsidR="00154B9A" w:rsidRPr="00B224E4" w:rsidRDefault="00154B9A" w:rsidP="00B224E4">
      <w:pPr>
        <w:pStyle w:val="aa"/>
        <w:ind w:firstLine="560"/>
        <w:rPr>
          <w:lang w:eastAsia="zh-TW"/>
        </w:rPr>
      </w:pPr>
      <w:r w:rsidRPr="00B224E4">
        <w:rPr>
          <w:rFonts w:hint="eastAsia"/>
          <w:lang w:eastAsia="zh-TW"/>
        </w:rPr>
        <w:lastRenderedPageBreak/>
        <w:t>所謂“長年”，可指為長壽。據《左傳》記載，伯嚭之父郤宛于昭公二十七年被殺，伯嚭于吳王闔閭元年奔吳，當即吳以為大夫。古人二十加冠，之後才有資格做官。故奔吳之年伯嚭起碼二十歲，其後《史記》、《吳越春秋》、《越絕書》都認為他在吳滅之時被勾踐所殺，死於前</w:t>
      </w:r>
      <w:r w:rsidRPr="00B224E4">
        <w:rPr>
          <w:lang w:eastAsia="zh-TW"/>
        </w:rPr>
        <w:t>473</w:t>
      </w:r>
      <w:r w:rsidRPr="00B224E4">
        <w:rPr>
          <w:rFonts w:hint="eastAsia"/>
          <w:lang w:eastAsia="zh-TW"/>
        </w:rPr>
        <w:t>年，則伯嚭至少活了</w:t>
      </w:r>
      <w:r w:rsidRPr="00B224E4">
        <w:rPr>
          <w:lang w:eastAsia="zh-TW"/>
        </w:rPr>
        <w:t>61</w:t>
      </w:r>
      <w:r w:rsidRPr="00B224E4">
        <w:rPr>
          <w:rFonts w:hint="eastAsia"/>
          <w:lang w:eastAsia="zh-TW"/>
        </w:rPr>
        <w:t>歲。而《左傳》則認為勾踐並未殺伯嚭，滅吳兩年後的哀公二十四年，還有季孫賄賂太宰嚭的事件，則伯嚭至少活了</w:t>
      </w:r>
      <w:r w:rsidRPr="00B224E4">
        <w:rPr>
          <w:lang w:eastAsia="zh-TW"/>
        </w:rPr>
        <w:t>63</w:t>
      </w:r>
      <w:r w:rsidRPr="00B224E4">
        <w:rPr>
          <w:rFonts w:hint="eastAsia"/>
          <w:lang w:eastAsia="zh-TW"/>
        </w:rPr>
        <w:t>歲。比之李氏所推測的秦穆公至少活到</w:t>
      </w:r>
      <w:r w:rsidRPr="00B224E4">
        <w:rPr>
          <w:lang w:eastAsia="zh-TW"/>
        </w:rPr>
        <w:t>65</w:t>
      </w:r>
      <w:r w:rsidRPr="00B224E4">
        <w:rPr>
          <w:rFonts w:hint="eastAsia"/>
          <w:lang w:eastAsia="zh-TW"/>
        </w:rPr>
        <w:t>歲的論斷，伯嚭的“長年”也不遑多讓。若將“長年”理解為執政時間，秦穆公在位</w:t>
      </w:r>
      <w:r w:rsidRPr="00B224E4">
        <w:rPr>
          <w:lang w:eastAsia="zh-TW"/>
        </w:rPr>
        <w:t>39</w:t>
      </w:r>
      <w:r w:rsidRPr="00B224E4">
        <w:rPr>
          <w:rFonts w:hint="eastAsia"/>
          <w:lang w:eastAsia="zh-TW"/>
        </w:rPr>
        <w:t>年，伯嚭至少在位</w:t>
      </w:r>
      <w:r w:rsidRPr="00B224E4">
        <w:rPr>
          <w:lang w:eastAsia="zh-TW"/>
        </w:rPr>
        <w:t>41</w:t>
      </w:r>
      <w:r w:rsidRPr="00B224E4">
        <w:rPr>
          <w:rFonts w:hint="eastAsia"/>
          <w:lang w:eastAsia="zh-TW"/>
        </w:rPr>
        <w:t>年或是</w:t>
      </w:r>
      <w:r w:rsidRPr="00B224E4">
        <w:rPr>
          <w:lang w:eastAsia="zh-TW"/>
        </w:rPr>
        <w:t>43</w:t>
      </w:r>
      <w:r w:rsidRPr="00B224E4">
        <w:rPr>
          <w:rFonts w:hint="eastAsia"/>
          <w:lang w:eastAsia="zh-TW"/>
        </w:rPr>
        <w:t xml:space="preserve">年。因而，從年壽與執政時間來看，較之秦穆公，伯嚭也符合“長年而没”的條件。 </w:t>
      </w:r>
    </w:p>
    <w:p w14:paraId="4B5A61F1" w14:textId="77777777" w:rsidR="00154B9A" w:rsidRPr="00B224E4" w:rsidRDefault="00154B9A" w:rsidP="00B224E4">
      <w:pPr>
        <w:pStyle w:val="aa"/>
        <w:ind w:firstLine="560"/>
        <w:rPr>
          <w:lang w:eastAsia="zh-TW"/>
        </w:rPr>
      </w:pPr>
      <w:r w:rsidRPr="00B224E4">
        <w:rPr>
          <w:rFonts w:hint="eastAsia"/>
          <w:lang w:eastAsia="zh-TW"/>
        </w:rPr>
        <w:t>其次談談伯嚭是否符合簡文所説的“天下之亂人”的評價。</w:t>
      </w:r>
    </w:p>
    <w:p w14:paraId="656C2866" w14:textId="77777777" w:rsidR="00154B9A" w:rsidRPr="00B224E4" w:rsidRDefault="00154B9A" w:rsidP="00B224E4">
      <w:pPr>
        <w:pStyle w:val="aa"/>
        <w:ind w:firstLine="560"/>
        <w:rPr>
          <w:lang w:eastAsia="zh-TW"/>
        </w:rPr>
      </w:pPr>
      <w:r w:rsidRPr="00B224E4">
        <w:rPr>
          <w:rFonts w:hint="eastAsia"/>
          <w:lang w:eastAsia="zh-TW"/>
        </w:rPr>
        <w:t>伯嚭因報父仇，在攻郢之後與伍子胥同鞭楚平王屍。殺害郤宛的是費無極，其後令尹子常也殺費無極補過，伯嚭鞭屍合理，然太過。伯嚭仕吳，好大喜功，貪財好色。為一己私利而不顧國家安危，内殘忠臣，外通敵國，多次收受賄賂，進諫讒言，使吳錯失滅越良機，為以後滅國埋下禍患。挑撥夫差，使忠臣伍子胥被殺。黃池之會，吳國與晉爭盟，隨後又在笠澤戰敗，國勢日漸式微。滅吳後，伯嚭又納季孫賄賂，阻止魯越結親。一人攪動吳越楚魯四國風雲，使吳錯失天下，</w:t>
      </w:r>
      <w:r w:rsidRPr="00B224E4">
        <w:rPr>
          <w:rFonts w:hint="eastAsia"/>
          <w:lang w:eastAsia="zh-TW"/>
        </w:rPr>
        <w:lastRenderedPageBreak/>
        <w:t>吳王身死國滅。相比秦穆公殺三良，只在國内引起小範圍的爭議，伯嚭則更符合“天下之亂人”的惡評。</w:t>
      </w:r>
    </w:p>
    <w:p w14:paraId="0156C6B2" w14:textId="77777777" w:rsidR="00154B9A" w:rsidRPr="00B224E4" w:rsidRDefault="00154B9A" w:rsidP="00B224E4">
      <w:pPr>
        <w:pStyle w:val="aa"/>
        <w:ind w:firstLine="560"/>
        <w:rPr>
          <w:lang w:eastAsia="zh-TW"/>
        </w:rPr>
      </w:pPr>
      <w:r w:rsidRPr="00B224E4">
        <w:rPr>
          <w:rFonts w:hint="eastAsia"/>
          <w:lang w:eastAsia="zh-TW"/>
        </w:rPr>
        <w:t>最後談談《鬼神之明》中所體現的對比關聯。</w:t>
      </w:r>
    </w:p>
    <w:p w14:paraId="791154E1" w14:textId="77777777" w:rsidR="00154B9A" w:rsidRPr="00B224E4" w:rsidRDefault="00154B9A" w:rsidP="00B224E4">
      <w:pPr>
        <w:pStyle w:val="aa"/>
        <w:ind w:firstLine="560"/>
        <w:rPr>
          <w:lang w:eastAsia="zh-TW"/>
        </w:rPr>
      </w:pPr>
      <w:r w:rsidRPr="00B224E4">
        <w:rPr>
          <w:rFonts w:hint="eastAsia"/>
          <w:lang w:eastAsia="zh-TW"/>
        </w:rPr>
        <w:t>《鬼神之明》簡文前面部分將聖人“堯舜禹湯”與亂人“桀紂”對舉，通過對比兩者的個人品行、治國影響和後世評價，彰顯出“鬼神之明”的主題。同時聖人與亂人之間也存在事理聯繫，不可孤立看待。聖人湯、文王、武王因亂人桀紂“焚聖人，殺諫者，賊百姓，亂邦家”的亂行，伐之而成為聖人。</w:t>
      </w:r>
      <w:bookmarkStart w:id="19" w:name="_Hlk113631797"/>
      <w:r w:rsidRPr="00B224E4">
        <w:rPr>
          <w:rFonts w:hint="eastAsia"/>
          <w:lang w:eastAsia="zh-TW"/>
        </w:rPr>
        <w:t>其前以聖人代鬼神罰暴同時期的亂人而賞善成聖，強調鬼神之明的主題。因而，其後伍子胥與“送</w:t>
      </w:r>
      <w:bookmarkEnd w:id="19"/>
      <w:r w:rsidRPr="00B224E4">
        <w:rPr>
          <w:lang w:eastAsia="zh-TW"/>
        </w:rPr>
        <w:drawing>
          <wp:inline distT="0" distB="0" distL="0" distR="0" wp14:anchorId="178EB7D2" wp14:editId="592EC4A9">
            <wp:extent cx="97790" cy="11557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 xml:space="preserve">之間的對比也當具備事理聯繫，才能突出鬼神不明的主題。 </w:t>
      </w:r>
    </w:p>
    <w:p w14:paraId="28F2411D" w14:textId="4C079A4B" w:rsidR="00154B9A" w:rsidRPr="00B224E4" w:rsidRDefault="00154B9A" w:rsidP="00B224E4">
      <w:pPr>
        <w:pStyle w:val="aa"/>
        <w:ind w:firstLine="560"/>
        <w:rPr>
          <w:lang w:eastAsia="zh-TW"/>
        </w:rPr>
      </w:pPr>
      <w:r w:rsidRPr="00B224E4">
        <w:rPr>
          <w:rFonts w:hint="eastAsia"/>
          <w:lang w:eastAsia="zh-TW"/>
        </w:rPr>
        <w:t>如若將“送</w:t>
      </w:r>
      <w:r w:rsidRPr="00B224E4">
        <w:rPr>
          <w:lang w:eastAsia="zh-TW"/>
        </w:rPr>
        <w:drawing>
          <wp:inline distT="0" distB="0" distL="0" distR="0" wp14:anchorId="723B6B45" wp14:editId="6C8F3B23">
            <wp:extent cx="97790" cy="11557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解為“秦穆公”，則秦穆公於前</w:t>
      </w:r>
      <w:r w:rsidRPr="00B224E4">
        <w:rPr>
          <w:lang w:eastAsia="zh-TW"/>
        </w:rPr>
        <w:t>621</w:t>
      </w:r>
      <w:r w:rsidRPr="00B224E4">
        <w:rPr>
          <w:rFonts w:hint="eastAsia"/>
          <w:lang w:eastAsia="zh-TW"/>
        </w:rPr>
        <w:t>年去世，伍子胥於前</w:t>
      </w:r>
      <w:r w:rsidRPr="00B224E4">
        <w:rPr>
          <w:lang w:eastAsia="zh-TW"/>
        </w:rPr>
        <w:t>484</w:t>
      </w:r>
      <w:r w:rsidRPr="00B224E4">
        <w:rPr>
          <w:rFonts w:hint="eastAsia"/>
          <w:lang w:eastAsia="zh-TW"/>
        </w:rPr>
        <w:t>年去世，中間相隔</w:t>
      </w:r>
      <w:r w:rsidRPr="00B224E4">
        <w:rPr>
          <w:lang w:eastAsia="zh-TW"/>
        </w:rPr>
        <w:t>137</w:t>
      </w:r>
      <w:r w:rsidRPr="00B224E4">
        <w:rPr>
          <w:rFonts w:hint="eastAsia"/>
          <w:lang w:eastAsia="zh-TW"/>
        </w:rPr>
        <w:t>年，兩人一為秦人，一為吳人，除了在個人評價上以聖亂有所區別外，不存在過多的事理聯繫，並不具有太大的可比性。同時對比兩人在同時期古籍中的形象，從傳世古籍來看，《荀子·成相》曰：“世之禍，惡賢士，子胥見殺百里徙。穆公任之，強配五伯六卿施。”</w:t>
      </w:r>
      <w:r>
        <w:rPr>
          <w:rStyle w:val="ae"/>
          <w:lang w:eastAsia="zh-TW"/>
        </w:rPr>
        <w:endnoteReference w:id="26"/>
      </w:r>
      <w:r w:rsidRPr="00B224E4">
        <w:rPr>
          <w:rFonts w:hint="eastAsia"/>
          <w:lang w:eastAsia="zh-TW"/>
        </w:rPr>
        <w:t>《呂氏春秋·尊師》曰：“秦穆公師百里奚、公孫枝，楚莊王師孫叔敖、沈尹巫，吳王闔閭師伍子胥、文之儀，越王句踐師範蠡、大夫種。此十聖人六賢者，未有不尊師者</w:t>
      </w:r>
      <w:r w:rsidRPr="00B224E4">
        <w:rPr>
          <w:rFonts w:hint="eastAsia"/>
          <w:lang w:eastAsia="zh-TW"/>
        </w:rPr>
        <w:lastRenderedPageBreak/>
        <w:t>也。”</w:t>
      </w:r>
      <w:r>
        <w:rPr>
          <w:rStyle w:val="ae"/>
          <w:lang w:eastAsia="zh-TW"/>
        </w:rPr>
        <w:endnoteReference w:id="27"/>
      </w:r>
      <w:r w:rsidRPr="00B224E4">
        <w:rPr>
          <w:rFonts w:hint="eastAsia"/>
          <w:lang w:eastAsia="zh-TW"/>
        </w:rPr>
        <w:t>從出土文獻來看，根據清華簡《系年》記載，秦穆公積極扶持晉國的發展，與晉、楚多方交好，鞏固增強了秦國國力。伍子胥教吳人反楚邦之諸侯，帶領吳國戰勝楚國，攻入郢都，使得昭王倉皇歸隨，增強了吳國的軍事實力。均同于《左傳》的記載。清華簡《良臣》的簡文記載，既肯定了“吳王光有伍子胥”，稱其為良臣，又讚頌“秦穆公有羖大夫”</w:t>
      </w:r>
      <w:r>
        <w:rPr>
          <w:rStyle w:val="ae"/>
          <w:lang w:eastAsia="zh-TW"/>
        </w:rPr>
        <w:endnoteReference w:id="28"/>
      </w:r>
      <w:r w:rsidRPr="00B224E4">
        <w:rPr>
          <w:rFonts w:hint="eastAsia"/>
          <w:lang w:eastAsia="zh-TW"/>
        </w:rPr>
        <w:t>，稱其為明君。郭店簡《窮達以時》曰：“百里轉鬻五羊，為伯牧牛，釋</w:t>
      </w:r>
      <w:r w:rsidRPr="00B224E4">
        <w:rPr>
          <w:rFonts w:hint="eastAsia"/>
          <w:lang w:val="zh-TW" w:eastAsia="zh-TW"/>
        </w:rPr>
        <w:drawing>
          <wp:inline distT="0" distB="0" distL="0" distR="0" wp14:anchorId="4DDC9E55" wp14:editId="23B2FD05">
            <wp:extent cx="137424" cy="167091"/>
            <wp:effectExtent l="0" t="0" r="0" b="444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pic:nvPicPr>
                  <pic:blipFill rotWithShape="1">
                    <a:blip r:embed="rId14" cstate="print">
                      <a:extLst>
                        <a:ext uri="{28A0092B-C50C-407E-A947-70E740481C1C}">
                          <a14:useLocalDpi xmlns:a14="http://schemas.microsoft.com/office/drawing/2010/main" val="0"/>
                        </a:ext>
                      </a:extLst>
                    </a:blip>
                    <a:srcRect l="58224" t="54175" r="38568" b="38891"/>
                    <a:stretch/>
                  </pic:blipFill>
                  <pic:spPr bwMode="auto">
                    <a:xfrm>
                      <a:off x="0" y="0"/>
                      <a:ext cx="140115" cy="170363"/>
                    </a:xfrm>
                    <a:prstGeom prst="rect">
                      <a:avLst/>
                    </a:prstGeom>
                    <a:ln>
                      <a:noFill/>
                    </a:ln>
                    <a:extLst>
                      <a:ext uri="{53640926-AAD7-44D8-BBD7-CCE9431645EC}">
                        <a14:shadowObscured xmlns:a14="http://schemas.microsoft.com/office/drawing/2010/main"/>
                      </a:ext>
                    </a:extLst>
                  </pic:spPr>
                </pic:pic>
              </a:graphicData>
            </a:graphic>
          </wp:inline>
        </w:drawing>
      </w:r>
      <w:r w:rsidRPr="00B224E4">
        <w:rPr>
          <w:rFonts w:hint="eastAsia"/>
          <w:lang w:eastAsia="zh-TW"/>
        </w:rPr>
        <w:t>而為</w:t>
      </w:r>
      <w:r w:rsidRPr="00B224E4">
        <w:rPr>
          <w:rFonts w:hint="eastAsia"/>
          <w:lang w:val="zh-TW" w:eastAsia="zh-TW"/>
        </w:rPr>
        <w:drawing>
          <wp:inline distT="0" distB="0" distL="0" distR="0" wp14:anchorId="24A17000" wp14:editId="605278E7">
            <wp:extent cx="137425" cy="149479"/>
            <wp:effectExtent l="0" t="0" r="0" b="317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pic:nvPicPr>
                  <pic:blipFill rotWithShape="1">
                    <a:blip r:embed="rId15" cstate="print">
                      <a:extLst>
                        <a:ext uri="{28A0092B-C50C-407E-A947-70E740481C1C}">
                          <a14:useLocalDpi xmlns:a14="http://schemas.microsoft.com/office/drawing/2010/main" val="0"/>
                        </a:ext>
                      </a:extLst>
                    </a:blip>
                    <a:srcRect l="70350" t="54356" r="26342" b="39247"/>
                    <a:stretch/>
                  </pic:blipFill>
                  <pic:spPr bwMode="auto">
                    <a:xfrm>
                      <a:off x="0" y="0"/>
                      <a:ext cx="139326" cy="151546"/>
                    </a:xfrm>
                    <a:prstGeom prst="rect">
                      <a:avLst/>
                    </a:prstGeom>
                    <a:ln>
                      <a:noFill/>
                    </a:ln>
                    <a:extLst>
                      <a:ext uri="{53640926-AAD7-44D8-BBD7-CCE9431645EC}">
                        <a14:shadowObscured xmlns:a14="http://schemas.microsoft.com/office/drawing/2010/main"/>
                      </a:ext>
                    </a:extLst>
                  </pic:spPr>
                </pic:pic>
              </a:graphicData>
            </a:graphic>
          </wp:inline>
        </w:drawing>
      </w:r>
      <w:r w:rsidRPr="00B224E4">
        <w:rPr>
          <w:rFonts w:hint="eastAsia"/>
          <w:lang w:eastAsia="zh-TW"/>
        </w:rPr>
        <w:t>卿，遇秦穆。孫叔</w:t>
      </w:r>
      <w:r w:rsidRPr="00B224E4">
        <w:rPr>
          <w:lang w:eastAsia="zh-TW"/>
        </w:rPr>
        <w:t>[</w:t>
      </w:r>
      <w:r w:rsidRPr="00B224E4">
        <w:rPr>
          <w:rFonts w:hint="eastAsia"/>
          <w:lang w:eastAsia="zh-TW"/>
        </w:rPr>
        <w:t>敖</w:t>
      </w:r>
      <w:r w:rsidRPr="00B224E4">
        <w:rPr>
          <w:lang w:eastAsia="zh-TW"/>
        </w:rPr>
        <w:t>]</w:t>
      </w:r>
      <w:r w:rsidRPr="00B224E4">
        <w:rPr>
          <w:rFonts w:hint="eastAsia"/>
          <w:lang w:eastAsia="zh-TW"/>
        </w:rPr>
        <w:t>三斥恒思少司馬，出而為令尹，遇楚莊也。初韜晦，後名揚，非其德加。子胥前多功，後戮死，非其智衰也。”</w:t>
      </w:r>
      <w:r>
        <w:rPr>
          <w:rStyle w:val="ae"/>
          <w:lang w:eastAsia="zh-TW"/>
        </w:rPr>
        <w:endnoteReference w:id="29"/>
      </w:r>
    </w:p>
    <w:p w14:paraId="70B8C0D6" w14:textId="77777777" w:rsidR="00154B9A" w:rsidRPr="00B224E4" w:rsidRDefault="00154B9A" w:rsidP="00B224E4">
      <w:pPr>
        <w:pStyle w:val="aa"/>
        <w:ind w:firstLine="560"/>
        <w:rPr>
          <w:lang w:eastAsia="zh-TW"/>
        </w:rPr>
      </w:pPr>
      <w:r w:rsidRPr="00B224E4">
        <w:rPr>
          <w:rFonts w:hint="eastAsia"/>
          <w:lang w:eastAsia="zh-TW"/>
        </w:rPr>
        <w:t>由此可見，戰國時期的文本多將伍子胥與秦穆公進行賢君賢臣的正向類比，反而没有出現直接將兩者進行聖亂評價的反向對比。故不當將“送</w:t>
      </w:r>
      <w:r w:rsidRPr="00B224E4">
        <w:rPr>
          <w:lang w:eastAsia="zh-TW"/>
        </w:rPr>
        <w:drawing>
          <wp:inline distT="0" distB="0" distL="0" distR="0" wp14:anchorId="56F52C01" wp14:editId="16A60665">
            <wp:extent cx="97790" cy="11557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解為“秦穆公”，視其為失德的“天下之亂人”，來與聖人伍子胥進行反向對比。同時《鬼神之明》與墨家密切相關，《墨子·明鬼》讚美秦穆公的明德，賜壽延國，《墨子·所染》認為吳闔閭染于伍員，才能稱霸諸侯，功名傅於後世，均承認秦穆公與伍子胥為賢君賢臣，為正向類比關係，而《鬼神之明》反指責秦穆公為失德的</w:t>
      </w:r>
      <w:r w:rsidRPr="00B224E4">
        <w:rPr>
          <w:lang w:eastAsia="zh-TW"/>
        </w:rPr>
        <w:t>“</w:t>
      </w:r>
      <w:r w:rsidRPr="00B224E4">
        <w:rPr>
          <w:rFonts w:hint="eastAsia"/>
          <w:lang w:eastAsia="zh-TW"/>
        </w:rPr>
        <w:t>天下之亂人</w:t>
      </w:r>
      <w:r w:rsidRPr="00B224E4">
        <w:rPr>
          <w:lang w:eastAsia="zh-TW"/>
        </w:rPr>
        <w:t>”</w:t>
      </w:r>
      <w:r w:rsidRPr="00B224E4">
        <w:rPr>
          <w:rFonts w:hint="eastAsia"/>
          <w:lang w:eastAsia="zh-TW"/>
        </w:rPr>
        <w:t>，承認伍子胥為天下之聖人，為反向對比關係，何以同屬墨家思想，前後矛盾不一，足以可見“秦穆公”一説更具不合</w:t>
      </w:r>
      <w:r w:rsidRPr="00B224E4">
        <w:rPr>
          <w:rFonts w:hint="eastAsia"/>
          <w:lang w:eastAsia="zh-TW"/>
        </w:rPr>
        <w:lastRenderedPageBreak/>
        <w:t xml:space="preserve">理性。 </w:t>
      </w:r>
    </w:p>
    <w:p w14:paraId="7ACAC0A2" w14:textId="77777777" w:rsidR="00154B9A" w:rsidRPr="00B224E4" w:rsidRDefault="00154B9A" w:rsidP="00B224E4">
      <w:pPr>
        <w:pStyle w:val="aa"/>
        <w:ind w:firstLine="560"/>
        <w:rPr>
          <w:lang w:eastAsia="zh-TW"/>
        </w:rPr>
      </w:pPr>
      <w:r w:rsidRPr="00B224E4">
        <w:rPr>
          <w:rFonts w:hint="eastAsia"/>
          <w:lang w:eastAsia="zh-TW"/>
        </w:rPr>
        <w:t>既然秦穆公不構成與伍子胥進行反向對比的條件，而在傳世文獻當中，經常與伍子胥形成反向對比的則是伯嚭。</w:t>
      </w:r>
    </w:p>
    <w:p w14:paraId="4F4D0076" w14:textId="77777777" w:rsidR="00154B9A" w:rsidRPr="00B224E4" w:rsidRDefault="00154B9A" w:rsidP="00B224E4">
      <w:pPr>
        <w:pStyle w:val="aa"/>
        <w:ind w:firstLine="560"/>
        <w:rPr>
          <w:lang w:eastAsia="zh-TW"/>
        </w:rPr>
      </w:pPr>
      <w:r w:rsidRPr="00B224E4">
        <w:rPr>
          <w:rFonts w:hint="eastAsia"/>
          <w:lang w:eastAsia="zh-TW"/>
        </w:rPr>
        <w:t>從官階才能、</w:t>
      </w:r>
      <w:bookmarkStart w:id="20" w:name="_Hlk113746686"/>
      <w:r w:rsidRPr="00B224E4">
        <w:rPr>
          <w:rFonts w:hint="eastAsia"/>
          <w:lang w:eastAsia="zh-TW"/>
        </w:rPr>
        <w:t>執政時間和個人仕途</w:t>
      </w:r>
      <w:bookmarkEnd w:id="20"/>
      <w:r w:rsidRPr="00B224E4">
        <w:rPr>
          <w:rFonts w:hint="eastAsia"/>
          <w:lang w:eastAsia="zh-TW"/>
        </w:rPr>
        <w:t>來看，伍子胥一路逃亡，至闔閭元年才受重用，才能高於伯嚭，官位却為大夫，一直低於太宰伯嚭。伍子胥於前</w:t>
      </w:r>
      <w:r w:rsidRPr="00B224E4">
        <w:rPr>
          <w:lang w:eastAsia="zh-TW"/>
        </w:rPr>
        <w:t>484</w:t>
      </w:r>
      <w:r w:rsidRPr="00B224E4">
        <w:rPr>
          <w:rFonts w:hint="eastAsia"/>
          <w:lang w:eastAsia="zh-TW"/>
        </w:rPr>
        <w:t>年被殺，在位</w:t>
      </w:r>
      <w:r w:rsidRPr="00B224E4">
        <w:rPr>
          <w:lang w:eastAsia="zh-TW"/>
        </w:rPr>
        <w:t>31</w:t>
      </w:r>
      <w:r w:rsidRPr="00B224E4">
        <w:rPr>
          <w:rFonts w:hint="eastAsia"/>
          <w:lang w:eastAsia="zh-TW"/>
        </w:rPr>
        <w:t>年，相比伯嚭執政的</w:t>
      </w:r>
      <w:r w:rsidRPr="00B224E4">
        <w:rPr>
          <w:lang w:eastAsia="zh-TW"/>
        </w:rPr>
        <w:t>41</w:t>
      </w:r>
      <w:r w:rsidRPr="00B224E4">
        <w:rPr>
          <w:rFonts w:hint="eastAsia"/>
          <w:lang w:eastAsia="zh-TW"/>
        </w:rPr>
        <w:t xml:space="preserve">年，備受吳王寵幸，伍子胥顯得更加時短位卑且不受重視，為吳王夫差所排斥，最終慘遭鴟夷而死。因而，伯嚭與伍子胥更富反向對比性。 </w:t>
      </w:r>
    </w:p>
    <w:p w14:paraId="58178136" w14:textId="77777777" w:rsidR="00154B9A" w:rsidRPr="00B224E4" w:rsidRDefault="00154B9A" w:rsidP="00B224E4">
      <w:pPr>
        <w:pStyle w:val="aa"/>
        <w:ind w:firstLine="560"/>
        <w:rPr>
          <w:lang w:eastAsia="zh-TW"/>
        </w:rPr>
      </w:pPr>
      <w:r w:rsidRPr="00B224E4">
        <w:rPr>
          <w:rFonts w:hint="eastAsia"/>
          <w:lang w:eastAsia="zh-TW"/>
        </w:rPr>
        <w:t>從先秦兩漢古書中的歷史評價來看，諸子論家對兩者多有置喙，常加之一起，進行反向對比，列下可見。</w:t>
      </w:r>
    </w:p>
    <w:p w14:paraId="18C4E65C" w14:textId="10688C8D" w:rsidR="00154B9A" w:rsidRPr="00B224E4" w:rsidRDefault="00154B9A" w:rsidP="00B224E4">
      <w:pPr>
        <w:pStyle w:val="aa"/>
        <w:ind w:firstLine="560"/>
        <w:rPr>
          <w:lang w:eastAsia="zh-TW"/>
        </w:rPr>
      </w:pPr>
      <w:r w:rsidRPr="00B224E4">
        <w:rPr>
          <w:rFonts w:hint="eastAsia"/>
          <w:lang w:eastAsia="zh-TW"/>
        </w:rPr>
        <w:t>《墨子·所染》：“吳闔閭染于伍員、文義，越勾踐染于范蠡、大夫種。此五君者，所染當，故霸諸侯，功名傳于後世</w:t>
      </w:r>
      <w:r w:rsidRPr="00B224E4">
        <w:rPr>
          <w:lang w:eastAsia="zh-TW"/>
        </w:rPr>
        <w:t>…</w:t>
      </w:r>
      <w:r w:rsidRPr="00B224E4">
        <w:rPr>
          <w:rFonts w:hint="eastAsia"/>
          <w:lang w:eastAsia="zh-TW"/>
        </w:rPr>
        <w:t>吳夫差染于王孫雒、太宰嚭</w:t>
      </w:r>
      <w:r w:rsidRPr="00B224E4">
        <w:rPr>
          <w:lang w:eastAsia="zh-TW"/>
        </w:rPr>
        <w:t>…</w:t>
      </w:r>
      <w:r w:rsidRPr="00B224E4">
        <w:rPr>
          <w:rFonts w:hint="eastAsia"/>
          <w:lang w:eastAsia="zh-TW"/>
        </w:rPr>
        <w:t>此六君者，所染不當，故國家殘亡，身為刑戮，宗廟破滅，絕無後類，君臣離散，民人流亡。舉天下之貪暴苛擾者，必稱此六君也。”</w:t>
      </w:r>
      <w:r>
        <w:rPr>
          <w:rStyle w:val="ae"/>
          <w:lang w:eastAsia="zh-TW"/>
        </w:rPr>
        <w:endnoteReference w:id="30"/>
      </w:r>
    </w:p>
    <w:p w14:paraId="54C626EB" w14:textId="767ECBF0" w:rsidR="00154B9A" w:rsidRPr="00B224E4" w:rsidRDefault="00154B9A" w:rsidP="00B224E4">
      <w:pPr>
        <w:pStyle w:val="aa"/>
        <w:ind w:firstLine="560"/>
        <w:rPr>
          <w:lang w:eastAsia="zh-TW"/>
        </w:rPr>
      </w:pPr>
      <w:r w:rsidRPr="00B224E4">
        <w:rPr>
          <w:rFonts w:hint="eastAsia"/>
          <w:lang w:eastAsia="zh-TW"/>
        </w:rPr>
        <w:t>《韓非子·難三》：“夫差智太宰嚭而愚子胥，故滅於越。”</w:t>
      </w:r>
      <w:r>
        <w:rPr>
          <w:rStyle w:val="ae"/>
          <w:lang w:eastAsia="zh-TW"/>
        </w:rPr>
        <w:endnoteReference w:id="31"/>
      </w:r>
    </w:p>
    <w:p w14:paraId="50CFFADC" w14:textId="3C70121A" w:rsidR="00154B9A" w:rsidRPr="00B224E4" w:rsidRDefault="00154B9A" w:rsidP="00B224E4">
      <w:pPr>
        <w:pStyle w:val="aa"/>
        <w:ind w:firstLine="560"/>
        <w:rPr>
          <w:lang w:eastAsia="zh-TW"/>
        </w:rPr>
      </w:pPr>
      <w:r w:rsidRPr="00B224E4">
        <w:rPr>
          <w:rFonts w:hint="eastAsia"/>
          <w:lang w:eastAsia="zh-TW"/>
        </w:rPr>
        <w:t>《史記·仲尼孔子列傳》：“子胥以諫死，太宰嚭用事，順君之過以安其私：是殘國之治也。”</w:t>
      </w:r>
      <w:r>
        <w:rPr>
          <w:rStyle w:val="ae"/>
          <w:lang w:eastAsia="zh-TW"/>
        </w:rPr>
        <w:endnoteReference w:id="32"/>
      </w:r>
    </w:p>
    <w:p w14:paraId="55D79C91" w14:textId="31385108" w:rsidR="00154B9A" w:rsidRPr="00B224E4" w:rsidRDefault="00154B9A" w:rsidP="00B224E4">
      <w:pPr>
        <w:pStyle w:val="aa"/>
        <w:ind w:firstLine="560"/>
        <w:rPr>
          <w:lang w:eastAsia="zh-TW"/>
        </w:rPr>
      </w:pPr>
      <w:r w:rsidRPr="00B224E4">
        <w:rPr>
          <w:rFonts w:hint="eastAsia"/>
          <w:lang w:eastAsia="zh-TW"/>
        </w:rPr>
        <w:lastRenderedPageBreak/>
        <w:t>《史記·太史公自序》：“夫差克齊，子胥鴟夷；信嚭親越，吳國既滅。”</w:t>
      </w:r>
      <w:r>
        <w:rPr>
          <w:rStyle w:val="ae"/>
          <w:lang w:eastAsia="zh-TW"/>
        </w:rPr>
        <w:endnoteReference w:id="33"/>
      </w:r>
      <w:r w:rsidRPr="00B224E4">
        <w:rPr>
          <w:lang w:eastAsia="zh-TW"/>
        </w:rPr>
        <w:t xml:space="preserve"> </w:t>
      </w:r>
    </w:p>
    <w:p w14:paraId="4B9E4DED" w14:textId="2A65295B" w:rsidR="00154B9A" w:rsidRPr="00B224E4" w:rsidRDefault="00154B9A" w:rsidP="00B224E4">
      <w:pPr>
        <w:pStyle w:val="aa"/>
        <w:ind w:firstLine="560"/>
        <w:rPr>
          <w:lang w:eastAsia="zh-TW"/>
        </w:rPr>
      </w:pPr>
      <w:r w:rsidRPr="00B224E4">
        <w:rPr>
          <w:rFonts w:hint="eastAsia"/>
          <w:lang w:eastAsia="zh-TW"/>
        </w:rPr>
        <w:t>《論衡·偶會》：“世謂子胥伏劍，屈原自沉，子蘭、宰嚭誣讒，吳、楚之君冤殺之也。”</w:t>
      </w:r>
      <w:r>
        <w:rPr>
          <w:rStyle w:val="ae"/>
          <w:lang w:eastAsia="zh-TW"/>
        </w:rPr>
        <w:endnoteReference w:id="34"/>
      </w:r>
    </w:p>
    <w:p w14:paraId="1320627B" w14:textId="11E8D5A3" w:rsidR="00154B9A" w:rsidRPr="00B224E4" w:rsidRDefault="00154B9A" w:rsidP="00B224E4">
      <w:pPr>
        <w:pStyle w:val="aa"/>
        <w:ind w:firstLine="560"/>
        <w:rPr>
          <w:lang w:eastAsia="zh-TW"/>
        </w:rPr>
      </w:pPr>
      <w:r w:rsidRPr="00B224E4">
        <w:rPr>
          <w:rFonts w:hint="eastAsia"/>
          <w:lang w:eastAsia="zh-TW"/>
        </w:rPr>
        <w:t>《論衡·逢遇》：“伍員、帛喜，俱事夫差，帛喜尊重，伍員誅死。”</w:t>
      </w:r>
      <w:r>
        <w:rPr>
          <w:rStyle w:val="ae"/>
          <w:lang w:eastAsia="zh-TW"/>
        </w:rPr>
        <w:endnoteReference w:id="35"/>
      </w:r>
    </w:p>
    <w:p w14:paraId="5C6EB2F1" w14:textId="56A7FADB" w:rsidR="00154B9A" w:rsidRPr="00B224E4" w:rsidRDefault="00154B9A" w:rsidP="00B224E4">
      <w:pPr>
        <w:pStyle w:val="aa"/>
        <w:ind w:firstLine="560"/>
        <w:rPr>
          <w:lang w:eastAsia="zh-TW"/>
        </w:rPr>
      </w:pPr>
      <w:r w:rsidRPr="00B224E4">
        <w:rPr>
          <w:rFonts w:hint="eastAsia"/>
          <w:lang w:eastAsia="zh-TW"/>
        </w:rPr>
        <w:t>《説苑·雜言》：“昔者吳王夫差不聽伍子胥，盡忠極諫，抉目而辜；太宰嚭、公孫雒，偷合苟容，以順夫差之志而伐吳。”</w:t>
      </w:r>
      <w:r>
        <w:rPr>
          <w:rStyle w:val="ae"/>
          <w:lang w:eastAsia="zh-TW"/>
        </w:rPr>
        <w:endnoteReference w:id="36"/>
      </w:r>
    </w:p>
    <w:p w14:paraId="1DD3B27A" w14:textId="29D74A71" w:rsidR="00154B9A" w:rsidRPr="00B224E4" w:rsidRDefault="00154B9A" w:rsidP="00B224E4">
      <w:pPr>
        <w:pStyle w:val="aa"/>
        <w:ind w:firstLine="560"/>
        <w:rPr>
          <w:lang w:eastAsia="zh-TW"/>
        </w:rPr>
      </w:pPr>
      <w:r w:rsidRPr="00B224E4">
        <w:rPr>
          <w:rFonts w:hint="eastAsia"/>
          <w:lang w:eastAsia="zh-TW"/>
        </w:rPr>
        <w:t>《漢書·地理志下》：“至子夫差，誅子胥，用宰嚭，為粵王句踐所滅。”</w:t>
      </w:r>
      <w:r>
        <w:rPr>
          <w:rStyle w:val="ae"/>
          <w:lang w:eastAsia="zh-TW"/>
        </w:rPr>
        <w:endnoteReference w:id="37"/>
      </w:r>
    </w:p>
    <w:p w14:paraId="5D72AD83" w14:textId="6E66D63E" w:rsidR="00154B9A" w:rsidRPr="00B224E4" w:rsidRDefault="00154B9A" w:rsidP="00B224E4">
      <w:pPr>
        <w:pStyle w:val="aa"/>
        <w:ind w:firstLine="560"/>
        <w:rPr>
          <w:lang w:eastAsia="zh-TW"/>
        </w:rPr>
      </w:pPr>
      <w:bookmarkStart w:id="22" w:name="_Hlk113551378"/>
      <w:r w:rsidRPr="00B224E4">
        <w:rPr>
          <w:rFonts w:hint="eastAsia"/>
          <w:lang w:eastAsia="zh-TW"/>
        </w:rPr>
        <w:t>《吳越春秋·夫差内傳·十三年》：</w:t>
      </w:r>
      <w:bookmarkEnd w:id="22"/>
      <w:r w:rsidRPr="00B224E4">
        <w:rPr>
          <w:rFonts w:hint="eastAsia"/>
          <w:lang w:eastAsia="zh-TW"/>
        </w:rPr>
        <w:t>“夫子胥為人精誠中廉，外明而知時，不以身死隱君之過。正言以忠君，直行以為國，其身死而不聽，太宰嚭為人智而愚，強而弱，巧言利辭以内其身，善為詭詐以事其君，知其前而不知其後，順君之過以安其私，是殘國傷君之佞臣也。”</w:t>
      </w:r>
      <w:r>
        <w:rPr>
          <w:rStyle w:val="ae"/>
          <w:lang w:eastAsia="zh-TW"/>
        </w:rPr>
        <w:endnoteReference w:id="38"/>
      </w:r>
    </w:p>
    <w:p w14:paraId="13776777" w14:textId="74F61923" w:rsidR="00154B9A" w:rsidRPr="00B224E4" w:rsidRDefault="00154B9A" w:rsidP="00B224E4">
      <w:pPr>
        <w:pStyle w:val="aa"/>
        <w:ind w:firstLine="560"/>
        <w:rPr>
          <w:lang w:eastAsia="zh-TW"/>
        </w:rPr>
      </w:pPr>
      <w:r w:rsidRPr="00B224E4">
        <w:rPr>
          <w:rFonts w:hint="eastAsia"/>
          <w:lang w:eastAsia="zh-TW"/>
        </w:rPr>
        <w:t>《吳越春秋·夫差内傳·十四年》：“太子友知子胥忠而不用，太宰嚭佞而專政。”</w:t>
      </w:r>
      <w:r>
        <w:rPr>
          <w:rStyle w:val="ae"/>
          <w:lang w:eastAsia="zh-TW"/>
        </w:rPr>
        <w:endnoteReference w:id="39"/>
      </w:r>
    </w:p>
    <w:p w14:paraId="66C8F0C8" w14:textId="490D5F26" w:rsidR="00154B9A" w:rsidRPr="00B224E4" w:rsidRDefault="00154B9A" w:rsidP="00B224E4">
      <w:pPr>
        <w:pStyle w:val="aa"/>
        <w:ind w:firstLine="560"/>
        <w:rPr>
          <w:lang w:eastAsia="zh-TW"/>
        </w:rPr>
      </w:pPr>
      <w:r w:rsidRPr="00B224E4">
        <w:rPr>
          <w:rFonts w:hint="eastAsia"/>
          <w:lang w:eastAsia="zh-TW"/>
        </w:rPr>
        <w:t>《吳越春秋·夫差内傳·二十三年》：“有忠臣伍子胥忠諫而身</w:t>
      </w:r>
      <w:r w:rsidRPr="00B224E4">
        <w:rPr>
          <w:rFonts w:hint="eastAsia"/>
          <w:lang w:eastAsia="zh-TW"/>
        </w:rPr>
        <w:lastRenderedPageBreak/>
        <w:t>死，大過一也</w:t>
      </w:r>
      <w:r w:rsidRPr="00B224E4">
        <w:rPr>
          <w:lang w:eastAsia="zh-TW"/>
        </w:rPr>
        <w:t>…</w:t>
      </w:r>
      <w:r w:rsidRPr="00B224E4">
        <w:rPr>
          <w:rFonts w:hint="eastAsia"/>
          <w:lang w:eastAsia="zh-TW"/>
        </w:rPr>
        <w:t>太宰嚭愚而佞，言輕而讒諛，妄語恣口，聽而用之，大過三也。”</w:t>
      </w:r>
      <w:r>
        <w:rPr>
          <w:rStyle w:val="ae"/>
          <w:lang w:eastAsia="zh-TW"/>
        </w:rPr>
        <w:endnoteReference w:id="40"/>
      </w:r>
      <w:r w:rsidRPr="00B224E4">
        <w:rPr>
          <w:rFonts w:hint="eastAsia"/>
          <w:lang w:eastAsia="zh-TW"/>
        </w:rPr>
        <w:t xml:space="preserve"> </w:t>
      </w:r>
    </w:p>
    <w:p w14:paraId="45CA1D78" w14:textId="786665C9" w:rsidR="00154B9A" w:rsidRPr="00B224E4" w:rsidRDefault="00154B9A" w:rsidP="00B224E4">
      <w:pPr>
        <w:pStyle w:val="aa"/>
        <w:ind w:firstLine="560"/>
        <w:rPr>
          <w:lang w:eastAsia="zh-TW"/>
        </w:rPr>
      </w:pPr>
      <w:r w:rsidRPr="00B224E4">
        <w:rPr>
          <w:rFonts w:hint="eastAsia"/>
          <w:lang w:eastAsia="zh-TW"/>
        </w:rPr>
        <w:t>《越絕書·外地計策考》：“子胥諫而誅。宰嚭諛心，卒以亡吳。”</w:t>
      </w:r>
      <w:r>
        <w:rPr>
          <w:rStyle w:val="ae"/>
          <w:lang w:eastAsia="zh-TW"/>
        </w:rPr>
        <w:endnoteReference w:id="41"/>
      </w:r>
      <w:r w:rsidRPr="00B224E4">
        <w:rPr>
          <w:rFonts w:hint="eastAsia"/>
          <w:lang w:eastAsia="zh-TW"/>
        </w:rPr>
        <w:t>與其後的</w:t>
      </w:r>
      <w:r w:rsidRPr="00B224E4">
        <w:rPr>
          <w:lang w:eastAsia="zh-TW"/>
        </w:rPr>
        <w:t xml:space="preserve"> </w:t>
      </w:r>
      <w:r w:rsidRPr="00B224E4">
        <w:rPr>
          <w:rFonts w:hint="eastAsia"/>
          <w:lang w:eastAsia="zh-TW"/>
        </w:rPr>
        <w:t>“夫差淺短，以是與嚭專權，伍胥為之惑，是之謂也。”</w:t>
      </w:r>
      <w:r>
        <w:rPr>
          <w:rStyle w:val="ae"/>
          <w:lang w:eastAsia="zh-TW"/>
        </w:rPr>
        <w:endnoteReference w:id="42"/>
      </w:r>
    </w:p>
    <w:p w14:paraId="75D96540" w14:textId="7249236D" w:rsidR="00154B9A" w:rsidRPr="00B224E4" w:rsidRDefault="00154B9A" w:rsidP="00B224E4">
      <w:pPr>
        <w:pStyle w:val="aa"/>
        <w:ind w:firstLine="560"/>
        <w:rPr>
          <w:lang w:eastAsia="zh-TW"/>
        </w:rPr>
      </w:pPr>
      <w:r w:rsidRPr="00B224E4">
        <w:rPr>
          <w:rFonts w:hint="eastAsia"/>
          <w:lang w:eastAsia="zh-TW"/>
        </w:rPr>
        <w:t>《越絕書·外地計吳王占夢》：“殺忠臣伍子胥、公孫聖。胥為人先知、忠信，中斷之入江；聖正言直諫，身死無功。此非大過者二乎</w:t>
      </w:r>
      <w:r w:rsidRPr="00B224E4">
        <w:rPr>
          <w:lang w:eastAsia="zh-TW"/>
        </w:rPr>
        <w:t>…</w:t>
      </w:r>
      <w:r w:rsidRPr="00B224E4">
        <w:rPr>
          <w:rFonts w:hint="eastAsia"/>
          <w:lang w:eastAsia="zh-TW"/>
        </w:rPr>
        <w:t>太宰嚭讒諛佞諂，斷絕王世，聽而用之。此非大過者五乎？”</w:t>
      </w:r>
      <w:r>
        <w:rPr>
          <w:rStyle w:val="ae"/>
          <w:lang w:eastAsia="zh-TW"/>
        </w:rPr>
        <w:endnoteReference w:id="43"/>
      </w:r>
    </w:p>
    <w:p w14:paraId="300E2E3B" w14:textId="08392B31" w:rsidR="00154B9A" w:rsidRPr="00B224E4" w:rsidRDefault="00154B9A" w:rsidP="00B224E4">
      <w:pPr>
        <w:pStyle w:val="aa"/>
        <w:ind w:firstLine="560"/>
        <w:rPr>
          <w:lang w:eastAsia="zh-TW"/>
        </w:rPr>
      </w:pPr>
      <w:r w:rsidRPr="00B224E4">
        <w:rPr>
          <w:rFonts w:hint="eastAsia"/>
          <w:lang w:eastAsia="zh-TW"/>
        </w:rPr>
        <w:t>《中論·慎所從》：“吳王夫差、楚懷、王襄，棄伍員、屈平之良謀，收宰嚭上官之諛言，以失江漢之地，而喪宗廟之主。”</w:t>
      </w:r>
      <w:r>
        <w:rPr>
          <w:rStyle w:val="ae"/>
          <w:lang w:eastAsia="zh-TW"/>
        </w:rPr>
        <w:endnoteReference w:id="44"/>
      </w:r>
    </w:p>
    <w:p w14:paraId="2B104927" w14:textId="77777777" w:rsidR="00154B9A" w:rsidRPr="00B224E4" w:rsidRDefault="00154B9A" w:rsidP="00B224E4">
      <w:pPr>
        <w:pStyle w:val="aa"/>
        <w:ind w:firstLine="560"/>
        <w:rPr>
          <w:lang w:eastAsia="zh-TW"/>
        </w:rPr>
      </w:pPr>
      <w:r w:rsidRPr="00B224E4">
        <w:rPr>
          <w:rFonts w:hint="eastAsia"/>
          <w:lang w:eastAsia="zh-TW"/>
        </w:rPr>
        <w:t>從中可見諸家對伍子胥與伯嚭在個人品行、治國影響等方面的歷史評價，主要讚頌伍子胥為睿智有功而無辜慘死的忠賢形象，貶斥伯嚭為諂媚貪婪而誤國害賢的奸佞形象。簡文將“伍子胥”與“送</w:t>
      </w:r>
      <w:r w:rsidRPr="00B224E4">
        <w:rPr>
          <w:lang w:eastAsia="zh-TW"/>
        </w:rPr>
        <w:drawing>
          <wp:inline distT="0" distB="0" distL="0" distR="0" wp14:anchorId="7A5016F9" wp14:editId="6D8E36D4">
            <wp:extent cx="97790" cy="11557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構成反向對比，此“送</w:t>
      </w:r>
      <w:r w:rsidRPr="00B224E4">
        <w:rPr>
          <w:lang w:eastAsia="zh-TW"/>
        </w:rPr>
        <w:drawing>
          <wp:inline distT="0" distB="0" distL="0" distR="0" wp14:anchorId="03DA6445" wp14:editId="6C456B47">
            <wp:extent cx="97790" cy="11557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正同于伯嚭之行，才能激發出表達出作者強烈的不解與不滿，方可引出下文“鬼神不明”的主題。</w:t>
      </w:r>
    </w:p>
    <w:p w14:paraId="2AD32E18" w14:textId="77777777" w:rsidR="00154B9A" w:rsidRPr="00B224E4" w:rsidRDefault="00154B9A" w:rsidP="00B224E4">
      <w:pPr>
        <w:pStyle w:val="aa"/>
        <w:ind w:firstLine="560"/>
        <w:rPr>
          <w:lang w:eastAsia="zh-TW"/>
        </w:rPr>
      </w:pPr>
      <w:r w:rsidRPr="00B224E4">
        <w:rPr>
          <w:rFonts w:hint="eastAsia"/>
          <w:lang w:eastAsia="zh-TW"/>
        </w:rPr>
        <w:t>總的來説，從官位才能、執政時間、個人仕途、品行對比和後來評價來看，伯嚭是最接近“送</w:t>
      </w:r>
      <w:r w:rsidRPr="00B224E4">
        <w:rPr>
          <w:lang w:eastAsia="zh-TW"/>
        </w:rPr>
        <w:drawing>
          <wp:inline distT="0" distB="0" distL="0" distR="0" wp14:anchorId="3E31762F" wp14:editId="0A8FB86D">
            <wp:extent cx="97790" cy="11557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w:t>
      </w:r>
      <w:r w:rsidRPr="00B224E4">
        <w:rPr>
          <w:lang w:eastAsia="zh-TW"/>
        </w:rPr>
        <w:t>”</w:t>
      </w:r>
      <w:r w:rsidRPr="00B224E4">
        <w:rPr>
          <w:rFonts w:hint="eastAsia"/>
          <w:lang w:eastAsia="zh-TW"/>
        </w:rPr>
        <w:t>形象的人。</w:t>
      </w:r>
    </w:p>
    <w:p w14:paraId="029C08CB" w14:textId="77777777" w:rsidR="00154B9A" w:rsidRPr="00B224E4" w:rsidRDefault="00154B9A" w:rsidP="00B224E4">
      <w:pPr>
        <w:pStyle w:val="aa"/>
        <w:ind w:firstLine="560"/>
        <w:rPr>
          <w:lang w:eastAsia="zh-TW"/>
        </w:rPr>
      </w:pPr>
      <w:r w:rsidRPr="00B224E4">
        <w:rPr>
          <w:rFonts w:hint="eastAsia"/>
          <w:lang w:eastAsia="zh-TW"/>
        </w:rPr>
        <w:t>關於伍子胥的人物對比，《左傳》、《荀子》、《韓非子》、《莊子》</w:t>
      </w:r>
      <w:r w:rsidRPr="00B224E4">
        <w:rPr>
          <w:rFonts w:hint="eastAsia"/>
          <w:lang w:eastAsia="zh-TW"/>
        </w:rPr>
        <w:lastRenderedPageBreak/>
        <w:t>等先秦古書多將伍子胥與關龍逢、比干和屈原等人進行同類比較，並未將伍子胥與伯嚭進行反向比較。《墨子》現存相關篇目有分開討論伍子胥和伯嚭兩人，也未有相合進行反向比較評價，反向比評始於《史記》。伍子胥、伯嚭同為春秋末期人，墨子為戰國初期人，墨子生年與前兩者的卒年大約時間相距不超過</w:t>
      </w:r>
      <w:r w:rsidRPr="00B224E4">
        <w:rPr>
          <w:lang w:eastAsia="zh-TW"/>
        </w:rPr>
        <w:t>20</w:t>
      </w:r>
      <w:r w:rsidRPr="00B224E4">
        <w:rPr>
          <w:rFonts w:hint="eastAsia"/>
          <w:lang w:eastAsia="zh-TW"/>
        </w:rPr>
        <w:t>年。因而，其所論的伍子胥和伯嚭當近為真事。“伍子胥”與“送</w:t>
      </w:r>
      <w:r w:rsidRPr="00B224E4">
        <w:rPr>
          <w:lang w:eastAsia="zh-TW"/>
        </w:rPr>
        <w:drawing>
          <wp:inline distT="0" distB="0" distL="0" distR="0" wp14:anchorId="46A2EEC9" wp14:editId="73AF6FE8">
            <wp:extent cx="97790" cy="11557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 xml:space="preserve">公”由此當為近事反向比較，才能彰顯出墨子後學對“明鬼”主張的懷疑與反思。同時簡文作者距離墨子應有一段時間，當早於《史記》之前，才能開《史記》對兩人的相合反向比評。 </w:t>
      </w:r>
    </w:p>
    <w:p w14:paraId="3709FE75" w14:textId="4D2D0AAC" w:rsidR="00B224E4" w:rsidRPr="00B224E4" w:rsidRDefault="00154B9A" w:rsidP="00B224E4">
      <w:pPr>
        <w:pStyle w:val="aa"/>
        <w:ind w:firstLine="560"/>
        <w:rPr>
          <w:lang w:eastAsia="zh-TW"/>
        </w:rPr>
      </w:pPr>
      <w:r w:rsidRPr="00B224E4">
        <w:rPr>
          <w:rFonts w:hint="eastAsia"/>
          <w:lang w:eastAsia="zh-TW"/>
        </w:rPr>
        <w:t>關於《鬼神之明》的學派屬性，李氏也簡要談及，此處並不詳述。曹錦炎和淺野裕一兩位先生的意見頗為中肯。李銳先生認為“</w:t>
      </w:r>
      <w:bookmarkStart w:id="24" w:name="_Hlk113786039"/>
      <w:r w:rsidRPr="00B224E4">
        <w:rPr>
          <w:rFonts w:hint="eastAsia"/>
          <w:lang w:eastAsia="zh-TW"/>
        </w:rPr>
        <w:t>敬天命、遠鬼神而远之</w:t>
      </w:r>
      <w:bookmarkEnd w:id="24"/>
      <w:r w:rsidRPr="00B224E4">
        <w:rPr>
          <w:rFonts w:hint="eastAsia"/>
          <w:lang w:eastAsia="zh-TW"/>
        </w:rPr>
        <w:t>的儒家，倒不无说说‘鬼神有所明有所不明’的可能性”</w:t>
      </w:r>
      <w:r>
        <w:rPr>
          <w:rFonts w:hint="eastAsia"/>
          <w:lang w:eastAsia="zh-TW"/>
        </w:rPr>
        <w:t>，</w:t>
      </w:r>
      <w:r>
        <w:rPr>
          <w:rStyle w:val="ae"/>
          <w:lang w:eastAsia="zh-TW"/>
        </w:rPr>
        <w:endnoteReference w:id="45"/>
      </w:r>
      <w:r w:rsidRPr="00B224E4">
        <w:rPr>
          <w:rFonts w:hint="eastAsia"/>
          <w:lang w:eastAsia="zh-TW"/>
        </w:rPr>
        <w:t>丁四新先生認為它“只能屬於墨學異端完全背離師説的作品”。</w:t>
      </w:r>
      <w:r>
        <w:rPr>
          <w:rStyle w:val="ae"/>
          <w:lang w:eastAsia="zh-TW"/>
        </w:rPr>
        <w:endnoteReference w:id="46"/>
      </w:r>
      <w:r w:rsidRPr="00B224E4">
        <w:rPr>
          <w:lang w:eastAsia="zh-TW"/>
        </w:rPr>
        <w:t xml:space="preserve"> </w:t>
      </w:r>
      <w:r w:rsidR="00B224E4" w:rsidRPr="00B224E4">
        <w:rPr>
          <w:rFonts w:hint="eastAsia"/>
          <w:lang w:eastAsia="zh-TW"/>
        </w:rPr>
        <w:t>實際上，從簡文字數來看，簡文論述“鬼神之明”的字數明顯多於“鬼神不明”。從簡文内容來看，作者後期為解釋“鬼神不明”的原因，嘗試着給出“其力能至焉而弗為”和“其力故不能至”兩條理由。句末也多以“乎”字結尾，語氣較為和緩不堅決，個人看法的“弗知也”，表達上也極為克制本分，不強加辯駁詰難。整體看來，</w:t>
      </w:r>
      <w:r w:rsidR="00B224E4" w:rsidRPr="00B224E4">
        <w:rPr>
          <w:rFonts w:hint="eastAsia"/>
          <w:lang w:eastAsia="zh-TW"/>
        </w:rPr>
        <w:lastRenderedPageBreak/>
        <w:t xml:space="preserve">諸多發問體現出作者的疑惑與克制，在反思懷疑中無形又維護着墨家思想。如若這是與墨家同為顯學的戰國爭鳴時代下的儒家作品，發言豈會如此篇幅又簡短小，語氣和緩又遲疑，情感疑惑又克制？更不會為之維護，提出自己的兩條回護理由。 </w:t>
      </w:r>
    </w:p>
    <w:p w14:paraId="15739684" w14:textId="77777777" w:rsidR="00B224E4" w:rsidRPr="00B224E4" w:rsidRDefault="00B224E4" w:rsidP="00B224E4">
      <w:pPr>
        <w:pStyle w:val="aa"/>
        <w:ind w:firstLine="560"/>
        <w:rPr>
          <w:lang w:eastAsia="zh-TW"/>
        </w:rPr>
      </w:pPr>
      <w:r w:rsidRPr="00B224E4">
        <w:rPr>
          <w:rFonts w:hint="eastAsia"/>
          <w:lang w:eastAsia="zh-TW"/>
        </w:rPr>
        <w:t>李銳先生引《論衡·福虛》中的有關文字證明儒家有“鬼神不明”的思想，並就秦穆公與晉文公兩人的謚號認為兩人的德行與年壽不相匹配，正顯“鬼神不明”的主題。從文字内容來看，確實近於《鬼神之明》所論内容，但這也並非儒家的獨有思想。道家莊子的“無恥者富</w:t>
      </w:r>
      <w:r w:rsidRPr="00B224E4">
        <w:rPr>
          <w:lang w:eastAsia="zh-TW"/>
        </w:rPr>
        <w:t>,</w:t>
      </w:r>
      <w:r w:rsidRPr="00B224E4">
        <w:rPr>
          <w:rFonts w:hint="eastAsia"/>
          <w:lang w:eastAsia="zh-TW"/>
        </w:rPr>
        <w:t xml:space="preserve">多信者顯”“竊鉤者誅，竊國者為諸侯”，法家韓非子的“儒以文亂法，而俠以武犯禁”等思想，所體現出的鬼神與君主賞罰不明思想，雖不比《論衡·福虛》近於《鬼神之明》的内容，但其於“鬼神不明”的思想也可相互比看。這也反映出戰國時期諸子百家思想的鬥爭激烈，各自互相攻訐同時又相互借鑒。《鬼神不明》的作者在其時或許受到了其他學派的影響，有感于伍子胥與伯嚭之事所體現出的“鬼神不明”的主題，故而小心謹慎地質疑墨子的“明鬼”主張，同時又加以回護反思。非同于道家、法家、儒家對墨家的批判，此篇《鬼神之明》更像是墨家内部對墨子“明鬼”主張的反思與懷疑。 </w:t>
      </w:r>
      <w:r w:rsidRPr="00B224E4">
        <w:rPr>
          <w:lang w:eastAsia="zh-TW"/>
        </w:rPr>
        <w:t xml:space="preserve">  </w:t>
      </w:r>
    </w:p>
    <w:p w14:paraId="0E61FF6D" w14:textId="77777777" w:rsidR="00B224E4" w:rsidRPr="00B224E4" w:rsidRDefault="00B224E4" w:rsidP="00B224E4">
      <w:pPr>
        <w:pStyle w:val="aa"/>
        <w:ind w:firstLine="560"/>
        <w:rPr>
          <w:lang w:eastAsia="zh-TW"/>
        </w:rPr>
      </w:pPr>
      <w:bookmarkStart w:id="26" w:name="_Hlk113566261"/>
      <w:r w:rsidRPr="00B224E4">
        <w:rPr>
          <w:rFonts w:hint="eastAsia"/>
          <w:lang w:eastAsia="zh-TW"/>
        </w:rPr>
        <w:t>至於李氏建議將《鬼神之明》中的“伍子胥”改為“晉文公”的</w:t>
      </w:r>
      <w:r w:rsidRPr="00B224E4">
        <w:rPr>
          <w:rFonts w:hint="eastAsia"/>
          <w:lang w:eastAsia="zh-TW"/>
        </w:rPr>
        <w:lastRenderedPageBreak/>
        <w:t>看法，這是為了配合其將“送</w:t>
      </w:r>
      <w:bookmarkEnd w:id="26"/>
      <w:r w:rsidRPr="00B224E4">
        <w:rPr>
          <w:lang w:eastAsia="zh-TW"/>
        </w:rPr>
        <w:drawing>
          <wp:inline distT="0" distB="0" distL="0" distR="0" wp14:anchorId="2C64FDC9" wp14:editId="3968CE14">
            <wp:extent cx="97790" cy="11557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15570"/>
                    </a:xfrm>
                    <a:prstGeom prst="rect">
                      <a:avLst/>
                    </a:prstGeom>
                    <a:noFill/>
                  </pic:spPr>
                </pic:pic>
              </a:graphicData>
            </a:graphic>
          </wp:inline>
        </w:drawing>
      </w:r>
      <w:r w:rsidRPr="00B224E4">
        <w:rPr>
          <w:rFonts w:hint="eastAsia"/>
          <w:lang w:eastAsia="zh-TW"/>
        </w:rPr>
        <w:t>公”讀為“秦穆公”的説法，實際並不恰當。清華簡《良臣》中“伍子胥”的字形寫法同於《鬼神之明》，其人為“伍子胥”，甚明。因而此處不大可能改為屬於君的“晉文公”。其將“送公”讀為“秦穆公”之法，並不完全有據，上已辨明，然再在此基礎上改動已明的“伍子胥”，遷就僅因謚號好壞、德壽長短而形成的“晉文公”與“秦穆公”的對比，來彰顯“鬼神不明”的主題，整體看來，過於宛曲周折，不甚恰當。</w:t>
      </w:r>
    </w:p>
    <w:bookmarkEnd w:id="2"/>
    <w:p w14:paraId="5C8FF218" w14:textId="77777777" w:rsidR="00B224E4" w:rsidRPr="00B224E4" w:rsidRDefault="00B224E4"/>
    <w:sectPr w:rsidR="00B224E4" w:rsidRPr="00B224E4">
      <w:headerReference w:type="default" r:id="rId16"/>
      <w:footerReference w:type="even" r:id="rId17"/>
      <w:footerReference w:type="default" r:id="rId18"/>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5D71" w14:textId="77777777" w:rsidR="003C1105" w:rsidRDefault="003C1105" w:rsidP="00CB0024">
      <w:r>
        <w:separator/>
      </w:r>
    </w:p>
  </w:endnote>
  <w:endnote w:type="continuationSeparator" w:id="0">
    <w:p w14:paraId="49DA3056" w14:textId="77777777" w:rsidR="003C1105" w:rsidRDefault="003C1105" w:rsidP="00CB0024">
      <w:r>
        <w:continuationSeparator/>
      </w:r>
    </w:p>
  </w:endnote>
  <w:endnote w:id="1">
    <w:p w14:paraId="68A0F507" w14:textId="36768C79" w:rsidR="008E1E90" w:rsidRPr="00EC287A" w:rsidRDefault="008E1E90" w:rsidP="00EC287A">
      <w:r w:rsidRPr="00EC287A">
        <w:endnoteRef/>
      </w:r>
      <w:r w:rsidRPr="00EC287A">
        <w:t xml:space="preserve"> </w:t>
      </w:r>
      <w:r w:rsidRPr="00EC287A">
        <w:rPr>
          <w:rFonts w:hint="eastAsia"/>
        </w:rPr>
        <w:t>馬承源主編：《上海博物館藏戰國楚竹書（五）》，上海，上海古籍出版社，</w:t>
      </w:r>
      <w:r w:rsidRPr="00EC287A">
        <w:t>2005</w:t>
      </w:r>
      <w:r w:rsidRPr="00EC287A">
        <w:rPr>
          <w:rFonts w:hint="eastAsia"/>
        </w:rPr>
        <w:t>年，第</w:t>
      </w:r>
      <w:r w:rsidRPr="00EC287A">
        <w:t>317</w:t>
      </w:r>
      <w:r w:rsidRPr="00EC287A">
        <w:rPr>
          <w:rFonts w:hint="eastAsia"/>
        </w:rPr>
        <w:t>頁。</w:t>
      </w:r>
    </w:p>
  </w:endnote>
  <w:endnote w:id="2">
    <w:p w14:paraId="56283ACB" w14:textId="0025A976" w:rsidR="008E1E90" w:rsidRPr="00EC287A" w:rsidRDefault="008E1E90" w:rsidP="00EC287A">
      <w:r w:rsidRPr="00EC287A">
        <w:endnoteRef/>
      </w:r>
      <w:r w:rsidRPr="00EC287A">
        <w:t xml:space="preserve"> </w:t>
      </w:r>
      <w:r w:rsidRPr="00EC287A">
        <w:rPr>
          <w:rFonts w:hint="eastAsia"/>
        </w:rPr>
        <w:t>李家浩、楊澤生</w:t>
      </w:r>
      <w:bookmarkStart w:id="5" w:name="_Hlk113788000"/>
      <w:r w:rsidRPr="00EC287A">
        <w:rPr>
          <w:rFonts w:hint="eastAsia"/>
        </w:rPr>
        <w:t>：《談上博竹書&lt;鬼神之明</w:t>
      </w:r>
      <w:r w:rsidRPr="00EC287A">
        <w:t>&gt;</w:t>
      </w:r>
      <w:r w:rsidRPr="00EC287A">
        <w:rPr>
          <w:rFonts w:hint="eastAsia"/>
        </w:rPr>
        <w:t>中的“送</w:t>
      </w:r>
      <w:r w:rsidRPr="00EC287A">
        <w:rPr>
          <w:rFonts w:hint="eastAsia"/>
        </w:rPr>
        <w:drawing>
          <wp:inline distT="0" distB="0" distL="0" distR="0" wp14:anchorId="14014712" wp14:editId="10104CBE">
            <wp:extent cx="89854" cy="104681"/>
            <wp:effectExtent l="0" t="0" r="571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81" cy="108907"/>
                    </a:xfrm>
                    <a:prstGeom prst="rect">
                      <a:avLst/>
                    </a:prstGeom>
                    <a:noFill/>
                    <a:ln>
                      <a:noFill/>
                    </a:ln>
                  </pic:spPr>
                </pic:pic>
              </a:graphicData>
            </a:graphic>
          </wp:inline>
        </w:drawing>
      </w:r>
      <w:r w:rsidRPr="00EC287A">
        <w:rPr>
          <w:rFonts w:hint="eastAsia"/>
        </w:rPr>
        <w:t>公”》，</w:t>
      </w:r>
      <w:bookmarkEnd w:id="5"/>
      <w:r w:rsidRPr="00EC287A">
        <w:rPr>
          <w:rFonts w:hint="eastAsia"/>
        </w:rPr>
        <w:t>《簡帛》，</w:t>
      </w:r>
      <w:r w:rsidRPr="00EC287A">
        <w:t>2009</w:t>
      </w:r>
      <w:r w:rsidRPr="00EC287A">
        <w:rPr>
          <w:rFonts w:hint="eastAsia"/>
        </w:rPr>
        <w:t>年第</w:t>
      </w:r>
      <w:r w:rsidRPr="00EC287A">
        <w:t>4</w:t>
      </w:r>
      <w:r w:rsidRPr="00EC287A">
        <w:rPr>
          <w:rFonts w:hint="eastAsia"/>
        </w:rPr>
        <w:t>輯，第</w:t>
      </w:r>
      <w:r w:rsidRPr="00EC287A">
        <w:t>179</w:t>
      </w:r>
      <w:r w:rsidRPr="00EC287A">
        <w:rPr>
          <w:rFonts w:hint="eastAsia"/>
        </w:rPr>
        <w:t>頁。</w:t>
      </w:r>
    </w:p>
  </w:endnote>
  <w:endnote w:id="3">
    <w:p w14:paraId="1235B7A0" w14:textId="48D2817C" w:rsidR="00154B9A" w:rsidRPr="00EC287A" w:rsidRDefault="00154B9A" w:rsidP="00EC287A">
      <w:r w:rsidRPr="00EC287A">
        <w:endnoteRef/>
      </w:r>
      <w:r w:rsidRPr="00EC287A">
        <w:t xml:space="preserve"> </w:t>
      </w:r>
      <w:r w:rsidRPr="00EC287A">
        <w:rPr>
          <w:rFonts w:hint="eastAsia"/>
        </w:rPr>
        <w:t>吳樹平：《風俗通義校釋》，天津，天津人民出版社，</w:t>
      </w:r>
      <w:r w:rsidRPr="00EC287A">
        <w:t>1980</w:t>
      </w:r>
      <w:r w:rsidRPr="00EC287A">
        <w:rPr>
          <w:rFonts w:hint="eastAsia"/>
        </w:rPr>
        <w:t>年，第</w:t>
      </w:r>
      <w:r w:rsidRPr="00EC287A">
        <w:t>22</w:t>
      </w:r>
      <w:r w:rsidRPr="00EC287A">
        <w:rPr>
          <w:rFonts w:hint="eastAsia"/>
        </w:rPr>
        <w:t>頁。</w:t>
      </w:r>
    </w:p>
  </w:endnote>
  <w:endnote w:id="4">
    <w:p w14:paraId="0464A844" w14:textId="7C845A97" w:rsidR="00154B9A" w:rsidRPr="00EC287A" w:rsidRDefault="00154B9A" w:rsidP="00EC287A">
      <w:r w:rsidRPr="00EC287A">
        <w:endnoteRef/>
      </w:r>
      <w:r w:rsidRPr="00EC287A">
        <w:t xml:space="preserve"> </w:t>
      </w:r>
      <w:r w:rsidRPr="00EC287A">
        <w:rPr>
          <w:rFonts w:hint="eastAsia"/>
        </w:rPr>
        <w:t>《十三經注疏·尚書正義》，北京，北京大學出版社，</w:t>
      </w:r>
      <w:r w:rsidRPr="00EC287A">
        <w:t>1999</w:t>
      </w:r>
      <w:r w:rsidRPr="00EC287A">
        <w:rPr>
          <w:rFonts w:hint="eastAsia"/>
        </w:rPr>
        <w:t>年，第</w:t>
      </w:r>
      <w:r w:rsidRPr="00EC287A">
        <w:t>569</w:t>
      </w:r>
      <w:r w:rsidRPr="00EC287A">
        <w:rPr>
          <w:rFonts w:hint="eastAsia"/>
        </w:rPr>
        <w:t>頁。</w:t>
      </w:r>
    </w:p>
  </w:endnote>
  <w:endnote w:id="5">
    <w:p w14:paraId="1A336717" w14:textId="07E438C5" w:rsidR="00154B9A" w:rsidRPr="00EC287A" w:rsidRDefault="00154B9A" w:rsidP="00EC287A">
      <w:r w:rsidRPr="00EC287A">
        <w:endnoteRef/>
      </w:r>
      <w:r w:rsidRPr="00EC287A">
        <w:t xml:space="preserve"> </w:t>
      </w:r>
      <w:r w:rsidRPr="00EC287A">
        <w:rPr>
          <w:rFonts w:hint="eastAsia"/>
        </w:rPr>
        <w:t>《十三經注疏·尚書正義》，第</w:t>
      </w:r>
      <w:r w:rsidRPr="00EC287A">
        <w:t>569—570</w:t>
      </w:r>
      <w:r w:rsidRPr="00EC287A">
        <w:rPr>
          <w:rFonts w:hint="eastAsia"/>
        </w:rPr>
        <w:t>頁。</w:t>
      </w:r>
    </w:p>
  </w:endnote>
  <w:endnote w:id="6">
    <w:p w14:paraId="37CBE48F" w14:textId="15DAD9DA" w:rsidR="00154B9A" w:rsidRPr="00EC287A" w:rsidRDefault="00154B9A" w:rsidP="00EC287A">
      <w:r w:rsidRPr="00EC287A">
        <w:endnoteRef/>
      </w:r>
      <w:r w:rsidRPr="00EC287A">
        <w:t xml:space="preserve"> 《</w:t>
      </w:r>
      <w:r w:rsidRPr="00EC287A">
        <w:rPr>
          <w:rFonts w:hint="eastAsia"/>
        </w:rPr>
        <w:t>史記》（</w:t>
      </w:r>
      <w:r w:rsidRPr="00EC287A">
        <w:rPr>
          <w:rFonts w:hint="eastAsia"/>
        </w:rPr>
        <w:t>修訂本），北京，中華</w:t>
      </w:r>
      <w:proofErr w:type="gramStart"/>
      <w:r w:rsidRPr="00EC287A">
        <w:rPr>
          <w:rFonts w:hint="eastAsia"/>
        </w:rPr>
        <w:t>書</w:t>
      </w:r>
      <w:proofErr w:type="gramEnd"/>
      <w:r w:rsidRPr="00EC287A">
        <w:rPr>
          <w:rFonts w:hint="eastAsia"/>
        </w:rPr>
        <w:t>局，</w:t>
      </w:r>
      <w:r w:rsidRPr="00EC287A">
        <w:t>2014</w:t>
      </w:r>
      <w:r w:rsidRPr="00EC287A">
        <w:rPr>
          <w:rFonts w:hint="eastAsia"/>
        </w:rPr>
        <w:t>年，第</w:t>
      </w:r>
      <w:r w:rsidRPr="00EC287A">
        <w:t>2234</w:t>
      </w:r>
      <w:r w:rsidRPr="00EC287A">
        <w:rPr>
          <w:rFonts w:hint="eastAsia"/>
        </w:rPr>
        <w:t>頁。</w:t>
      </w:r>
    </w:p>
  </w:endnote>
  <w:endnote w:id="7">
    <w:p w14:paraId="10A5E737" w14:textId="3DC46D49" w:rsidR="00154B9A" w:rsidRPr="00EC287A" w:rsidRDefault="00154B9A" w:rsidP="00EC287A">
      <w:r w:rsidRPr="00EC287A">
        <w:endnoteRef/>
      </w:r>
      <w:r w:rsidRPr="00EC287A">
        <w:t xml:space="preserve"> </w:t>
      </w:r>
      <w:proofErr w:type="gramStart"/>
      <w:r w:rsidRPr="00EC287A">
        <w:rPr>
          <w:rFonts w:hint="eastAsia"/>
        </w:rPr>
        <w:t>楊</w:t>
      </w:r>
      <w:proofErr w:type="gramEnd"/>
      <w:r w:rsidRPr="00EC287A">
        <w:rPr>
          <w:rFonts w:hint="eastAsia"/>
        </w:rPr>
        <w:t>伯峻：《春秋左傳注》，北京，中華</w:t>
      </w:r>
      <w:proofErr w:type="gramStart"/>
      <w:r w:rsidRPr="00EC287A">
        <w:rPr>
          <w:rFonts w:hint="eastAsia"/>
        </w:rPr>
        <w:t>書</w:t>
      </w:r>
      <w:proofErr w:type="gramEnd"/>
      <w:r w:rsidRPr="00EC287A">
        <w:rPr>
          <w:rFonts w:hint="eastAsia"/>
        </w:rPr>
        <w:t>局，</w:t>
      </w:r>
      <w:r w:rsidRPr="00EC287A">
        <w:t>1981</w:t>
      </w:r>
      <w:r w:rsidRPr="00EC287A">
        <w:rPr>
          <w:rFonts w:hint="eastAsia"/>
        </w:rPr>
        <w:t>年，第</w:t>
      </w:r>
      <w:r w:rsidRPr="00EC287A">
        <w:t>547</w:t>
      </w:r>
      <w:r w:rsidRPr="00EC287A">
        <w:rPr>
          <w:rFonts w:hint="eastAsia"/>
        </w:rPr>
        <w:t>頁。</w:t>
      </w:r>
    </w:p>
  </w:endnote>
  <w:endnote w:id="8">
    <w:p w14:paraId="148A7710" w14:textId="6BBB7300" w:rsidR="00154B9A" w:rsidRPr="00EC287A" w:rsidRDefault="00154B9A" w:rsidP="00EC287A">
      <w:r w:rsidRPr="00EC287A">
        <w:endnoteRef/>
      </w:r>
      <w:r w:rsidRPr="00EC287A">
        <w:t xml:space="preserve"> </w:t>
      </w:r>
      <w:bookmarkStart w:id="8" w:name="_Hlk113787456"/>
      <w:r w:rsidRPr="00EC287A">
        <w:rPr>
          <w:rFonts w:hint="eastAsia"/>
        </w:rPr>
        <w:t>《史記》（</w:t>
      </w:r>
      <w:r w:rsidRPr="00EC287A">
        <w:rPr>
          <w:rFonts w:hint="eastAsia"/>
        </w:rPr>
        <w:t>修訂本），</w:t>
      </w:r>
      <w:bookmarkEnd w:id="8"/>
      <w:r w:rsidRPr="00EC287A">
        <w:rPr>
          <w:rFonts w:hint="eastAsia"/>
        </w:rPr>
        <w:t>第</w:t>
      </w:r>
      <w:r w:rsidRPr="00EC287A">
        <w:t>183</w:t>
      </w:r>
      <w:r w:rsidRPr="00EC287A">
        <w:rPr>
          <w:rFonts w:hint="eastAsia"/>
        </w:rPr>
        <w:t>頁。</w:t>
      </w:r>
    </w:p>
  </w:endnote>
  <w:endnote w:id="9">
    <w:p w14:paraId="10D378E7" w14:textId="4F17B73F" w:rsidR="00154B9A" w:rsidRPr="00EC287A" w:rsidRDefault="00154B9A" w:rsidP="00EC287A">
      <w:r w:rsidRPr="00EC287A">
        <w:endnoteRef/>
      </w:r>
      <w:r w:rsidRPr="00EC287A">
        <w:t xml:space="preserve"> </w:t>
      </w:r>
      <w:r w:rsidRPr="00EC287A">
        <w:rPr>
          <w:rFonts w:hint="eastAsia"/>
        </w:rPr>
        <w:t>《史記》（</w:t>
      </w:r>
      <w:r w:rsidRPr="00EC287A">
        <w:rPr>
          <w:rFonts w:hint="eastAsia"/>
        </w:rPr>
        <w:t>修訂本），第</w:t>
      </w:r>
      <w:r w:rsidRPr="00EC287A">
        <w:t>1</w:t>
      </w:r>
      <w:r w:rsidRPr="00EC287A">
        <w:t>94</w:t>
      </w:r>
      <w:r w:rsidRPr="00EC287A">
        <w:rPr>
          <w:rFonts w:hint="eastAsia"/>
        </w:rPr>
        <w:t>頁。</w:t>
      </w:r>
    </w:p>
  </w:endnote>
  <w:endnote w:id="10">
    <w:p w14:paraId="378F7A5B" w14:textId="2E404B26" w:rsidR="00154B9A" w:rsidRPr="00EC287A" w:rsidRDefault="00154B9A" w:rsidP="00EC287A">
      <w:r w:rsidRPr="00EC287A">
        <w:endnoteRef/>
      </w:r>
      <w:r w:rsidRPr="00EC287A">
        <w:t xml:space="preserve"> </w:t>
      </w:r>
      <w:r w:rsidRPr="00EC287A">
        <w:rPr>
          <w:rFonts w:hint="eastAsia"/>
        </w:rPr>
        <w:t>徐吉軍：《中國殉葬史》，武漢，武漢大學出版社，</w:t>
      </w:r>
      <w:r w:rsidRPr="00EC287A">
        <w:t>2012</w:t>
      </w:r>
      <w:r w:rsidRPr="00EC287A">
        <w:rPr>
          <w:rFonts w:hint="eastAsia"/>
        </w:rPr>
        <w:t>年，第</w:t>
      </w:r>
      <w:r w:rsidRPr="00EC287A">
        <w:t>164</w:t>
      </w:r>
      <w:r w:rsidRPr="00EC287A">
        <w:rPr>
          <w:rFonts w:hint="eastAsia"/>
        </w:rPr>
        <w:t>頁。</w:t>
      </w:r>
    </w:p>
  </w:endnote>
  <w:endnote w:id="11">
    <w:p w14:paraId="0CA49465" w14:textId="1DBF58CF" w:rsidR="00154B9A" w:rsidRPr="00EC287A" w:rsidRDefault="00154B9A" w:rsidP="00EC287A">
      <w:r w:rsidRPr="00EC287A">
        <w:endnoteRef/>
      </w:r>
      <w:r w:rsidRPr="00EC287A">
        <w:t xml:space="preserve"> </w:t>
      </w:r>
      <w:bookmarkStart w:id="9" w:name="_Hlk113788898"/>
      <w:r w:rsidRPr="00EC287A">
        <w:rPr>
          <w:rFonts w:hint="eastAsia"/>
        </w:rPr>
        <w:t>《漢書》，</w:t>
      </w:r>
      <w:bookmarkEnd w:id="9"/>
      <w:r w:rsidRPr="00EC287A">
        <w:rPr>
          <w:rFonts w:hint="eastAsia"/>
        </w:rPr>
        <w:t>北京，中華</w:t>
      </w:r>
      <w:proofErr w:type="gramStart"/>
      <w:r w:rsidRPr="00EC287A">
        <w:rPr>
          <w:rFonts w:hint="eastAsia"/>
        </w:rPr>
        <w:t>書</w:t>
      </w:r>
      <w:proofErr w:type="gramEnd"/>
      <w:r w:rsidRPr="00EC287A">
        <w:rPr>
          <w:rFonts w:hint="eastAsia"/>
        </w:rPr>
        <w:t>局，第</w:t>
      </w:r>
      <w:r w:rsidRPr="00EC287A">
        <w:t>12</w:t>
      </w:r>
      <w:proofErr w:type="gramStart"/>
      <w:r w:rsidRPr="00EC287A">
        <w:rPr>
          <w:rFonts w:hint="eastAsia"/>
        </w:rPr>
        <w:t>冊</w:t>
      </w:r>
      <w:proofErr w:type="gramEnd"/>
      <w:r w:rsidRPr="00EC287A">
        <w:rPr>
          <w:rFonts w:hint="eastAsia"/>
        </w:rPr>
        <w:t>，</w:t>
      </w:r>
      <w:r w:rsidRPr="00EC287A">
        <w:t>1962</w:t>
      </w:r>
      <w:r w:rsidRPr="00EC287A">
        <w:rPr>
          <w:rFonts w:hint="eastAsia"/>
        </w:rPr>
        <w:t>年，第</w:t>
      </w:r>
      <w:r w:rsidRPr="00EC287A">
        <w:t>3336</w:t>
      </w:r>
      <w:r w:rsidRPr="00EC287A">
        <w:rPr>
          <w:rFonts w:hint="eastAsia"/>
        </w:rPr>
        <w:t>頁。</w:t>
      </w:r>
    </w:p>
  </w:endnote>
  <w:endnote w:id="12">
    <w:p w14:paraId="4ED75DBA" w14:textId="2D89DA68" w:rsidR="00154B9A" w:rsidRPr="00EC287A" w:rsidRDefault="00154B9A" w:rsidP="00EC287A">
      <w:r w:rsidRPr="00EC287A">
        <w:endnoteRef/>
      </w:r>
      <w:r w:rsidRPr="00EC287A">
        <w:t xml:space="preserve"> </w:t>
      </w:r>
      <w:bookmarkStart w:id="11" w:name="_Hlk113788101"/>
      <w:r w:rsidRPr="00EC287A">
        <w:rPr>
          <w:rFonts w:hint="eastAsia"/>
        </w:rPr>
        <w:t>《史記》（修訂本），</w:t>
      </w:r>
      <w:bookmarkEnd w:id="11"/>
      <w:r w:rsidRPr="00EC287A">
        <w:rPr>
          <w:rFonts w:hint="eastAsia"/>
        </w:rPr>
        <w:t>第</w:t>
      </w:r>
      <w:r w:rsidRPr="00EC287A">
        <w:t>2568</w:t>
      </w:r>
      <w:r w:rsidRPr="00EC287A">
        <w:rPr>
          <w:rFonts w:hint="eastAsia"/>
        </w:rPr>
        <w:t>—</w:t>
      </w:r>
      <w:r w:rsidRPr="00EC287A">
        <w:t>2569</w:t>
      </w:r>
      <w:r w:rsidRPr="00EC287A">
        <w:rPr>
          <w:rFonts w:hint="eastAsia"/>
        </w:rPr>
        <w:t>頁。</w:t>
      </w:r>
    </w:p>
  </w:endnote>
  <w:endnote w:id="13">
    <w:p w14:paraId="7516EA47" w14:textId="5271BCCE" w:rsidR="00154B9A" w:rsidRPr="00EC287A" w:rsidRDefault="00154B9A" w:rsidP="00EC287A">
      <w:r w:rsidRPr="00EC287A">
        <w:endnoteRef/>
      </w:r>
      <w:r w:rsidRPr="00EC287A">
        <w:t xml:space="preserve"> </w:t>
      </w:r>
      <w:r w:rsidRPr="00EC287A">
        <w:rPr>
          <w:rFonts w:hint="eastAsia"/>
        </w:rPr>
        <w:t>《史記》（</w:t>
      </w:r>
      <w:r w:rsidRPr="00EC287A">
        <w:rPr>
          <w:rFonts w:hint="eastAsia"/>
        </w:rPr>
        <w:t>修訂本），第</w:t>
      </w:r>
      <w:r w:rsidRPr="00EC287A">
        <w:t>195</w:t>
      </w:r>
      <w:r w:rsidRPr="00EC287A">
        <w:rPr>
          <w:rFonts w:hint="eastAsia"/>
        </w:rPr>
        <w:t>頁。</w:t>
      </w:r>
    </w:p>
  </w:endnote>
  <w:endnote w:id="14">
    <w:p w14:paraId="62A9CE9D" w14:textId="73A44631" w:rsidR="00154B9A" w:rsidRPr="00EC287A" w:rsidRDefault="00154B9A" w:rsidP="00EC287A">
      <w:r w:rsidRPr="00EC287A">
        <w:endnoteRef/>
      </w:r>
      <w:r w:rsidRPr="00EC287A">
        <w:t xml:space="preserve"> </w:t>
      </w:r>
      <w:proofErr w:type="gramStart"/>
      <w:r w:rsidRPr="00EC287A">
        <w:rPr>
          <w:rFonts w:hint="eastAsia"/>
        </w:rPr>
        <w:t>吳毓</w:t>
      </w:r>
      <w:proofErr w:type="gramEnd"/>
      <w:r w:rsidRPr="00EC287A">
        <w:rPr>
          <w:rFonts w:hint="eastAsia"/>
        </w:rPr>
        <w:t>江：《墨子校注》，北京，中華</w:t>
      </w:r>
      <w:proofErr w:type="gramStart"/>
      <w:r w:rsidRPr="00EC287A">
        <w:rPr>
          <w:rFonts w:hint="eastAsia"/>
        </w:rPr>
        <w:t>書</w:t>
      </w:r>
      <w:proofErr w:type="gramEnd"/>
      <w:r w:rsidRPr="00EC287A">
        <w:rPr>
          <w:rFonts w:hint="eastAsia"/>
        </w:rPr>
        <w:t>局，</w:t>
      </w:r>
      <w:r w:rsidRPr="00EC287A">
        <w:t>2006</w:t>
      </w:r>
      <w:r w:rsidRPr="00EC287A">
        <w:rPr>
          <w:rFonts w:hint="eastAsia"/>
        </w:rPr>
        <w:t>年，第</w:t>
      </w:r>
      <w:r w:rsidRPr="00EC287A">
        <w:t>337</w:t>
      </w:r>
      <w:r w:rsidRPr="00EC287A">
        <w:rPr>
          <w:rFonts w:hint="eastAsia"/>
        </w:rPr>
        <w:t>—</w:t>
      </w:r>
      <w:r w:rsidRPr="00EC287A">
        <w:t>338</w:t>
      </w:r>
      <w:r w:rsidRPr="00EC287A">
        <w:rPr>
          <w:rFonts w:hint="eastAsia"/>
        </w:rPr>
        <w:t>頁。</w:t>
      </w:r>
    </w:p>
  </w:endnote>
  <w:endnote w:id="15">
    <w:p w14:paraId="40617599" w14:textId="25F450D9" w:rsidR="00154B9A" w:rsidRPr="00EC287A" w:rsidRDefault="00154B9A" w:rsidP="00EC287A">
      <w:r w:rsidRPr="00EC287A">
        <w:endnoteRef/>
      </w:r>
      <w:r w:rsidRPr="00EC287A">
        <w:t xml:space="preserve"> </w:t>
      </w:r>
      <w:proofErr w:type="gramStart"/>
      <w:r w:rsidRPr="00EC287A">
        <w:rPr>
          <w:rFonts w:hint="eastAsia"/>
        </w:rPr>
        <w:t>參</w:t>
      </w:r>
      <w:proofErr w:type="gramEnd"/>
      <w:r w:rsidRPr="00EC287A">
        <w:rPr>
          <w:rFonts w:hint="eastAsia"/>
        </w:rPr>
        <w:t>看黃焯《古今聲類通轉表》，上海，上海古籍出版社，</w:t>
      </w:r>
      <w:r w:rsidRPr="00EC287A">
        <w:t>1983</w:t>
      </w:r>
      <w:r w:rsidRPr="00EC287A">
        <w:rPr>
          <w:rFonts w:hint="eastAsia"/>
        </w:rPr>
        <w:t>年，第</w:t>
      </w:r>
      <w:r w:rsidRPr="00EC287A">
        <w:t>128</w:t>
      </w:r>
      <w:r w:rsidRPr="00EC287A">
        <w:rPr>
          <w:rFonts w:hint="eastAsia"/>
        </w:rPr>
        <w:t>—</w:t>
      </w:r>
      <w:r w:rsidRPr="00EC287A">
        <w:t>129</w:t>
      </w:r>
      <w:r w:rsidRPr="00EC287A">
        <w:rPr>
          <w:rFonts w:hint="eastAsia"/>
        </w:rPr>
        <w:t>頁。</w:t>
      </w:r>
    </w:p>
  </w:endnote>
  <w:endnote w:id="16">
    <w:p w14:paraId="17FF3619" w14:textId="79B56722" w:rsidR="00154B9A" w:rsidRPr="00EC287A" w:rsidRDefault="00154B9A" w:rsidP="00EC287A">
      <w:r w:rsidRPr="00EC287A">
        <w:endnoteRef/>
      </w:r>
      <w:r w:rsidRPr="00EC287A">
        <w:t xml:space="preserve"> </w:t>
      </w:r>
      <w:proofErr w:type="gramStart"/>
      <w:r w:rsidRPr="00EC287A">
        <w:rPr>
          <w:rFonts w:hint="eastAsia"/>
        </w:rPr>
        <w:t>國一姝</w:t>
      </w:r>
      <w:proofErr w:type="gramEnd"/>
      <w:r w:rsidRPr="00EC287A">
        <w:rPr>
          <w:rFonts w:hint="eastAsia"/>
        </w:rPr>
        <w:t>：《基於通假字的上古聲母研究》，博士学位论文，首都師範大學，</w:t>
      </w:r>
      <w:r w:rsidRPr="00EC287A">
        <w:t>2007</w:t>
      </w:r>
      <w:r w:rsidRPr="00EC287A">
        <w:rPr>
          <w:rFonts w:hint="eastAsia"/>
        </w:rPr>
        <w:t>年，第</w:t>
      </w:r>
      <w:r w:rsidRPr="00EC287A">
        <w:t>30</w:t>
      </w:r>
      <w:r w:rsidRPr="00EC287A">
        <w:rPr>
          <w:rFonts w:hint="eastAsia"/>
        </w:rPr>
        <w:t>頁。</w:t>
      </w:r>
    </w:p>
  </w:endnote>
  <w:endnote w:id="17">
    <w:p w14:paraId="6A3A3703" w14:textId="66C3A561" w:rsidR="00154B9A" w:rsidRPr="00EC287A" w:rsidRDefault="00154B9A" w:rsidP="00EC287A">
      <w:r w:rsidRPr="00EC287A">
        <w:endnoteRef/>
      </w:r>
      <w:r w:rsidRPr="00EC287A">
        <w:t xml:space="preserve"> </w:t>
      </w:r>
      <w:r w:rsidRPr="00EC287A">
        <w:rPr>
          <w:rFonts w:hint="eastAsia"/>
        </w:rPr>
        <w:t>《十三經注疏·春秋左傳正義》，北京，北京大學出版社，</w:t>
      </w:r>
      <w:r w:rsidRPr="00EC287A">
        <w:t>1999</w:t>
      </w:r>
      <w:r w:rsidRPr="00EC287A">
        <w:rPr>
          <w:rFonts w:hint="eastAsia"/>
        </w:rPr>
        <w:t>年，第</w:t>
      </w:r>
      <w:r w:rsidRPr="00EC287A">
        <w:t>1517</w:t>
      </w:r>
      <w:r w:rsidRPr="00EC287A">
        <w:rPr>
          <w:rFonts w:hint="eastAsia"/>
        </w:rPr>
        <w:t>頁。</w:t>
      </w:r>
    </w:p>
  </w:endnote>
  <w:endnote w:id="18">
    <w:p w14:paraId="319EAE74" w14:textId="766C9554" w:rsidR="00154B9A" w:rsidRPr="00EC287A" w:rsidRDefault="00154B9A" w:rsidP="00EC287A">
      <w:r w:rsidRPr="00EC287A">
        <w:endnoteRef/>
      </w:r>
      <w:r w:rsidRPr="00EC287A">
        <w:t xml:space="preserve"> </w:t>
      </w:r>
      <w:bookmarkStart w:id="16" w:name="_Hlk113788706"/>
      <w:r w:rsidRPr="00EC287A">
        <w:rPr>
          <w:rFonts w:hint="eastAsia"/>
        </w:rPr>
        <w:t>《史記》（</w:t>
      </w:r>
      <w:r w:rsidRPr="00EC287A">
        <w:rPr>
          <w:rFonts w:hint="eastAsia"/>
        </w:rPr>
        <w:t>修訂本），</w:t>
      </w:r>
      <w:bookmarkEnd w:id="16"/>
      <w:r w:rsidRPr="00EC287A">
        <w:rPr>
          <w:rFonts w:hint="eastAsia"/>
        </w:rPr>
        <w:t>第</w:t>
      </w:r>
      <w:r w:rsidRPr="00EC287A">
        <w:t>2175</w:t>
      </w:r>
      <w:r w:rsidRPr="00EC287A">
        <w:rPr>
          <w:rFonts w:hint="eastAsia"/>
        </w:rPr>
        <w:t>頁。</w:t>
      </w:r>
    </w:p>
  </w:endnote>
  <w:endnote w:id="19">
    <w:p w14:paraId="605ECF3C" w14:textId="4697A567" w:rsidR="00154B9A" w:rsidRPr="00EC287A" w:rsidRDefault="00154B9A" w:rsidP="00EC287A">
      <w:r w:rsidRPr="00EC287A">
        <w:endnoteRef/>
      </w:r>
      <w:r w:rsidRPr="00EC287A">
        <w:t xml:space="preserve"> </w:t>
      </w:r>
      <w:r w:rsidRPr="00EC287A">
        <w:rPr>
          <w:rFonts w:hint="eastAsia"/>
        </w:rPr>
        <w:t>周生春：</w:t>
      </w:r>
      <w:bookmarkStart w:id="17" w:name="_Hlk113788965"/>
      <w:r w:rsidRPr="00EC287A">
        <w:rPr>
          <w:rFonts w:hint="eastAsia"/>
        </w:rPr>
        <w:t>《吳越春秋輯校會考》，</w:t>
      </w:r>
      <w:bookmarkEnd w:id="17"/>
      <w:r w:rsidRPr="00EC287A">
        <w:rPr>
          <w:rFonts w:hint="eastAsia"/>
        </w:rPr>
        <w:t>北京，中華</w:t>
      </w:r>
      <w:proofErr w:type="gramStart"/>
      <w:r w:rsidRPr="00EC287A">
        <w:rPr>
          <w:rFonts w:hint="eastAsia"/>
        </w:rPr>
        <w:t>書</w:t>
      </w:r>
      <w:proofErr w:type="gramEnd"/>
      <w:r w:rsidRPr="00EC287A">
        <w:rPr>
          <w:rFonts w:hint="eastAsia"/>
        </w:rPr>
        <w:t>局，</w:t>
      </w:r>
      <w:r w:rsidRPr="00EC287A">
        <w:t>2019</w:t>
      </w:r>
      <w:r w:rsidRPr="00EC287A">
        <w:rPr>
          <w:rFonts w:hint="eastAsia"/>
        </w:rPr>
        <w:t>年，第</w:t>
      </w:r>
      <w:r w:rsidRPr="00EC287A">
        <w:t>52</w:t>
      </w:r>
      <w:r w:rsidRPr="00EC287A">
        <w:rPr>
          <w:rFonts w:hint="eastAsia"/>
        </w:rPr>
        <w:t>頁。</w:t>
      </w:r>
    </w:p>
  </w:endnote>
  <w:endnote w:id="20">
    <w:p w14:paraId="1B73CBD6" w14:textId="61E0442C" w:rsidR="00154B9A" w:rsidRPr="00EC287A" w:rsidRDefault="00154B9A" w:rsidP="00EC287A">
      <w:r w:rsidRPr="00EC287A">
        <w:endnoteRef/>
      </w:r>
      <w:r w:rsidRPr="00EC287A">
        <w:t xml:space="preserve"> </w:t>
      </w:r>
      <w:r w:rsidRPr="00EC287A">
        <w:rPr>
          <w:rFonts w:hint="eastAsia"/>
        </w:rPr>
        <w:t>李學勤主編：《清華大學藏戰國竹簡藏（貳）》，上海，中西</w:t>
      </w:r>
      <w:proofErr w:type="gramStart"/>
      <w:r w:rsidRPr="00EC287A">
        <w:rPr>
          <w:rFonts w:hint="eastAsia"/>
        </w:rPr>
        <w:t>書</w:t>
      </w:r>
      <w:proofErr w:type="gramEnd"/>
      <w:r w:rsidRPr="00EC287A">
        <w:rPr>
          <w:rFonts w:hint="eastAsia"/>
        </w:rPr>
        <w:t>局，</w:t>
      </w:r>
      <w:r w:rsidRPr="00EC287A">
        <w:t>2011</w:t>
      </w:r>
      <w:r w:rsidRPr="00EC287A">
        <w:rPr>
          <w:rFonts w:hint="eastAsia"/>
        </w:rPr>
        <w:t>年，第</w:t>
      </w:r>
      <w:r w:rsidRPr="00EC287A">
        <w:t>170</w:t>
      </w:r>
      <w:r w:rsidRPr="00EC287A">
        <w:rPr>
          <w:rFonts w:hint="eastAsia"/>
        </w:rPr>
        <w:t>頁。</w:t>
      </w:r>
    </w:p>
  </w:endnote>
  <w:endnote w:id="21">
    <w:p w14:paraId="09BE2D2C" w14:textId="62020CA7" w:rsidR="00154B9A" w:rsidRPr="00EC287A" w:rsidRDefault="00154B9A" w:rsidP="00EC287A">
      <w:r w:rsidRPr="00EC287A">
        <w:endnoteRef/>
      </w:r>
      <w:r w:rsidRPr="00EC287A">
        <w:t xml:space="preserve"> </w:t>
      </w:r>
      <w:r w:rsidRPr="00EC287A">
        <w:rPr>
          <w:rFonts w:hint="eastAsia"/>
        </w:rPr>
        <w:t>張仲青</w:t>
      </w:r>
      <w:bookmarkStart w:id="18" w:name="_Hlk113788270"/>
      <w:r w:rsidRPr="00EC287A">
        <w:rPr>
          <w:rFonts w:hint="eastAsia"/>
        </w:rPr>
        <w:t>：《越絕書》，</w:t>
      </w:r>
      <w:bookmarkEnd w:id="18"/>
      <w:r w:rsidRPr="00EC287A">
        <w:rPr>
          <w:rFonts w:hint="eastAsia"/>
        </w:rPr>
        <w:t>北京，中華</w:t>
      </w:r>
      <w:proofErr w:type="gramStart"/>
      <w:r w:rsidRPr="00EC287A">
        <w:rPr>
          <w:rFonts w:hint="eastAsia"/>
        </w:rPr>
        <w:t>書</w:t>
      </w:r>
      <w:proofErr w:type="gramEnd"/>
      <w:r w:rsidRPr="00EC287A">
        <w:rPr>
          <w:rFonts w:hint="eastAsia"/>
        </w:rPr>
        <w:t>局，</w:t>
      </w:r>
      <w:r w:rsidRPr="00EC287A">
        <w:t>2006</w:t>
      </w:r>
      <w:r w:rsidRPr="00EC287A">
        <w:rPr>
          <w:rFonts w:hint="eastAsia"/>
        </w:rPr>
        <w:t>年，第</w:t>
      </w:r>
      <w:r w:rsidRPr="00EC287A">
        <w:t>168</w:t>
      </w:r>
      <w:r w:rsidRPr="00EC287A">
        <w:rPr>
          <w:rFonts w:hint="eastAsia"/>
        </w:rPr>
        <w:t>頁。</w:t>
      </w:r>
    </w:p>
  </w:endnote>
  <w:endnote w:id="22">
    <w:p w14:paraId="35A39FC0" w14:textId="64543E6A" w:rsidR="00154B9A" w:rsidRPr="00EC287A" w:rsidRDefault="00154B9A" w:rsidP="00EC287A">
      <w:r w:rsidRPr="00EC287A">
        <w:endnoteRef/>
      </w:r>
      <w:r w:rsidRPr="00EC287A">
        <w:t xml:space="preserve"> </w:t>
      </w:r>
      <w:r w:rsidRPr="00EC287A">
        <w:rPr>
          <w:rFonts w:hint="eastAsia"/>
        </w:rPr>
        <w:t>《越絕書》，第</w:t>
      </w:r>
      <w:r w:rsidRPr="00EC287A">
        <w:t>168</w:t>
      </w:r>
      <w:r w:rsidRPr="00EC287A">
        <w:rPr>
          <w:rFonts w:hint="eastAsia"/>
        </w:rPr>
        <w:t>頁。</w:t>
      </w:r>
    </w:p>
  </w:endnote>
  <w:endnote w:id="23">
    <w:p w14:paraId="707C3E8E" w14:textId="081AD8B4" w:rsidR="00154B9A" w:rsidRPr="00EC287A" w:rsidRDefault="00154B9A" w:rsidP="00EC287A">
      <w:r w:rsidRPr="00EC287A">
        <w:endnoteRef/>
      </w:r>
      <w:r w:rsidRPr="00EC287A">
        <w:t xml:space="preserve"> </w:t>
      </w:r>
      <w:r w:rsidRPr="00EC287A">
        <w:rPr>
          <w:rFonts w:hint="eastAsia"/>
        </w:rPr>
        <w:t>《越絕書》，第</w:t>
      </w:r>
      <w:r w:rsidRPr="00EC287A">
        <w:t>16</w:t>
      </w:r>
      <w:r w:rsidRPr="00EC287A">
        <w:t>9</w:t>
      </w:r>
      <w:r w:rsidRPr="00EC287A">
        <w:rPr>
          <w:rFonts w:hint="eastAsia"/>
        </w:rPr>
        <w:t>頁。</w:t>
      </w:r>
    </w:p>
  </w:endnote>
  <w:endnote w:id="24">
    <w:p w14:paraId="622C33B1" w14:textId="47D1FEBF" w:rsidR="00154B9A" w:rsidRPr="00EC287A" w:rsidRDefault="00154B9A" w:rsidP="00EC287A">
      <w:r w:rsidRPr="00EC287A">
        <w:endnoteRef/>
      </w:r>
      <w:r w:rsidRPr="00EC287A">
        <w:t xml:space="preserve"> </w:t>
      </w:r>
      <w:r w:rsidRPr="00EC287A">
        <w:rPr>
          <w:rFonts w:hint="eastAsia"/>
        </w:rPr>
        <w:t>《越絕書》，第</w:t>
      </w:r>
      <w:r w:rsidRPr="00EC287A">
        <w:t>1</w:t>
      </w:r>
      <w:r w:rsidRPr="00EC287A">
        <w:t>70</w:t>
      </w:r>
      <w:r w:rsidRPr="00EC287A">
        <w:rPr>
          <w:rFonts w:hint="eastAsia"/>
        </w:rPr>
        <w:t>頁。</w:t>
      </w:r>
    </w:p>
  </w:endnote>
  <w:endnote w:id="25">
    <w:p w14:paraId="0C8B93D5" w14:textId="3A8F8CAB" w:rsidR="00154B9A" w:rsidRPr="00EC287A" w:rsidRDefault="00154B9A" w:rsidP="00EC287A">
      <w:r w:rsidRPr="00EC287A">
        <w:endnoteRef/>
      </w:r>
      <w:r w:rsidRPr="00EC287A">
        <w:t xml:space="preserve"> </w:t>
      </w:r>
      <w:r w:rsidRPr="00EC287A">
        <w:rPr>
          <w:rFonts w:hint="eastAsia"/>
        </w:rPr>
        <w:t>《晉書》，北京，中華</w:t>
      </w:r>
      <w:proofErr w:type="gramStart"/>
      <w:r w:rsidRPr="00EC287A">
        <w:rPr>
          <w:rFonts w:hint="eastAsia"/>
        </w:rPr>
        <w:t>書</w:t>
      </w:r>
      <w:proofErr w:type="gramEnd"/>
      <w:r w:rsidRPr="00EC287A">
        <w:rPr>
          <w:rFonts w:hint="eastAsia"/>
        </w:rPr>
        <w:t>局，</w:t>
      </w:r>
      <w:r w:rsidRPr="00EC287A">
        <w:t>1974</w:t>
      </w:r>
      <w:r w:rsidRPr="00EC287A">
        <w:rPr>
          <w:rFonts w:hint="eastAsia"/>
        </w:rPr>
        <w:t>年，第</w:t>
      </w:r>
      <w:r w:rsidRPr="00EC287A">
        <w:t>997</w:t>
      </w:r>
      <w:r w:rsidRPr="00EC287A">
        <w:rPr>
          <w:rFonts w:hint="eastAsia"/>
        </w:rPr>
        <w:t>頁。</w:t>
      </w:r>
    </w:p>
  </w:endnote>
  <w:endnote w:id="26">
    <w:p w14:paraId="462B98F7" w14:textId="7DD6C688" w:rsidR="00154B9A" w:rsidRPr="00EC287A" w:rsidRDefault="00154B9A" w:rsidP="00EC287A">
      <w:r w:rsidRPr="00EC287A">
        <w:endnoteRef/>
      </w:r>
      <w:r w:rsidRPr="00EC287A">
        <w:t xml:space="preserve"> </w:t>
      </w:r>
      <w:r w:rsidRPr="00EC287A">
        <w:rPr>
          <w:rFonts w:hint="eastAsia"/>
        </w:rPr>
        <w:t>王先謙：《荀子集解》，北京，中華</w:t>
      </w:r>
      <w:proofErr w:type="gramStart"/>
      <w:r w:rsidRPr="00EC287A">
        <w:rPr>
          <w:rFonts w:hint="eastAsia"/>
        </w:rPr>
        <w:t>書</w:t>
      </w:r>
      <w:proofErr w:type="gramEnd"/>
      <w:r w:rsidRPr="00EC287A">
        <w:rPr>
          <w:rFonts w:hint="eastAsia"/>
        </w:rPr>
        <w:t>局，</w:t>
      </w:r>
      <w:r w:rsidRPr="00EC287A">
        <w:t>1988</w:t>
      </w:r>
      <w:r w:rsidRPr="00EC287A">
        <w:rPr>
          <w:rFonts w:hint="eastAsia"/>
        </w:rPr>
        <w:t>年，第</w:t>
      </w:r>
      <w:r w:rsidRPr="00EC287A">
        <w:t>459</w:t>
      </w:r>
      <w:r w:rsidRPr="00EC287A">
        <w:rPr>
          <w:rFonts w:hint="eastAsia"/>
        </w:rPr>
        <w:t>頁。</w:t>
      </w:r>
    </w:p>
  </w:endnote>
  <w:endnote w:id="27">
    <w:p w14:paraId="0EDA2A9B" w14:textId="1157C5C4" w:rsidR="00154B9A" w:rsidRPr="00EC287A" w:rsidRDefault="00154B9A" w:rsidP="00EC287A">
      <w:r w:rsidRPr="00EC287A">
        <w:endnoteRef/>
      </w:r>
      <w:r w:rsidRPr="00EC287A">
        <w:t xml:space="preserve"> </w:t>
      </w:r>
      <w:r w:rsidRPr="00EC287A">
        <w:rPr>
          <w:rFonts w:hint="eastAsia"/>
        </w:rPr>
        <w:t>張雙</w:t>
      </w:r>
      <w:proofErr w:type="gramStart"/>
      <w:r w:rsidRPr="00EC287A">
        <w:rPr>
          <w:rFonts w:hint="eastAsia"/>
        </w:rPr>
        <w:t>棣</w:t>
      </w:r>
      <w:proofErr w:type="gramEnd"/>
      <w:r w:rsidRPr="00EC287A">
        <w:rPr>
          <w:rFonts w:hint="eastAsia"/>
        </w:rPr>
        <w:t>：《呂氏春秋譯注》，北京，北京大學出版社，</w:t>
      </w:r>
      <w:r w:rsidRPr="00EC287A">
        <w:t>2011</w:t>
      </w:r>
      <w:r w:rsidRPr="00EC287A">
        <w:rPr>
          <w:rFonts w:hint="eastAsia"/>
        </w:rPr>
        <w:t>年，第</w:t>
      </w:r>
      <w:r w:rsidRPr="00EC287A">
        <w:t>86</w:t>
      </w:r>
      <w:r w:rsidRPr="00EC287A">
        <w:rPr>
          <w:rFonts w:hint="eastAsia"/>
        </w:rPr>
        <w:t>頁。</w:t>
      </w:r>
    </w:p>
  </w:endnote>
  <w:endnote w:id="28">
    <w:p w14:paraId="5421AAE9" w14:textId="0A6DB294" w:rsidR="00154B9A" w:rsidRPr="00EC287A" w:rsidRDefault="00154B9A" w:rsidP="00EC287A">
      <w:r w:rsidRPr="00EC287A">
        <w:endnoteRef/>
      </w:r>
      <w:r w:rsidRPr="00EC287A">
        <w:t xml:space="preserve"> </w:t>
      </w:r>
      <w:r w:rsidRPr="00EC287A">
        <w:rPr>
          <w:rFonts w:hint="eastAsia"/>
        </w:rPr>
        <w:t>李學勤主編：《清華大學藏戰國竹簡藏（叁）》，上海，中西</w:t>
      </w:r>
      <w:proofErr w:type="gramStart"/>
      <w:r w:rsidRPr="00EC287A">
        <w:rPr>
          <w:rFonts w:hint="eastAsia"/>
        </w:rPr>
        <w:t>書</w:t>
      </w:r>
      <w:proofErr w:type="gramEnd"/>
      <w:r w:rsidRPr="00EC287A">
        <w:rPr>
          <w:rFonts w:hint="eastAsia"/>
        </w:rPr>
        <w:t>局，</w:t>
      </w:r>
      <w:r w:rsidRPr="00EC287A">
        <w:t>2012</w:t>
      </w:r>
      <w:r w:rsidRPr="00EC287A">
        <w:rPr>
          <w:rFonts w:hint="eastAsia"/>
        </w:rPr>
        <w:t>年，第</w:t>
      </w:r>
      <w:r w:rsidRPr="00EC287A">
        <w:t>157</w:t>
      </w:r>
      <w:r w:rsidRPr="00EC287A">
        <w:rPr>
          <w:rFonts w:hint="eastAsia"/>
        </w:rPr>
        <w:t>頁。</w:t>
      </w:r>
    </w:p>
  </w:endnote>
  <w:endnote w:id="29">
    <w:p w14:paraId="5AB70DBB" w14:textId="6C770599" w:rsidR="00154B9A" w:rsidRPr="00EC287A" w:rsidRDefault="00154B9A" w:rsidP="00EC287A">
      <w:r w:rsidRPr="00EC287A">
        <w:endnoteRef/>
      </w:r>
      <w:r w:rsidRPr="00EC287A">
        <w:t xml:space="preserve"> </w:t>
      </w:r>
      <w:r w:rsidRPr="00EC287A">
        <w:rPr>
          <w:rFonts w:hint="eastAsia"/>
        </w:rPr>
        <w:t>武漢大學簡帛研究中心，荊州市博物院編著：《楚地出土戰國簡冊合集（</w:t>
      </w:r>
      <w:r w:rsidRPr="00EC287A">
        <w:rPr>
          <w:rFonts w:hint="eastAsia"/>
        </w:rPr>
        <w:t>壹）》，北京，文物出版社，</w:t>
      </w:r>
      <w:r w:rsidRPr="00EC287A">
        <w:t>2011</w:t>
      </w:r>
      <w:r w:rsidRPr="00EC287A">
        <w:rPr>
          <w:rFonts w:hint="eastAsia"/>
        </w:rPr>
        <w:t>年，第</w:t>
      </w:r>
      <w:r w:rsidRPr="00EC287A">
        <w:t>43</w:t>
      </w:r>
      <w:r w:rsidRPr="00EC287A">
        <w:rPr>
          <w:rFonts w:hint="eastAsia"/>
        </w:rPr>
        <w:t>頁。</w:t>
      </w:r>
    </w:p>
  </w:endnote>
  <w:endnote w:id="30">
    <w:p w14:paraId="15E4A7A3" w14:textId="66279E8F" w:rsidR="00154B9A" w:rsidRPr="00EC287A" w:rsidRDefault="00154B9A" w:rsidP="00EC287A">
      <w:r w:rsidRPr="00EC287A">
        <w:endnoteRef/>
      </w:r>
      <w:r w:rsidRPr="00EC287A">
        <w:t xml:space="preserve"> </w:t>
      </w:r>
      <w:r w:rsidRPr="00EC287A">
        <w:rPr>
          <w:rFonts w:hint="eastAsia"/>
        </w:rPr>
        <w:t>《墨子校注》，第</w:t>
      </w:r>
      <w:r w:rsidRPr="00EC287A">
        <w:t>17</w:t>
      </w:r>
      <w:r w:rsidRPr="00EC287A">
        <w:rPr>
          <w:rFonts w:hint="eastAsia"/>
        </w:rPr>
        <w:t>頁。</w:t>
      </w:r>
    </w:p>
  </w:endnote>
  <w:endnote w:id="31">
    <w:p w14:paraId="7962A00F" w14:textId="6F78D8E3" w:rsidR="00154B9A" w:rsidRPr="00EC287A" w:rsidRDefault="00154B9A" w:rsidP="00EC287A">
      <w:r w:rsidRPr="00EC287A">
        <w:endnoteRef/>
      </w:r>
      <w:r w:rsidRPr="00EC287A">
        <w:t xml:space="preserve"> </w:t>
      </w:r>
      <w:r w:rsidRPr="00EC287A">
        <w:rPr>
          <w:rFonts w:hint="eastAsia"/>
        </w:rPr>
        <w:t>王先慎：《韓非子集解》，北京，中華</w:t>
      </w:r>
      <w:proofErr w:type="gramStart"/>
      <w:r w:rsidRPr="00EC287A">
        <w:rPr>
          <w:rFonts w:hint="eastAsia"/>
        </w:rPr>
        <w:t>書</w:t>
      </w:r>
      <w:proofErr w:type="gramEnd"/>
      <w:r w:rsidRPr="00EC287A">
        <w:rPr>
          <w:rFonts w:hint="eastAsia"/>
        </w:rPr>
        <w:t>局，</w:t>
      </w:r>
      <w:r w:rsidRPr="00EC287A">
        <w:t>1998</w:t>
      </w:r>
      <w:r w:rsidRPr="00EC287A">
        <w:rPr>
          <w:rFonts w:hint="eastAsia"/>
        </w:rPr>
        <w:t>年，第</w:t>
      </w:r>
      <w:r w:rsidRPr="00EC287A">
        <w:t>403</w:t>
      </w:r>
      <w:r w:rsidRPr="00EC287A">
        <w:rPr>
          <w:rFonts w:hint="eastAsia"/>
        </w:rPr>
        <w:t>頁。</w:t>
      </w:r>
    </w:p>
  </w:endnote>
  <w:endnote w:id="32">
    <w:p w14:paraId="327355E0" w14:textId="60EE5417" w:rsidR="00154B9A" w:rsidRPr="00EC287A" w:rsidRDefault="00154B9A" w:rsidP="00EC287A">
      <w:r w:rsidRPr="00EC287A">
        <w:endnoteRef/>
      </w:r>
      <w:r w:rsidRPr="00EC287A">
        <w:t xml:space="preserve"> </w:t>
      </w:r>
      <w:r w:rsidRPr="00EC287A">
        <w:rPr>
          <w:rFonts w:hint="eastAsia"/>
        </w:rPr>
        <w:t>《史記》（</w:t>
      </w:r>
      <w:r w:rsidRPr="00EC287A">
        <w:rPr>
          <w:rFonts w:hint="eastAsia"/>
        </w:rPr>
        <w:t>修訂本），第</w:t>
      </w:r>
      <w:r w:rsidRPr="00EC287A">
        <w:t>2199</w:t>
      </w:r>
      <w:r w:rsidRPr="00EC287A">
        <w:rPr>
          <w:rFonts w:hint="eastAsia"/>
        </w:rPr>
        <w:t>頁。</w:t>
      </w:r>
    </w:p>
  </w:endnote>
  <w:endnote w:id="33">
    <w:p w14:paraId="58896909" w14:textId="64ECF71D" w:rsidR="00154B9A" w:rsidRPr="00EC287A" w:rsidRDefault="00154B9A" w:rsidP="00EC287A">
      <w:r w:rsidRPr="00EC287A">
        <w:endnoteRef/>
      </w:r>
      <w:r w:rsidRPr="00EC287A">
        <w:t xml:space="preserve"> </w:t>
      </w:r>
      <w:r w:rsidRPr="00EC287A">
        <w:rPr>
          <w:rFonts w:hint="eastAsia"/>
        </w:rPr>
        <w:t>《史記》（</w:t>
      </w:r>
      <w:r w:rsidRPr="00EC287A">
        <w:rPr>
          <w:rFonts w:hint="eastAsia"/>
        </w:rPr>
        <w:t>修訂本），第</w:t>
      </w:r>
      <w:r w:rsidRPr="00EC287A">
        <w:t>3306</w:t>
      </w:r>
      <w:r w:rsidRPr="00EC287A">
        <w:rPr>
          <w:rFonts w:hint="eastAsia"/>
        </w:rPr>
        <w:t>—</w:t>
      </w:r>
      <w:r w:rsidRPr="00EC287A">
        <w:t>3307</w:t>
      </w:r>
      <w:r w:rsidRPr="00EC287A">
        <w:rPr>
          <w:rFonts w:hint="eastAsia"/>
        </w:rPr>
        <w:t>頁。</w:t>
      </w:r>
    </w:p>
  </w:endnote>
  <w:endnote w:id="34">
    <w:p w14:paraId="05F06101" w14:textId="115912BD" w:rsidR="00154B9A" w:rsidRPr="00EC287A" w:rsidRDefault="00154B9A" w:rsidP="00EC287A">
      <w:r w:rsidRPr="00EC287A">
        <w:endnoteRef/>
      </w:r>
      <w:r w:rsidRPr="00EC287A">
        <w:t xml:space="preserve"> </w:t>
      </w:r>
      <w:r w:rsidRPr="00EC287A">
        <w:rPr>
          <w:rFonts w:hint="eastAsia"/>
        </w:rPr>
        <w:t>黃暉：</w:t>
      </w:r>
      <w:bookmarkStart w:id="21" w:name="_Hlk113788809"/>
      <w:r w:rsidRPr="00EC287A">
        <w:rPr>
          <w:rFonts w:hint="eastAsia"/>
        </w:rPr>
        <w:t>《論衡校釋》，</w:t>
      </w:r>
      <w:bookmarkEnd w:id="21"/>
      <w:r w:rsidRPr="00EC287A">
        <w:rPr>
          <w:rFonts w:hint="eastAsia"/>
        </w:rPr>
        <w:t>北京，中華</w:t>
      </w:r>
      <w:proofErr w:type="gramStart"/>
      <w:r w:rsidRPr="00EC287A">
        <w:rPr>
          <w:rFonts w:hint="eastAsia"/>
        </w:rPr>
        <w:t>書</w:t>
      </w:r>
      <w:proofErr w:type="gramEnd"/>
      <w:r w:rsidRPr="00EC287A">
        <w:rPr>
          <w:rFonts w:hint="eastAsia"/>
        </w:rPr>
        <w:t>局，</w:t>
      </w:r>
      <w:r w:rsidRPr="00EC287A">
        <w:t>1990</w:t>
      </w:r>
      <w:r w:rsidRPr="00EC287A">
        <w:rPr>
          <w:rFonts w:hint="eastAsia"/>
        </w:rPr>
        <w:t>年，第</w:t>
      </w:r>
      <w:r w:rsidRPr="00EC287A">
        <w:t>99</w:t>
      </w:r>
      <w:r w:rsidRPr="00EC287A">
        <w:rPr>
          <w:rFonts w:hint="eastAsia"/>
        </w:rPr>
        <w:t>頁。</w:t>
      </w:r>
    </w:p>
  </w:endnote>
  <w:endnote w:id="35">
    <w:p w14:paraId="2C588E48" w14:textId="3431AE1F" w:rsidR="00154B9A" w:rsidRPr="00EC287A" w:rsidRDefault="00154B9A" w:rsidP="00EC287A">
      <w:r w:rsidRPr="00EC287A">
        <w:endnoteRef/>
      </w:r>
      <w:r w:rsidRPr="00EC287A">
        <w:t xml:space="preserve"> </w:t>
      </w:r>
      <w:r w:rsidRPr="00EC287A">
        <w:rPr>
          <w:rFonts w:hint="eastAsia"/>
        </w:rPr>
        <w:t>《論衡校釋》，第</w:t>
      </w:r>
      <w:r w:rsidRPr="00EC287A">
        <w:t>1</w:t>
      </w:r>
      <w:r w:rsidRPr="00EC287A">
        <w:rPr>
          <w:rFonts w:hint="eastAsia"/>
        </w:rPr>
        <w:t>頁。</w:t>
      </w:r>
    </w:p>
  </w:endnote>
  <w:endnote w:id="36">
    <w:p w14:paraId="054F917B" w14:textId="21A854F0" w:rsidR="00154B9A" w:rsidRPr="00EC287A" w:rsidRDefault="00154B9A" w:rsidP="00EC287A">
      <w:r w:rsidRPr="00EC287A">
        <w:endnoteRef/>
      </w:r>
      <w:r w:rsidRPr="00EC287A">
        <w:t xml:space="preserve"> </w:t>
      </w:r>
      <w:r w:rsidRPr="00EC287A">
        <w:rPr>
          <w:rFonts w:hint="eastAsia"/>
        </w:rPr>
        <w:t>盧元駿：《說苑今注今譯》，臺北,</w:t>
      </w:r>
      <w:r w:rsidRPr="00EC287A">
        <w:rPr>
          <w:rFonts w:hint="eastAsia"/>
        </w:rPr>
        <w:t>臺</w:t>
      </w:r>
      <w:proofErr w:type="gramStart"/>
      <w:r w:rsidRPr="00EC287A">
        <w:rPr>
          <w:rFonts w:hint="eastAsia"/>
        </w:rPr>
        <w:t>灣</w:t>
      </w:r>
      <w:proofErr w:type="gramEnd"/>
      <w:r w:rsidRPr="00EC287A">
        <w:rPr>
          <w:rFonts w:hint="eastAsia"/>
        </w:rPr>
        <w:t>商</w:t>
      </w:r>
      <w:proofErr w:type="gramStart"/>
      <w:r w:rsidRPr="00EC287A">
        <w:rPr>
          <w:rFonts w:hint="eastAsia"/>
        </w:rPr>
        <w:t>務</w:t>
      </w:r>
      <w:proofErr w:type="gramEnd"/>
      <w:r w:rsidRPr="00EC287A">
        <w:rPr>
          <w:rFonts w:hint="eastAsia"/>
        </w:rPr>
        <w:t>印</w:t>
      </w:r>
      <w:proofErr w:type="gramStart"/>
      <w:r w:rsidRPr="00EC287A">
        <w:rPr>
          <w:rFonts w:hint="eastAsia"/>
        </w:rPr>
        <w:t>書</w:t>
      </w:r>
      <w:proofErr w:type="gramEnd"/>
      <w:r w:rsidRPr="00EC287A">
        <w:rPr>
          <w:rFonts w:hint="eastAsia"/>
        </w:rPr>
        <w:t>館，</w:t>
      </w:r>
      <w:r w:rsidRPr="00EC287A">
        <w:t>1979</w:t>
      </w:r>
      <w:r w:rsidRPr="00EC287A">
        <w:rPr>
          <w:rFonts w:hint="eastAsia"/>
        </w:rPr>
        <w:t>年，第</w:t>
      </w:r>
      <w:r w:rsidRPr="00EC287A">
        <w:t>565</w:t>
      </w:r>
      <w:r w:rsidRPr="00EC287A">
        <w:rPr>
          <w:rFonts w:hint="eastAsia"/>
        </w:rPr>
        <w:t>頁。</w:t>
      </w:r>
    </w:p>
  </w:endnote>
  <w:endnote w:id="37">
    <w:p w14:paraId="434FA1AC" w14:textId="587F291D" w:rsidR="00154B9A" w:rsidRPr="00EC287A" w:rsidRDefault="00154B9A" w:rsidP="00EC287A">
      <w:r w:rsidRPr="00EC287A">
        <w:endnoteRef/>
      </w:r>
      <w:r w:rsidRPr="00EC287A">
        <w:t xml:space="preserve"> </w:t>
      </w:r>
      <w:r w:rsidRPr="00EC287A">
        <w:rPr>
          <w:rFonts w:hint="eastAsia"/>
        </w:rPr>
        <w:t>《漢書》，第1</w:t>
      </w:r>
      <w:r w:rsidRPr="00EC287A">
        <w:t>667頁</w:t>
      </w:r>
      <w:r w:rsidRPr="00EC287A">
        <w:rPr>
          <w:rFonts w:hint="eastAsia"/>
        </w:rPr>
        <w:t>。</w:t>
      </w:r>
    </w:p>
  </w:endnote>
  <w:endnote w:id="38">
    <w:p w14:paraId="7A35FEFB" w14:textId="1AE346A3" w:rsidR="00154B9A" w:rsidRPr="00EC287A" w:rsidRDefault="00154B9A" w:rsidP="00EC287A">
      <w:r w:rsidRPr="00EC287A">
        <w:endnoteRef/>
      </w:r>
      <w:r w:rsidRPr="00EC287A">
        <w:t xml:space="preserve"> </w:t>
      </w:r>
      <w:r w:rsidRPr="00EC287A">
        <w:rPr>
          <w:rFonts w:hint="eastAsia"/>
        </w:rPr>
        <w:t>《吳越春秋輯校會考》，第</w:t>
      </w:r>
      <w:r w:rsidRPr="00EC287A">
        <w:t>69</w:t>
      </w:r>
      <w:r w:rsidRPr="00EC287A">
        <w:rPr>
          <w:rFonts w:hint="eastAsia"/>
        </w:rPr>
        <w:t>頁。</w:t>
      </w:r>
    </w:p>
  </w:endnote>
  <w:endnote w:id="39">
    <w:p w14:paraId="202F58DD" w14:textId="2141B1BB" w:rsidR="00154B9A" w:rsidRPr="00EC287A" w:rsidRDefault="00154B9A" w:rsidP="00EC287A">
      <w:r w:rsidRPr="00EC287A">
        <w:endnoteRef/>
      </w:r>
      <w:r w:rsidRPr="00EC287A">
        <w:t xml:space="preserve"> </w:t>
      </w:r>
      <w:r w:rsidRPr="00EC287A">
        <w:rPr>
          <w:rFonts w:hint="eastAsia"/>
        </w:rPr>
        <w:t>《吳越春秋輯校會考》，第</w:t>
      </w:r>
      <w:r w:rsidRPr="00EC287A">
        <w:t>77</w:t>
      </w:r>
      <w:r w:rsidRPr="00EC287A">
        <w:rPr>
          <w:rFonts w:hint="eastAsia"/>
        </w:rPr>
        <w:t>頁。</w:t>
      </w:r>
    </w:p>
  </w:endnote>
  <w:endnote w:id="40">
    <w:p w14:paraId="210808A7" w14:textId="19D5328C" w:rsidR="00154B9A" w:rsidRPr="00EC287A" w:rsidRDefault="00154B9A" w:rsidP="00EC287A">
      <w:r w:rsidRPr="00EC287A">
        <w:endnoteRef/>
      </w:r>
      <w:r w:rsidRPr="00EC287A">
        <w:t xml:space="preserve"> </w:t>
      </w:r>
      <w:r w:rsidRPr="00EC287A">
        <w:rPr>
          <w:rFonts w:hint="eastAsia"/>
        </w:rPr>
        <w:t>《吳越春秋輯校會考》，第</w:t>
      </w:r>
      <w:r w:rsidRPr="00EC287A">
        <w:t>113</w:t>
      </w:r>
      <w:r w:rsidRPr="00EC287A">
        <w:rPr>
          <w:rFonts w:hint="eastAsia"/>
        </w:rPr>
        <w:t>頁。</w:t>
      </w:r>
    </w:p>
  </w:endnote>
  <w:endnote w:id="41">
    <w:p w14:paraId="49E42A1A" w14:textId="2D2D22C7" w:rsidR="00154B9A" w:rsidRPr="00EC287A" w:rsidRDefault="00154B9A" w:rsidP="00EC287A">
      <w:r w:rsidRPr="00EC287A">
        <w:endnoteRef/>
      </w:r>
      <w:r w:rsidRPr="00EC287A">
        <w:t xml:space="preserve"> </w:t>
      </w:r>
      <w:bookmarkStart w:id="23" w:name="_Hlk113790211"/>
      <w:r w:rsidRPr="00EC287A">
        <w:rPr>
          <w:rFonts w:hint="eastAsia"/>
        </w:rPr>
        <w:t>《越絕書》，第</w:t>
      </w:r>
      <w:r w:rsidRPr="00EC287A">
        <w:t>119頁。</w:t>
      </w:r>
      <w:bookmarkEnd w:id="23"/>
    </w:p>
  </w:endnote>
  <w:endnote w:id="42">
    <w:p w14:paraId="5881E2B7" w14:textId="0B5BD76B" w:rsidR="00154B9A" w:rsidRPr="00EC287A" w:rsidRDefault="00154B9A" w:rsidP="00EC287A">
      <w:r w:rsidRPr="00EC287A">
        <w:endnoteRef/>
      </w:r>
      <w:r w:rsidRPr="00EC287A">
        <w:t xml:space="preserve"> </w:t>
      </w:r>
      <w:r w:rsidRPr="00EC287A">
        <w:rPr>
          <w:rFonts w:hint="eastAsia"/>
        </w:rPr>
        <w:t>《越絕書》，第</w:t>
      </w:r>
      <w:r w:rsidRPr="00EC287A">
        <w:t>119</w:t>
      </w:r>
      <w:r w:rsidRPr="00EC287A">
        <w:t>頁。</w:t>
      </w:r>
    </w:p>
  </w:endnote>
  <w:endnote w:id="43">
    <w:p w14:paraId="7AE0F81E" w14:textId="413B66C8" w:rsidR="00154B9A" w:rsidRPr="00EC287A" w:rsidRDefault="00154B9A" w:rsidP="00EC287A">
      <w:r w:rsidRPr="00EC287A">
        <w:endnoteRef/>
      </w:r>
      <w:r w:rsidRPr="00EC287A">
        <w:t xml:space="preserve"> </w:t>
      </w:r>
      <w:r w:rsidRPr="00EC287A">
        <w:rPr>
          <w:rFonts w:hint="eastAsia"/>
        </w:rPr>
        <w:t>《越絕書》，第</w:t>
      </w:r>
      <w:r w:rsidRPr="00EC287A">
        <w:t>202</w:t>
      </w:r>
      <w:r w:rsidRPr="00EC287A">
        <w:t>頁。</w:t>
      </w:r>
    </w:p>
  </w:endnote>
  <w:endnote w:id="44">
    <w:p w14:paraId="143ABAEA" w14:textId="190C9401" w:rsidR="00154B9A" w:rsidRPr="00EC287A" w:rsidRDefault="00154B9A" w:rsidP="00EC287A">
      <w:r w:rsidRPr="00EC287A">
        <w:endnoteRef/>
      </w:r>
      <w:r w:rsidRPr="00EC287A">
        <w:t xml:space="preserve"> </w:t>
      </w:r>
      <w:r w:rsidRPr="00EC287A">
        <w:rPr>
          <w:rFonts w:hint="eastAsia"/>
        </w:rPr>
        <w:t>孫</w:t>
      </w:r>
      <w:proofErr w:type="gramStart"/>
      <w:r w:rsidRPr="00EC287A">
        <w:rPr>
          <w:rFonts w:hint="eastAsia"/>
        </w:rPr>
        <w:t>啟</w:t>
      </w:r>
      <w:proofErr w:type="gramEnd"/>
      <w:r w:rsidRPr="00EC287A">
        <w:rPr>
          <w:rFonts w:hint="eastAsia"/>
        </w:rPr>
        <w:t>治：《中論解詁》，北京，中華</w:t>
      </w:r>
      <w:proofErr w:type="gramStart"/>
      <w:r w:rsidRPr="00EC287A">
        <w:rPr>
          <w:rFonts w:hint="eastAsia"/>
        </w:rPr>
        <w:t>書</w:t>
      </w:r>
      <w:proofErr w:type="gramEnd"/>
      <w:r w:rsidRPr="00EC287A">
        <w:rPr>
          <w:rFonts w:hint="eastAsia"/>
        </w:rPr>
        <w:t>局，</w:t>
      </w:r>
      <w:r w:rsidRPr="00EC287A">
        <w:t>2014</w:t>
      </w:r>
      <w:r w:rsidRPr="00EC287A">
        <w:rPr>
          <w:rFonts w:hint="eastAsia"/>
        </w:rPr>
        <w:t>年，第</w:t>
      </w:r>
      <w:r w:rsidRPr="00EC287A">
        <w:t>327</w:t>
      </w:r>
      <w:r w:rsidRPr="00EC287A">
        <w:rPr>
          <w:rFonts w:hint="eastAsia"/>
        </w:rPr>
        <w:t>頁。</w:t>
      </w:r>
    </w:p>
  </w:endnote>
  <w:endnote w:id="45">
    <w:p w14:paraId="6500E1B8" w14:textId="5B13EA1D" w:rsidR="00154B9A" w:rsidRPr="00EC287A" w:rsidRDefault="00154B9A" w:rsidP="00EC287A">
      <w:r w:rsidRPr="00EC287A">
        <w:endnoteRef/>
      </w:r>
      <w:r w:rsidRPr="00EC287A">
        <w:t xml:space="preserve"> </w:t>
      </w:r>
      <w:bookmarkStart w:id="25" w:name="_Hlk113785227"/>
      <w:r w:rsidRPr="00EC287A">
        <w:rPr>
          <w:rFonts w:hint="eastAsia"/>
        </w:rPr>
        <w:t>李銳</w:t>
      </w:r>
      <w:bookmarkEnd w:id="25"/>
      <w:r w:rsidRPr="00EC287A">
        <w:rPr>
          <w:rFonts w:hint="eastAsia"/>
        </w:rPr>
        <w:t>：《讀上博五劄記》，簡帛研究網，</w:t>
      </w:r>
      <w:r w:rsidRPr="00EC287A">
        <w:t>2006</w:t>
      </w:r>
      <w:r w:rsidRPr="00EC287A">
        <w:rPr>
          <w:rFonts w:hint="eastAsia"/>
        </w:rPr>
        <w:t>年</w:t>
      </w:r>
      <w:r w:rsidRPr="00EC287A">
        <w:t>2</w:t>
      </w:r>
      <w:r w:rsidRPr="00EC287A">
        <w:rPr>
          <w:rFonts w:hint="eastAsia"/>
        </w:rPr>
        <w:t>月</w:t>
      </w:r>
      <w:r w:rsidRPr="00EC287A">
        <w:t>20</w:t>
      </w:r>
      <w:r w:rsidRPr="00EC287A">
        <w:rPr>
          <w:rFonts w:hint="eastAsia"/>
        </w:rPr>
        <w:t>日。</w:t>
      </w:r>
    </w:p>
  </w:endnote>
  <w:endnote w:id="46">
    <w:p w14:paraId="5BF64AC7" w14:textId="1146F2AE" w:rsidR="00154B9A" w:rsidRPr="009B5EB9" w:rsidRDefault="00154B9A" w:rsidP="00EC287A">
      <w:pPr>
        <w:rPr>
          <w:rFonts w:eastAsiaTheme="minorEastAsia" w:hint="eastAsia"/>
        </w:rPr>
      </w:pPr>
      <w:r w:rsidRPr="00EC287A">
        <w:endnoteRef/>
      </w:r>
      <w:r w:rsidRPr="00EC287A">
        <w:t xml:space="preserve"> </w:t>
      </w:r>
      <w:r w:rsidRPr="00EC287A">
        <w:rPr>
          <w:rFonts w:hint="eastAsia"/>
        </w:rPr>
        <w:t>丁四新：《論楚簡</w:t>
      </w:r>
      <w:r w:rsidRPr="00EC287A">
        <w:t>&lt;</w:t>
      </w:r>
      <w:r w:rsidRPr="00EC287A">
        <w:rPr>
          <w:rFonts w:hint="eastAsia"/>
        </w:rPr>
        <w:t>鬼神</w:t>
      </w:r>
      <w:r w:rsidRPr="00EC287A">
        <w:t>&gt;</w:t>
      </w:r>
      <w:r w:rsidRPr="00EC287A">
        <w:rPr>
          <w:rFonts w:hint="eastAsia"/>
        </w:rPr>
        <w:t>篇的鬼神觀及其學派歸屬》，載《儒家文化研究》第一輯（新出楚簡研究</w:t>
      </w:r>
      <w:proofErr w:type="gramStart"/>
      <w:r w:rsidRPr="00EC287A">
        <w:rPr>
          <w:rFonts w:hint="eastAsia"/>
        </w:rPr>
        <w:t>專</w:t>
      </w:r>
      <w:proofErr w:type="gramEnd"/>
      <w:r w:rsidRPr="00EC287A">
        <w:rPr>
          <w:rFonts w:hint="eastAsia"/>
        </w:rPr>
        <w:t>號），生活·讀</w:t>
      </w:r>
      <w:proofErr w:type="gramStart"/>
      <w:r w:rsidRPr="00EC287A">
        <w:rPr>
          <w:rFonts w:hint="eastAsia"/>
        </w:rPr>
        <w:t>書</w:t>
      </w:r>
      <w:proofErr w:type="gramEnd"/>
      <w:r w:rsidRPr="00EC287A">
        <w:rPr>
          <w:rFonts w:hint="eastAsia"/>
        </w:rPr>
        <w:t>·新知三聯</w:t>
      </w:r>
      <w:proofErr w:type="gramStart"/>
      <w:r w:rsidRPr="00EC287A">
        <w:rPr>
          <w:rFonts w:hint="eastAsia"/>
        </w:rPr>
        <w:t>書</w:t>
      </w:r>
      <w:proofErr w:type="gramEnd"/>
      <w:r w:rsidRPr="00EC287A">
        <w:rPr>
          <w:rFonts w:hint="eastAsia"/>
        </w:rPr>
        <w:t>店，</w:t>
      </w:r>
      <w:r w:rsidRPr="00EC287A">
        <w:t>2007</w:t>
      </w:r>
      <w:r w:rsidRPr="00EC287A">
        <w:rPr>
          <w:rFonts w:hint="eastAsia"/>
        </w:rPr>
        <w:t>年，第</w:t>
      </w:r>
      <w:r w:rsidRPr="00EC287A">
        <w:t>422</w:t>
      </w:r>
      <w:r w:rsidRPr="00EC287A">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27F16072"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B224E4">
      <w:rPr>
        <w:sz w:val="18"/>
        <w:szCs w:val="18"/>
      </w:rPr>
      <w:t>12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B224E4">
      <w:rPr>
        <w:sz w:val="18"/>
        <w:szCs w:val="18"/>
      </w:rPr>
      <w:t>15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FEA3" w14:textId="77777777" w:rsidR="003C1105" w:rsidRDefault="003C1105" w:rsidP="00CB0024">
      <w:r>
        <w:separator/>
      </w:r>
    </w:p>
  </w:footnote>
  <w:footnote w:type="continuationSeparator" w:id="0">
    <w:p w14:paraId="19EB97CE" w14:textId="77777777" w:rsidR="003C1105" w:rsidRDefault="003C110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130CFEF"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1B6C4A">
      <w:t>4</w:t>
    </w:r>
    <w:r w:rsidR="00B224E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67514"/>
    <w:rsid w:val="00073508"/>
    <w:rsid w:val="00075BC1"/>
    <w:rsid w:val="00076D07"/>
    <w:rsid w:val="00076F82"/>
    <w:rsid w:val="0008174D"/>
    <w:rsid w:val="00084150"/>
    <w:rsid w:val="000860FF"/>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419"/>
    <w:rsid w:val="00135E38"/>
    <w:rsid w:val="0013704E"/>
    <w:rsid w:val="00140848"/>
    <w:rsid w:val="00140894"/>
    <w:rsid w:val="001433AC"/>
    <w:rsid w:val="0014698C"/>
    <w:rsid w:val="00154671"/>
    <w:rsid w:val="00154B9A"/>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125E"/>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56F8C"/>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105"/>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4802"/>
    <w:rsid w:val="005E692D"/>
    <w:rsid w:val="005F201A"/>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41D2"/>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FCD"/>
    <w:rsid w:val="007D776B"/>
    <w:rsid w:val="007F4437"/>
    <w:rsid w:val="007F5695"/>
    <w:rsid w:val="00801E77"/>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1E90"/>
    <w:rsid w:val="008E23BE"/>
    <w:rsid w:val="008E49CB"/>
    <w:rsid w:val="008E5D6E"/>
    <w:rsid w:val="008E6624"/>
    <w:rsid w:val="008F27E4"/>
    <w:rsid w:val="008F476B"/>
    <w:rsid w:val="008F5A87"/>
    <w:rsid w:val="008F65AF"/>
    <w:rsid w:val="00903942"/>
    <w:rsid w:val="00904443"/>
    <w:rsid w:val="00905A67"/>
    <w:rsid w:val="00907D37"/>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B5EB9"/>
    <w:rsid w:val="009C4773"/>
    <w:rsid w:val="009C483E"/>
    <w:rsid w:val="009C5916"/>
    <w:rsid w:val="009C7D0F"/>
    <w:rsid w:val="009D1826"/>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1E2A"/>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24E4"/>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97481"/>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1B7"/>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87A"/>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jpeg"/></Relationships>
</file>

<file path=word/_rels/endnotes.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22</Pages>
  <Words>5089</Words>
  <Characters>5089</Characters>
  <Application>Microsoft Office Word</Application>
  <DocSecurity>0</DocSecurity>
  <Lines>188</Lines>
  <Paragraphs>60</Paragraphs>
  <ScaleCrop>false</ScaleCrop>
  <Company>GWZ</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473</cp:revision>
  <dcterms:created xsi:type="dcterms:W3CDTF">2019-09-16T14:32:00Z</dcterms:created>
  <dcterms:modified xsi:type="dcterms:W3CDTF">2022-09-15T05:09:00Z</dcterms:modified>
</cp:coreProperties>
</file>