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8BE81" w14:textId="77777777" w:rsidR="00801B6A" w:rsidRPr="00801B6A" w:rsidRDefault="00801B6A" w:rsidP="00801B6A">
      <w:pPr>
        <w:pStyle w:val="ab"/>
      </w:pPr>
      <w:bookmarkStart w:id="0" w:name="OLE_LINK1"/>
      <w:bookmarkStart w:id="1" w:name="OLE_LINK2"/>
      <w:r w:rsidRPr="00801B6A">
        <w:rPr>
          <w:rFonts w:hint="eastAsia"/>
        </w:rPr>
        <w:t>胡家草</w:t>
      </w:r>
      <w:proofErr w:type="gramStart"/>
      <w:r w:rsidRPr="00801B6A">
        <w:rPr>
          <w:rFonts w:hint="eastAsia"/>
        </w:rPr>
        <w:t>場</w:t>
      </w:r>
      <w:proofErr w:type="gramEnd"/>
      <w:r w:rsidRPr="00801B6A">
        <w:rPr>
          <w:rFonts w:hint="eastAsia"/>
        </w:rPr>
        <w:t>西漢簡</w:t>
      </w:r>
      <w:proofErr w:type="gramStart"/>
      <w:r w:rsidRPr="00801B6A">
        <w:rPr>
          <w:rFonts w:hint="eastAsia"/>
        </w:rPr>
        <w:t>牘研</w:t>
      </w:r>
      <w:proofErr w:type="gramEnd"/>
      <w:r w:rsidRPr="00801B6A">
        <w:rPr>
          <w:rFonts w:hint="eastAsia"/>
        </w:rPr>
        <w:t>讀</w:t>
      </w:r>
    </w:p>
    <w:p w14:paraId="3CB742A6" w14:textId="77777777" w:rsidR="00801B6A" w:rsidRDefault="00801B6A" w:rsidP="00801B6A">
      <w:pPr>
        <w:pStyle w:val="ac"/>
        <w:rPr>
          <w:rFonts w:eastAsia="PMingLiU"/>
        </w:rPr>
      </w:pPr>
    </w:p>
    <w:p w14:paraId="3BDD101C" w14:textId="721F7ACF" w:rsidR="00801B6A" w:rsidRDefault="00801B6A" w:rsidP="00801B6A">
      <w:pPr>
        <w:pStyle w:val="ac"/>
      </w:pPr>
      <w:r w:rsidRPr="00801B6A">
        <w:rPr>
          <w:rFonts w:hint="eastAsia"/>
        </w:rPr>
        <w:t>（首發）</w:t>
      </w:r>
    </w:p>
    <w:p w14:paraId="62E1239E" w14:textId="343393C8" w:rsidR="00801B6A" w:rsidRPr="00801B6A" w:rsidRDefault="00801B6A" w:rsidP="00801B6A">
      <w:pPr>
        <w:pStyle w:val="ac"/>
      </w:pPr>
      <w:r w:rsidRPr="00801B6A">
        <w:rPr>
          <w:rFonts w:hint="eastAsia"/>
        </w:rPr>
        <w:t>周波</w:t>
      </w:r>
    </w:p>
    <w:p w14:paraId="72204C8C" w14:textId="0F03FFBA" w:rsidR="00801B6A" w:rsidRPr="00801B6A" w:rsidRDefault="00801B6A" w:rsidP="00801B6A">
      <w:pPr>
        <w:pStyle w:val="ac"/>
      </w:pPr>
      <w:r w:rsidRPr="00801B6A">
        <w:rPr>
          <w:rFonts w:hint="eastAsia"/>
        </w:rPr>
        <w:t xml:space="preserve">復旦大學出土文獻與古文字研究中心  </w:t>
      </w:r>
    </w:p>
    <w:p w14:paraId="5C258321" w14:textId="77777777" w:rsidR="00801B6A" w:rsidRPr="00801B6A" w:rsidRDefault="00801B6A" w:rsidP="00801B6A"/>
    <w:p w14:paraId="262474F6" w14:textId="77777777" w:rsidR="00801B6A" w:rsidRPr="00801B6A" w:rsidRDefault="00801B6A" w:rsidP="00801B6A">
      <w:pPr>
        <w:pStyle w:val="aa"/>
        <w:ind w:firstLine="560"/>
      </w:pPr>
      <w:r w:rsidRPr="00801B6A">
        <w:rPr>
          <w:rFonts w:hint="eastAsia"/>
        </w:rPr>
        <w:t>荊州胡家草</w:t>
      </w:r>
      <w:proofErr w:type="gramStart"/>
      <w:r w:rsidRPr="00801B6A">
        <w:rPr>
          <w:rFonts w:hint="eastAsia"/>
        </w:rPr>
        <w:t>場</w:t>
      </w:r>
      <w:proofErr w:type="gramEnd"/>
      <w:r w:rsidRPr="00801B6A">
        <w:rPr>
          <w:rFonts w:hint="eastAsia"/>
        </w:rPr>
        <w:t>西漢簡牘包括有律令、日書、醫方等，內容極為豐富。根</w:t>
      </w:r>
      <w:proofErr w:type="gramStart"/>
      <w:r w:rsidRPr="00801B6A">
        <w:rPr>
          <w:rFonts w:hint="eastAsia"/>
        </w:rPr>
        <w:t>據</w:t>
      </w:r>
      <w:proofErr w:type="gramEnd"/>
      <w:r w:rsidRPr="00801B6A">
        <w:rPr>
          <w:rFonts w:hint="eastAsia"/>
        </w:rPr>
        <w:t>同出曆日類竹簡、下葬器物等來看，此批竹簡的年代應在漢文帝時期。最近，《荊州胡家草場西漢簡牘選粹》</w:t>
      </w:r>
      <w:proofErr w:type="gramStart"/>
      <w:r w:rsidRPr="00801B6A">
        <w:rPr>
          <w:rFonts w:hint="eastAsia"/>
        </w:rPr>
        <w:t>一</w:t>
      </w:r>
      <w:proofErr w:type="gramEnd"/>
      <w:r w:rsidRPr="00801B6A">
        <w:rPr>
          <w:rFonts w:hint="eastAsia"/>
        </w:rPr>
        <w:t>書公佈了部分簡文，我們在研讀過程中發現其中有些簡文可與里耶秦簡、龍崗秦簡、張家山漢簡等其他秦漢簡相對讀，因此草成幾則札記。</w:t>
      </w:r>
    </w:p>
    <w:p w14:paraId="5FA7D164" w14:textId="77777777" w:rsidR="00801B6A" w:rsidRPr="00801B6A" w:rsidRDefault="00801B6A" w:rsidP="00801B6A"/>
    <w:p w14:paraId="4418C2DE" w14:textId="77777777" w:rsidR="00801B6A" w:rsidRPr="007F0147" w:rsidRDefault="00801B6A" w:rsidP="00801B6A">
      <w:pPr>
        <w:pStyle w:val="aa"/>
        <w:ind w:firstLine="562"/>
        <w:jc w:val="center"/>
        <w:rPr>
          <w:b/>
        </w:rPr>
      </w:pPr>
      <w:r w:rsidRPr="007F0147">
        <w:rPr>
          <w:rFonts w:hint="eastAsia"/>
          <w:b/>
        </w:rPr>
        <w:t>一</w:t>
      </w:r>
    </w:p>
    <w:p w14:paraId="04F89AD0" w14:textId="77777777" w:rsidR="00801B6A" w:rsidRPr="00801B6A" w:rsidRDefault="00801B6A" w:rsidP="00801B6A">
      <w:pPr>
        <w:pStyle w:val="aa"/>
        <w:ind w:firstLine="560"/>
      </w:pPr>
      <w:r w:rsidRPr="00801B6A">
        <w:rPr>
          <w:rFonts w:hint="eastAsia"/>
        </w:rPr>
        <w:t>胡家草</w:t>
      </w:r>
      <w:proofErr w:type="gramStart"/>
      <w:r w:rsidRPr="00801B6A">
        <w:rPr>
          <w:rFonts w:hint="eastAsia"/>
        </w:rPr>
        <w:t>場</w:t>
      </w:r>
      <w:proofErr w:type="gramEnd"/>
      <w:r w:rsidRPr="00801B6A">
        <w:rPr>
          <w:rFonts w:hint="eastAsia"/>
        </w:rPr>
        <w:t>簡</w:t>
      </w:r>
      <w:r w:rsidRPr="00801B6A">
        <w:t>32</w:t>
      </w:r>
      <w:r w:rsidRPr="00801B6A">
        <w:rPr>
          <w:rFonts w:hint="eastAsia"/>
        </w:rPr>
        <w:t>原釋文：</w:t>
      </w:r>
    </w:p>
    <w:p w14:paraId="5057E112" w14:textId="77777777" w:rsidR="00801B6A" w:rsidRPr="00801B6A" w:rsidRDefault="00801B6A" w:rsidP="00801B6A">
      <w:pPr>
        <w:pStyle w:val="a3"/>
        <w:spacing w:before="540" w:after="540"/>
        <w:ind w:firstLine="496"/>
      </w:pPr>
      <w:r w:rsidRPr="00801B6A">
        <w:rPr>
          <w:rFonts w:hint="eastAsia"/>
        </w:rPr>
        <w:t>奴婢亡，自歸主</w:t>
      </w:r>
      <w:r w:rsidRPr="009C1ED2">
        <w:rPr>
          <w:rFonts w:hint="eastAsia"/>
          <w:vertAlign w:val="subscript"/>
        </w:rPr>
        <w:t>＝</w:t>
      </w:r>
      <w:r w:rsidRPr="00801B6A">
        <w:rPr>
          <w:rFonts w:hint="eastAsia"/>
        </w:rPr>
        <w:t>（主，主）親所智（知），及主父母、子若同居求自得之，其當論畀主，而欲勿詣吏</w:t>
      </w:r>
    </w:p>
    <w:p w14:paraId="566262A1" w14:textId="77777777" w:rsidR="00801B6A" w:rsidRPr="00801B6A" w:rsidRDefault="00801B6A" w:rsidP="00801B6A">
      <w:pPr>
        <w:pStyle w:val="aa"/>
        <w:ind w:firstLine="560"/>
      </w:pPr>
      <w:r w:rsidRPr="00801B6A">
        <w:rPr>
          <w:rFonts w:hint="eastAsia"/>
        </w:rPr>
        <w:t>《選粹》已指出，此为《亡律》。其</w:t>
      </w:r>
      <w:proofErr w:type="gramStart"/>
      <w:r w:rsidRPr="00801B6A">
        <w:rPr>
          <w:rFonts w:hint="eastAsia"/>
        </w:rPr>
        <w:t>內</w:t>
      </w:r>
      <w:proofErr w:type="gramEnd"/>
      <w:r w:rsidRPr="00801B6A">
        <w:rPr>
          <w:rFonts w:hint="eastAsia"/>
        </w:rPr>
        <w:t>容可與岳麓</w:t>
      </w:r>
      <w:proofErr w:type="gramStart"/>
      <w:r w:rsidRPr="00801B6A">
        <w:rPr>
          <w:rFonts w:hint="eastAsia"/>
        </w:rPr>
        <w:t>书院藏秦</w:t>
      </w:r>
      <w:proofErr w:type="gramEnd"/>
      <w:r w:rsidRPr="00801B6A">
        <w:rPr>
          <w:rFonts w:hint="eastAsia"/>
        </w:rPr>
        <w:t>简（肆）·亡律》简</w:t>
      </w:r>
      <w:r w:rsidRPr="00801B6A">
        <w:t>98</w:t>
      </w:r>
      <w:r w:rsidRPr="00801B6A">
        <w:rPr>
          <w:rFonts w:hint="eastAsia"/>
        </w:rPr>
        <w:t>、張家山漢簡《二年律令·亡律》简</w:t>
      </w:r>
      <w:r w:rsidRPr="00801B6A">
        <w:t>159</w:t>
      </w:r>
      <w:r w:rsidRPr="00801B6A">
        <w:rPr>
          <w:rFonts w:hint="eastAsia"/>
        </w:rPr>
        <w:t>、1</w:t>
      </w:r>
      <w:r w:rsidRPr="00801B6A">
        <w:t>60</w:t>
      </w:r>
      <w:r w:rsidRPr="00801B6A">
        <w:rPr>
          <w:rFonts w:hint="eastAsia"/>
        </w:rPr>
        <w:lastRenderedPageBreak/>
        <w:t>等相對讀。其中《二年律令·亡律》简</w:t>
      </w:r>
      <w:r w:rsidRPr="00801B6A">
        <w:t>160</w:t>
      </w:r>
      <w:r w:rsidRPr="00801B6A">
        <w:rPr>
          <w:rFonts w:hint="eastAsia"/>
        </w:rPr>
        <w:t>原釋文作：“奴婢亡，自歸主，主親所智（知），及主、主父母、子若同居求自得之，其當論</w:t>
      </w:r>
      <w:proofErr w:type="gramStart"/>
      <w:r w:rsidRPr="00801B6A">
        <w:rPr>
          <w:rFonts w:hint="eastAsia"/>
        </w:rPr>
        <w:t>畀</w:t>
      </w:r>
      <w:proofErr w:type="gramEnd"/>
      <w:r w:rsidRPr="00801B6A">
        <w:rPr>
          <w:rFonts w:hint="eastAsia"/>
        </w:rPr>
        <w:t>主，而欲勿詣吏論者，皆許之。”此與胡家草場簡</w:t>
      </w:r>
      <w:r w:rsidRPr="00801B6A">
        <w:t>32</w:t>
      </w:r>
      <w:proofErr w:type="gramStart"/>
      <w:r w:rsidRPr="00801B6A">
        <w:rPr>
          <w:rFonts w:hint="eastAsia"/>
        </w:rPr>
        <w:t>幾乎完</w:t>
      </w:r>
      <w:proofErr w:type="gramEnd"/>
      <w:r w:rsidRPr="00801B6A">
        <w:rPr>
          <w:rFonts w:hint="eastAsia"/>
        </w:rPr>
        <w:t>全相同。</w:t>
      </w:r>
    </w:p>
    <w:p w14:paraId="176E9455" w14:textId="7874E855" w:rsidR="00801B6A" w:rsidRPr="00801B6A" w:rsidRDefault="00801B6A" w:rsidP="00801B6A">
      <w:pPr>
        <w:pStyle w:val="aa"/>
        <w:ind w:firstLine="560"/>
      </w:pPr>
      <w:r w:rsidRPr="00801B6A">
        <w:rPr>
          <w:rFonts w:hint="eastAsia"/>
        </w:rPr>
        <w:t>我們曾指出，《二年律令·亡律》簡</w:t>
      </w:r>
      <w:r w:rsidRPr="00801B6A">
        <w:t>160</w:t>
      </w:r>
      <w:r w:rsidRPr="00801B6A">
        <w:rPr>
          <w:rFonts w:hint="eastAsia"/>
        </w:rPr>
        <w:t>原釋文“奴婢亡，自歸主</w:t>
      </w:r>
      <w:r w:rsidR="009C1ED2" w:rsidRPr="009C1ED2">
        <w:rPr>
          <w:rFonts w:hint="eastAsia"/>
          <w:sz w:val="24"/>
          <w:vertAlign w:val="subscript"/>
        </w:rPr>
        <w:t>＝</w:t>
      </w:r>
      <w:r w:rsidRPr="00801B6A">
        <w:rPr>
          <w:rFonts w:hint="eastAsia"/>
        </w:rPr>
        <w:t>（主，主）親所智（知）”</w:t>
      </w:r>
      <w:proofErr w:type="gramStart"/>
      <w:r w:rsidRPr="00801B6A">
        <w:rPr>
          <w:rFonts w:hint="eastAsia"/>
        </w:rPr>
        <w:t>應斷</w:t>
      </w:r>
      <w:proofErr w:type="gramEnd"/>
      <w:r w:rsidRPr="00801B6A">
        <w:rPr>
          <w:rFonts w:hint="eastAsia"/>
        </w:rPr>
        <w:t>讀作“奴婢亡，自歸主、主親、所智（知）”。上舉胡家草</w:t>
      </w:r>
      <w:proofErr w:type="gramStart"/>
      <w:r w:rsidRPr="00801B6A">
        <w:rPr>
          <w:rFonts w:hint="eastAsia"/>
        </w:rPr>
        <w:t>場</w:t>
      </w:r>
      <w:proofErr w:type="gramEnd"/>
      <w:r w:rsidRPr="00801B6A">
        <w:rPr>
          <w:rFonts w:hint="eastAsia"/>
        </w:rPr>
        <w:t>簡“自歸主</w:t>
      </w:r>
      <w:r w:rsidR="009C1ED2" w:rsidRPr="009C1ED2">
        <w:rPr>
          <w:rFonts w:hint="eastAsia"/>
          <w:sz w:val="24"/>
          <w:vertAlign w:val="subscript"/>
        </w:rPr>
        <w:t>＝</w:t>
      </w:r>
      <w:r w:rsidRPr="00801B6A">
        <w:rPr>
          <w:rFonts w:hint="eastAsia"/>
        </w:rPr>
        <w:t>（主，主）親所智（知）”也</w:t>
      </w:r>
      <w:proofErr w:type="gramStart"/>
      <w:r w:rsidRPr="00801B6A">
        <w:rPr>
          <w:rFonts w:hint="eastAsia"/>
        </w:rPr>
        <w:t>應</w:t>
      </w:r>
      <w:proofErr w:type="gramEnd"/>
      <w:r w:rsidRPr="00801B6A">
        <w:rPr>
          <w:rFonts w:hint="eastAsia"/>
        </w:rPr>
        <w:t>當</w:t>
      </w:r>
      <w:proofErr w:type="gramStart"/>
      <w:r w:rsidRPr="00801B6A">
        <w:rPr>
          <w:rFonts w:hint="eastAsia"/>
        </w:rPr>
        <w:t>斷</w:t>
      </w:r>
      <w:proofErr w:type="gramEnd"/>
      <w:r w:rsidRPr="00801B6A">
        <w:rPr>
          <w:rFonts w:hint="eastAsia"/>
        </w:rPr>
        <w:t>讀作“自歸主、主親、所智（知）”。</w:t>
      </w:r>
      <w:r w:rsidRPr="00801B6A">
        <w:endnoteReference w:id="1"/>
      </w:r>
    </w:p>
    <w:p w14:paraId="083D2C31" w14:textId="77777777" w:rsidR="00801B6A" w:rsidRPr="00801B6A" w:rsidRDefault="00801B6A" w:rsidP="00801B6A">
      <w:pPr>
        <w:pStyle w:val="aa"/>
        <w:ind w:firstLine="560"/>
      </w:pPr>
      <w:r w:rsidRPr="00801B6A">
        <w:rPr>
          <w:rFonts w:hint="eastAsia"/>
        </w:rPr>
        <w:t>關</w:t>
      </w:r>
      <w:proofErr w:type="gramStart"/>
      <w:r w:rsidRPr="00801B6A">
        <w:rPr>
          <w:rFonts w:hint="eastAsia"/>
        </w:rPr>
        <w:t>於</w:t>
      </w:r>
      <w:proofErr w:type="gramEnd"/>
      <w:r w:rsidRPr="00801B6A">
        <w:rPr>
          <w:rFonts w:hint="eastAsia"/>
        </w:rPr>
        <w:t>簡文“主親所智（知）”之斷讀及涵義，舊有多種說法。</w:t>
      </w:r>
      <w:r w:rsidRPr="00801B6A">
        <w:endnoteReference w:id="2"/>
      </w:r>
      <w:proofErr w:type="gramStart"/>
      <w:r w:rsidRPr="00801B6A">
        <w:rPr>
          <w:rFonts w:hint="eastAsia"/>
        </w:rPr>
        <w:t>按睡虎</w:t>
      </w:r>
      <w:proofErr w:type="gramEnd"/>
      <w:r w:rsidRPr="00801B6A">
        <w:rPr>
          <w:rFonts w:hint="eastAsia"/>
        </w:rPr>
        <w:t>地秦簡《法律答問》</w:t>
      </w:r>
      <w:r w:rsidRPr="00801B6A">
        <w:t>125—126</w:t>
      </w:r>
      <w:r w:rsidRPr="00801B6A">
        <w:rPr>
          <w:rFonts w:hint="eastAsia"/>
        </w:rPr>
        <w:t>簡：“</w:t>
      </w:r>
      <w:proofErr w:type="gramStart"/>
      <w:r w:rsidRPr="00801B6A">
        <w:rPr>
          <w:rFonts w:hint="eastAsia"/>
        </w:rPr>
        <w:t>將</w:t>
      </w:r>
      <w:proofErr w:type="gramEnd"/>
      <w:r w:rsidRPr="00801B6A">
        <w:rPr>
          <w:rFonts w:hint="eastAsia"/>
        </w:rPr>
        <w:t>司人而亡，能自捕及親所智（知）為捕，除毋（無）辠（罪）；已刑者處隱官。”整理小組注：“親所智（知），親</w:t>
      </w:r>
      <w:proofErr w:type="gramStart"/>
      <w:r w:rsidRPr="00801B6A">
        <w:rPr>
          <w:rFonts w:hint="eastAsia"/>
        </w:rPr>
        <w:t>屬</w:t>
      </w:r>
      <w:proofErr w:type="gramEnd"/>
      <w:r w:rsidRPr="00801B6A">
        <w:rPr>
          <w:rFonts w:hint="eastAsia"/>
        </w:rPr>
        <w:t>朋友。”《秦簡牘合集》整理者注：</w:t>
      </w:r>
      <w:r w:rsidRPr="00801B6A">
        <w:t>“</w:t>
      </w:r>
      <w:r w:rsidRPr="00801B6A">
        <w:rPr>
          <w:rFonts w:hint="eastAsia"/>
        </w:rPr>
        <w:t>親，或指親近者。所知，熟識者。《儀禮</w:t>
      </w:r>
      <w:r w:rsidRPr="00801B6A">
        <w:t>·</w:t>
      </w:r>
      <w:r w:rsidRPr="00801B6A">
        <w:rPr>
          <w:rFonts w:hint="eastAsia"/>
        </w:rPr>
        <w:t>既夕禮》：</w:t>
      </w:r>
      <w:r w:rsidRPr="00801B6A">
        <w:t>‘</w:t>
      </w:r>
      <w:r w:rsidRPr="00801B6A">
        <w:rPr>
          <w:rFonts w:hint="eastAsia"/>
        </w:rPr>
        <w:t>所知，則賵而不奠。</w:t>
      </w:r>
      <w:r w:rsidRPr="00801B6A">
        <w:t>’”</w:t>
      </w:r>
      <w:r w:rsidRPr="00801B6A">
        <w:rPr>
          <w:rFonts w:hint="eastAsia"/>
        </w:rPr>
        <w:t>《秦簡牘合集》整理者謂“親”指親近者，恐不確。睡虎地秦簡《法律答問》“自”指本人，“親所智（知）”指其親</w:t>
      </w:r>
      <w:proofErr w:type="gramStart"/>
      <w:r w:rsidRPr="00801B6A">
        <w:rPr>
          <w:rFonts w:hint="eastAsia"/>
        </w:rPr>
        <w:t>屬</w:t>
      </w:r>
      <w:proofErr w:type="gramEnd"/>
      <w:r w:rsidRPr="00801B6A">
        <w:rPr>
          <w:rFonts w:hint="eastAsia"/>
        </w:rPr>
        <w:t>及熟識者。《岳麓書院藏秦簡（肆）·亡律》簡</w:t>
      </w:r>
      <w:r w:rsidRPr="00801B6A">
        <w:t>357</w:t>
      </w:r>
      <w:r w:rsidRPr="00801B6A">
        <w:rPr>
          <w:rFonts w:hint="eastAsia"/>
        </w:rPr>
        <w:t>—</w:t>
      </w:r>
      <w:r w:rsidRPr="00801B6A">
        <w:t>358</w:t>
      </w:r>
      <w:r w:rsidRPr="00801B6A">
        <w:rPr>
          <w:rFonts w:hint="eastAsia"/>
        </w:rPr>
        <w:t>：“當就食，其親、所智（知）者賣之。”又簡</w:t>
      </w:r>
      <w:r w:rsidRPr="00801B6A">
        <w:t>359</w:t>
      </w:r>
      <w:r w:rsidRPr="00801B6A">
        <w:rPr>
          <w:rFonts w:hint="eastAsia"/>
        </w:rPr>
        <w:t>：“當就食，其親、所智（知）欲買，勿令就食，許。”“其親所智（知）”整理者釋文</w:t>
      </w:r>
      <w:proofErr w:type="gramStart"/>
      <w:r w:rsidRPr="00801B6A">
        <w:rPr>
          <w:rFonts w:hint="eastAsia"/>
        </w:rPr>
        <w:t>斷</w:t>
      </w:r>
      <w:proofErr w:type="gramEnd"/>
      <w:r w:rsidRPr="00801B6A">
        <w:rPr>
          <w:rFonts w:hint="eastAsia"/>
        </w:rPr>
        <w:t>讀作“其親、所智（知）”，義更顯豁。《岳麓書院藏秦簡（伍）》簡</w:t>
      </w:r>
      <w:r w:rsidRPr="00801B6A">
        <w:t>239</w:t>
      </w:r>
      <w:r w:rsidRPr="00801B6A">
        <w:rPr>
          <w:rFonts w:hint="eastAsia"/>
        </w:rPr>
        <w:t>：“治獄者親及所智（知）</w:t>
      </w:r>
      <w:proofErr w:type="gramStart"/>
      <w:r w:rsidRPr="00801B6A">
        <w:rPr>
          <w:rFonts w:hint="eastAsia"/>
        </w:rPr>
        <w:lastRenderedPageBreak/>
        <w:t>弗</w:t>
      </w:r>
      <w:proofErr w:type="gramEnd"/>
      <w:r w:rsidRPr="00801B6A">
        <w:rPr>
          <w:rFonts w:hint="eastAsia"/>
        </w:rPr>
        <w:t>與同居，……”正將“親”與“所智（知）”分為兩類。</w:t>
      </w:r>
    </w:p>
    <w:p w14:paraId="2DD506D4" w14:textId="77777777" w:rsidR="00801B6A" w:rsidRPr="00801B6A" w:rsidRDefault="00801B6A" w:rsidP="00801B6A">
      <w:pPr>
        <w:pStyle w:val="aa"/>
        <w:ind w:firstLine="560"/>
      </w:pPr>
      <w:proofErr w:type="gramStart"/>
      <w:r w:rsidRPr="00801B6A">
        <w:rPr>
          <w:rFonts w:hint="eastAsia"/>
        </w:rPr>
        <w:t>據</w:t>
      </w:r>
      <w:proofErr w:type="gramEnd"/>
      <w:r w:rsidRPr="00801B6A">
        <w:rPr>
          <w:rFonts w:hint="eastAsia"/>
        </w:rPr>
        <w:t>此，胡家草場簡</w:t>
      </w:r>
      <w:r w:rsidRPr="00801B6A">
        <w:t>32</w:t>
      </w:r>
      <w:r w:rsidRPr="00801B6A">
        <w:rPr>
          <w:rFonts w:hint="eastAsia"/>
        </w:rPr>
        <w:t>、《二年律令·亡律》簡</w:t>
      </w:r>
      <w:r w:rsidRPr="00801B6A">
        <w:t>160</w:t>
      </w:r>
      <w:r w:rsidRPr="00801B6A">
        <w:rPr>
          <w:rFonts w:hint="eastAsia"/>
        </w:rPr>
        <w:t>均當斷讀作“主親、所智（知）”，即“主親”及“主所知”。“主親”指主人之親戚；“（主）所知”指主人熟識者。此處簡文指指奴婢逃亡</w:t>
      </w:r>
      <w:proofErr w:type="gramStart"/>
      <w:r w:rsidRPr="00801B6A">
        <w:rPr>
          <w:rFonts w:hint="eastAsia"/>
        </w:rPr>
        <w:t>後</w:t>
      </w:r>
      <w:proofErr w:type="gramEnd"/>
      <w:r w:rsidRPr="00801B6A">
        <w:rPr>
          <w:rFonts w:hint="eastAsia"/>
        </w:rPr>
        <w:t>，自己主動回歸主人、投歸到主人之親戚、熟識者處。</w:t>
      </w:r>
    </w:p>
    <w:p w14:paraId="6073C13D" w14:textId="41B4BAED" w:rsidR="00801B6A" w:rsidRPr="00801B6A" w:rsidRDefault="00801B6A" w:rsidP="00801B6A">
      <w:pPr>
        <w:pStyle w:val="aa"/>
        <w:ind w:firstLine="560"/>
      </w:pPr>
      <w:r w:rsidRPr="00801B6A">
        <w:rPr>
          <w:rFonts w:hint="eastAsia"/>
        </w:rPr>
        <w:t>胡家草</w:t>
      </w:r>
      <w:proofErr w:type="gramStart"/>
      <w:r w:rsidRPr="00801B6A">
        <w:rPr>
          <w:rFonts w:hint="eastAsia"/>
        </w:rPr>
        <w:t>場</w:t>
      </w:r>
      <w:proofErr w:type="gramEnd"/>
      <w:r w:rsidRPr="00801B6A">
        <w:rPr>
          <w:rFonts w:hint="eastAsia"/>
        </w:rPr>
        <w:t>簡</w:t>
      </w:r>
      <w:r w:rsidRPr="00801B6A">
        <w:t>32“</w:t>
      </w:r>
      <w:r w:rsidRPr="00801B6A">
        <w:rPr>
          <w:rFonts w:hint="eastAsia"/>
        </w:rPr>
        <w:t>及主父母、子若同居求自得之</w:t>
      </w:r>
      <w:r w:rsidRPr="00801B6A">
        <w:t>”</w:t>
      </w:r>
      <w:r w:rsidRPr="00801B6A">
        <w:rPr>
          <w:rFonts w:hint="eastAsia"/>
        </w:rPr>
        <w:t>，《二年律令·亡律》簡</w:t>
      </w:r>
      <w:r w:rsidRPr="00801B6A">
        <w:t>160作</w:t>
      </w:r>
      <w:r w:rsidRPr="00801B6A">
        <w:rPr>
          <w:rFonts w:hint="eastAsia"/>
        </w:rPr>
        <w:t>“及主</w:t>
      </w:r>
      <w:r w:rsidR="009C1ED2" w:rsidRPr="009C1ED2">
        <w:rPr>
          <w:rFonts w:hint="eastAsia"/>
          <w:sz w:val="24"/>
          <w:vertAlign w:val="subscript"/>
        </w:rPr>
        <w:t>＝</w:t>
      </w:r>
      <w:r w:rsidRPr="00801B6A">
        <w:rPr>
          <w:rFonts w:hint="eastAsia"/>
        </w:rPr>
        <w:t>（主，主）、主父母、子若同居求自得之”。《二年律令·亡律》“主父母”下有重文號，胡家草</w:t>
      </w:r>
      <w:proofErr w:type="gramStart"/>
      <w:r w:rsidRPr="00801B6A">
        <w:rPr>
          <w:rFonts w:hint="eastAsia"/>
        </w:rPr>
        <w:t>場</w:t>
      </w:r>
      <w:proofErr w:type="gramEnd"/>
      <w:r w:rsidRPr="00801B6A">
        <w:rPr>
          <w:rFonts w:hint="eastAsia"/>
        </w:rPr>
        <w:t>簡“主父母”之“主”下無重文號，如何理解這種差異呢？</w:t>
      </w:r>
      <w:proofErr w:type="gramStart"/>
      <w:r w:rsidRPr="00801B6A">
        <w:rPr>
          <w:rFonts w:hint="eastAsia"/>
        </w:rPr>
        <w:t>從</w:t>
      </w:r>
      <w:proofErr w:type="gramEnd"/>
      <w:r w:rsidRPr="00801B6A">
        <w:rPr>
          <w:rFonts w:hint="eastAsia"/>
        </w:rPr>
        <w:t>上下文來看，簡文應指主人親自購得或主之父母、子或者同產者購得這幾種情況。胡家草</w:t>
      </w:r>
      <w:proofErr w:type="gramStart"/>
      <w:r w:rsidRPr="00801B6A">
        <w:rPr>
          <w:rFonts w:hint="eastAsia"/>
        </w:rPr>
        <w:t>場</w:t>
      </w:r>
      <w:proofErr w:type="gramEnd"/>
      <w:r w:rsidRPr="00801B6A">
        <w:rPr>
          <w:rFonts w:hint="eastAsia"/>
        </w:rPr>
        <w:t>簡</w:t>
      </w:r>
      <w:r w:rsidRPr="00801B6A">
        <w:t>32</w:t>
      </w:r>
      <w:r w:rsidRPr="00801B6A">
        <w:rPr>
          <w:rFonts w:hint="eastAsia"/>
        </w:rPr>
        <w:t>這裡其實也是包括有“主”、“主父母”在內的。不過，不必以</w:t>
      </w:r>
      <w:proofErr w:type="gramStart"/>
      <w:r w:rsidRPr="00801B6A">
        <w:rPr>
          <w:rFonts w:hint="eastAsia"/>
        </w:rPr>
        <w:t>為</w:t>
      </w:r>
      <w:proofErr w:type="gramEnd"/>
      <w:r w:rsidRPr="00801B6A">
        <w:rPr>
          <w:rFonts w:hint="eastAsia"/>
        </w:rPr>
        <w:t>胡家草場簡“主父母”之“主”下漏一重文號。其實，原釋文</w:t>
      </w:r>
      <w:r w:rsidRPr="00801B6A">
        <w:t>“</w:t>
      </w:r>
      <w:r w:rsidRPr="00801B6A">
        <w:rPr>
          <w:rFonts w:hint="eastAsia"/>
        </w:rPr>
        <w:t>及主父母、子若同居求自得之</w:t>
      </w:r>
      <w:r w:rsidRPr="00801B6A">
        <w:t>”</w:t>
      </w:r>
      <w:r w:rsidRPr="00801B6A">
        <w:rPr>
          <w:rFonts w:hint="eastAsia"/>
        </w:rPr>
        <w:t>句讀有誤，當改讀</w:t>
      </w:r>
      <w:proofErr w:type="gramStart"/>
      <w:r w:rsidRPr="00801B6A">
        <w:rPr>
          <w:rFonts w:hint="eastAsia"/>
        </w:rPr>
        <w:t>為</w:t>
      </w:r>
      <w:proofErr w:type="gramEnd"/>
      <w:r w:rsidRPr="00801B6A">
        <w:rPr>
          <w:rFonts w:hint="eastAsia"/>
        </w:rPr>
        <w:t>“及主、父母、子若同居求自得之”。前文“主親、所智（知）”指主親、主所知</w:t>
      </w:r>
      <w:proofErr w:type="gramStart"/>
      <w:r w:rsidRPr="00801B6A">
        <w:rPr>
          <w:rFonts w:hint="eastAsia"/>
        </w:rPr>
        <w:t>兩</w:t>
      </w:r>
      <w:proofErr w:type="gramEnd"/>
      <w:r w:rsidRPr="00801B6A">
        <w:rPr>
          <w:rFonts w:hint="eastAsia"/>
        </w:rPr>
        <w:t>種情況，可以證之。《二年律令·亡律》及胡家草</w:t>
      </w:r>
      <w:proofErr w:type="gramStart"/>
      <w:r w:rsidRPr="00801B6A">
        <w:rPr>
          <w:rFonts w:hint="eastAsia"/>
        </w:rPr>
        <w:t>場</w:t>
      </w:r>
      <w:proofErr w:type="gramEnd"/>
      <w:r w:rsidRPr="00801B6A">
        <w:rPr>
          <w:rFonts w:hint="eastAsia"/>
        </w:rPr>
        <w:t>《亡律》，律文有別，二者文意實同，而後者更精簡，或許是律文其後調整、修改的結果，而不必以前者為正。</w:t>
      </w:r>
    </w:p>
    <w:p w14:paraId="53C93346" w14:textId="77777777" w:rsidR="00801B6A" w:rsidRPr="00801B6A" w:rsidRDefault="00801B6A" w:rsidP="00801B6A">
      <w:pPr>
        <w:pStyle w:val="aa"/>
        <w:ind w:firstLine="560"/>
      </w:pPr>
    </w:p>
    <w:p w14:paraId="68C0F6C5" w14:textId="77777777" w:rsidR="00801B6A" w:rsidRPr="007F0147" w:rsidRDefault="00801B6A" w:rsidP="007F0147">
      <w:pPr>
        <w:pStyle w:val="aa"/>
        <w:ind w:firstLine="562"/>
        <w:jc w:val="center"/>
        <w:rPr>
          <w:b/>
        </w:rPr>
      </w:pPr>
      <w:r w:rsidRPr="007F0147">
        <w:rPr>
          <w:rFonts w:hint="eastAsia"/>
          <w:b/>
        </w:rPr>
        <w:lastRenderedPageBreak/>
        <w:t>二</w:t>
      </w:r>
    </w:p>
    <w:p w14:paraId="4DC7C473" w14:textId="77777777" w:rsidR="00801B6A" w:rsidRPr="00801B6A" w:rsidRDefault="00801B6A" w:rsidP="00801B6A">
      <w:pPr>
        <w:pStyle w:val="aa"/>
        <w:ind w:firstLine="560"/>
      </w:pPr>
      <w:r w:rsidRPr="00801B6A">
        <w:rPr>
          <w:rFonts w:hint="eastAsia"/>
        </w:rPr>
        <w:t>胡家草</w:t>
      </w:r>
      <w:proofErr w:type="gramStart"/>
      <w:r w:rsidRPr="00801B6A">
        <w:rPr>
          <w:rFonts w:hint="eastAsia"/>
        </w:rPr>
        <w:t>場</w:t>
      </w:r>
      <w:proofErr w:type="gramEnd"/>
      <w:r w:rsidRPr="00801B6A">
        <w:rPr>
          <w:rFonts w:hint="eastAsia"/>
        </w:rPr>
        <w:t>簡</w:t>
      </w:r>
      <w:r w:rsidRPr="00801B6A">
        <w:t>38</w:t>
      </w:r>
      <w:r w:rsidRPr="00801B6A">
        <w:rPr>
          <w:rFonts w:hint="eastAsia"/>
        </w:rPr>
        <w:t>-</w:t>
      </w:r>
      <w:r w:rsidRPr="00801B6A">
        <w:t>41</w:t>
      </w:r>
      <w:r w:rsidRPr="00801B6A">
        <w:rPr>
          <w:rFonts w:hint="eastAsia"/>
        </w:rPr>
        <w:t>原釋文：</w:t>
      </w:r>
    </w:p>
    <w:p w14:paraId="03C8444D" w14:textId="77777777" w:rsidR="00801B6A" w:rsidRPr="00801B6A" w:rsidRDefault="00801B6A" w:rsidP="00801B6A">
      <w:pPr>
        <w:pStyle w:val="a3"/>
        <w:spacing w:before="540" w:after="540"/>
        <w:ind w:firstLine="496"/>
      </w:pPr>
      <w:r w:rsidRPr="00801B6A">
        <w:rPr>
          <w:rFonts w:hint="eastAsia"/>
        </w:rPr>
        <w:t>必伍之。盜賊以短兵殺傷其將及伍人，……與盜賊與盜賊遇而去北，及力足以追</w:t>
      </w:r>
      <w:r w:rsidRPr="00801B6A">
        <w:rPr>
          <w:rFonts w:ascii="宋体-方正超大字符集" w:eastAsia="宋体-方正超大字符集" w:hAnsi="宋体-方正超大字符集" w:cs="宋体-方正超大字符集" w:hint="eastAsia"/>
        </w:rPr>
        <w:t>𣸁</w:t>
      </w:r>
      <w:r w:rsidRPr="00801B6A">
        <w:t>&lt;</w:t>
      </w:r>
      <w:r w:rsidRPr="00801B6A">
        <w:rPr>
          <w:rFonts w:hint="eastAsia"/>
        </w:rPr>
        <w:t>逮</w:t>
      </w:r>
      <w:r w:rsidRPr="00801B6A">
        <w:t>&gt;</w:t>
      </w:r>
      <w:r w:rsidRPr="00801B6A">
        <w:rPr>
          <w:rFonts w:hint="eastAsia"/>
        </w:rPr>
        <w:t>捕之而回避、詳（佯）勿見，及逗留畏耎弗敢就，奪其將爵一級，免之；毋（無）爵者，戍邊一歲，而罰其所</w:t>
      </w:r>
    </w:p>
    <w:p w14:paraId="34F0ED41" w14:textId="77777777" w:rsidR="00801B6A" w:rsidRPr="00801B6A" w:rsidRDefault="00801B6A" w:rsidP="00801B6A">
      <w:pPr>
        <w:pStyle w:val="aa"/>
        <w:ind w:firstLine="560"/>
      </w:pPr>
      <w:r w:rsidRPr="00801B6A">
        <w:rPr>
          <w:rFonts w:hint="eastAsia"/>
        </w:rPr>
        <w:t>《選粹》已指出，此为《捕律》。張家山漢簡《二年律令·捕律》简</w:t>
      </w:r>
      <w:r w:rsidRPr="00801B6A">
        <w:t>142</w:t>
      </w:r>
      <w:r w:rsidRPr="00801B6A">
        <w:rPr>
          <w:rFonts w:hint="eastAsia"/>
        </w:rPr>
        <w:t>—</w:t>
      </w:r>
      <w:r w:rsidRPr="00801B6A">
        <w:t>143</w:t>
      </w:r>
      <w:r w:rsidRPr="00801B6A">
        <w:rPr>
          <w:rFonts w:hint="eastAsia"/>
        </w:rPr>
        <w:t>原释文作：“與盜賊遇而去北，及力足以追逮捕之而官□□□□□逗留畏耎</w:t>
      </w:r>
      <w:proofErr w:type="gramStart"/>
      <w:r w:rsidRPr="00801B6A">
        <w:rPr>
          <w:rFonts w:hint="eastAsia"/>
        </w:rPr>
        <w:t>弗</w:t>
      </w:r>
      <w:proofErr w:type="gramEnd"/>
      <w:r w:rsidRPr="00801B6A">
        <w:rPr>
          <w:rFonts w:hint="eastAsia"/>
        </w:rPr>
        <w:t>敢就，奪其將爵一絡</w:t>
      </w:r>
      <w:r w:rsidRPr="00801B6A">
        <w:t>&lt;</w:t>
      </w:r>
      <w:r w:rsidRPr="00801B6A">
        <w:rPr>
          <w:rFonts w:hint="eastAsia"/>
        </w:rPr>
        <w:t>級</w:t>
      </w:r>
      <w:r w:rsidRPr="00801B6A">
        <w:t>&gt;</w:t>
      </w:r>
      <w:r w:rsidRPr="00801B6A">
        <w:rPr>
          <w:rFonts w:hint="eastAsia"/>
        </w:rPr>
        <w:t>，免之，毋爵者戍邊二歲；而罰其所</w:t>
      </w:r>
      <w:proofErr w:type="gramStart"/>
      <w:r w:rsidRPr="00801B6A">
        <w:rPr>
          <w:rFonts w:hint="eastAsia"/>
        </w:rPr>
        <w:t>將吏</w:t>
      </w:r>
      <w:proofErr w:type="gramEnd"/>
      <w:r w:rsidRPr="00801B6A">
        <w:rPr>
          <w:rFonts w:hint="eastAsia"/>
        </w:rPr>
        <w:t>徒以卒戍邊各一歲。興吏徒追盜賊，已受令而逋，以畏耎論之。”此正可與胡家草場《捕律》相參看。</w:t>
      </w:r>
    </w:p>
    <w:p w14:paraId="19CAA1B2" w14:textId="77777777" w:rsidR="00801B6A" w:rsidRPr="00801B6A" w:rsidRDefault="00801B6A" w:rsidP="00801B6A">
      <w:pPr>
        <w:pStyle w:val="aa"/>
        <w:ind w:firstLine="560"/>
      </w:pPr>
      <w:r w:rsidRPr="00801B6A">
        <w:rPr>
          <w:rFonts w:hint="eastAsia"/>
        </w:rPr>
        <w:t>張家山漢簡《二年律令·捕律》简</w:t>
      </w:r>
      <w:r w:rsidRPr="00801B6A">
        <w:t>142</w:t>
      </w:r>
      <w:r w:rsidRPr="00801B6A">
        <w:rPr>
          <w:rFonts w:hint="eastAsia"/>
        </w:rPr>
        <w:t>所謂“官”字，圖版作</w:t>
      </w:r>
      <w:r w:rsidRPr="00801B6A">
        <w:rPr>
          <w:noProof/>
        </w:rPr>
        <w:drawing>
          <wp:inline distT="0" distB="0" distL="0" distR="0" wp14:anchorId="45157F3A" wp14:editId="64BEBD7E">
            <wp:extent cx="435377" cy="499403"/>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493" cy="508713"/>
                    </a:xfrm>
                    <a:prstGeom prst="rect">
                      <a:avLst/>
                    </a:prstGeom>
                  </pic:spPr>
                </pic:pic>
              </a:graphicData>
            </a:graphic>
          </wp:inline>
        </w:drawing>
      </w:r>
      <w:r w:rsidRPr="00801B6A">
        <w:rPr>
          <w:rFonts w:hint="eastAsia"/>
        </w:rPr>
        <w:t>，當</w:t>
      </w:r>
      <w:proofErr w:type="gramStart"/>
      <w:r w:rsidRPr="00801B6A">
        <w:rPr>
          <w:rFonts w:hint="eastAsia"/>
        </w:rPr>
        <w:t>據</w:t>
      </w:r>
      <w:proofErr w:type="gramEnd"/>
      <w:r w:rsidRPr="00801B6A">
        <w:rPr>
          <w:rFonts w:hint="eastAsia"/>
        </w:rPr>
        <w:t>胡家草場《捕律》改釋為“回”。其下一字，原圖版作</w:t>
      </w:r>
      <w:r w:rsidRPr="00801B6A">
        <w:rPr>
          <w:noProof/>
        </w:rPr>
        <w:drawing>
          <wp:inline distT="0" distB="0" distL="0" distR="0" wp14:anchorId="04787A6C" wp14:editId="1CFD2713">
            <wp:extent cx="322952" cy="548347"/>
            <wp:effectExtent l="0" t="0" r="1270" b="4445"/>
            <wp:docPr id="13474" name="图片 1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8036" cy="556979"/>
                    </a:xfrm>
                    <a:prstGeom prst="rect">
                      <a:avLst/>
                    </a:prstGeom>
                  </pic:spPr>
                </pic:pic>
              </a:graphicData>
            </a:graphic>
          </wp:inline>
        </w:drawing>
      </w:r>
      <w:r w:rsidRPr="00801B6A">
        <w:rPr>
          <w:rFonts w:hint="eastAsia"/>
        </w:rPr>
        <w:t>，原缺釋。我們指出此字右部當“</w:t>
      </w:r>
      <w:r w:rsidRPr="00801B6A">
        <w:rPr>
          <w:noProof/>
        </w:rPr>
        <w:drawing>
          <wp:inline distT="0" distB="0" distL="0" distR="0" wp14:anchorId="36D0D354" wp14:editId="044805AD">
            <wp:extent cx="111630" cy="127000"/>
            <wp:effectExtent l="0" t="0" r="317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1630" cy="127000"/>
                    </a:xfrm>
                    <a:prstGeom prst="rect">
                      <a:avLst/>
                    </a:prstGeom>
                  </pic:spPr>
                </pic:pic>
              </a:graphicData>
            </a:graphic>
          </wp:inline>
        </w:drawing>
      </w:r>
      <w:r w:rsidRPr="00801B6A">
        <w:rPr>
          <w:rFonts w:hint="eastAsia"/>
        </w:rPr>
        <w:t>”，</w:t>
      </w:r>
      <w:proofErr w:type="gramStart"/>
      <w:r w:rsidRPr="00801B6A">
        <w:rPr>
          <w:rFonts w:hint="eastAsia"/>
        </w:rPr>
        <w:t>據</w:t>
      </w:r>
      <w:proofErr w:type="gramEnd"/>
      <w:r w:rsidRPr="00801B6A">
        <w:rPr>
          <w:rFonts w:hint="eastAsia"/>
        </w:rPr>
        <w:t>秦漢簡相關字形，很可能也是“隋”或“隨”字之殘。此字當讀</w:t>
      </w:r>
      <w:proofErr w:type="gramStart"/>
      <w:r w:rsidRPr="00801B6A">
        <w:rPr>
          <w:rFonts w:hint="eastAsia"/>
        </w:rPr>
        <w:t>為</w:t>
      </w:r>
      <w:proofErr w:type="gramEnd"/>
      <w:r w:rsidRPr="00801B6A">
        <w:rPr>
          <w:rFonts w:hint="eastAsia"/>
        </w:rPr>
        <w:t>“惰”，指惰失、惰職。</w:t>
      </w:r>
      <w:r w:rsidRPr="00801B6A">
        <w:endnoteReference w:id="3"/>
      </w:r>
      <w:r w:rsidRPr="00801B6A">
        <w:rPr>
          <w:rFonts w:hint="eastAsia"/>
        </w:rPr>
        <w:t>“惰”下一字，原圖版作</w:t>
      </w:r>
      <w:r w:rsidRPr="00801B6A">
        <w:rPr>
          <w:noProof/>
        </w:rPr>
        <w:drawing>
          <wp:inline distT="0" distB="0" distL="0" distR="0" wp14:anchorId="5A0E6E40" wp14:editId="76A87420">
            <wp:extent cx="316727" cy="576776"/>
            <wp:effectExtent l="0" t="0" r="762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177" cy="590342"/>
                    </a:xfrm>
                    <a:prstGeom prst="rect">
                      <a:avLst/>
                    </a:prstGeom>
                  </pic:spPr>
                </pic:pic>
              </a:graphicData>
            </a:graphic>
          </wp:inline>
        </w:drawing>
      </w:r>
      <w:r w:rsidRPr="00801B6A">
        <w:rPr>
          <w:rFonts w:hint="eastAsia"/>
        </w:rPr>
        <w:t>，</w:t>
      </w:r>
      <w:proofErr w:type="gramStart"/>
      <w:r w:rsidRPr="00801B6A">
        <w:rPr>
          <w:rFonts w:hint="eastAsia"/>
        </w:rPr>
        <w:t>右从“羊”</w:t>
      </w:r>
      <w:proofErr w:type="gramEnd"/>
      <w:r w:rsidRPr="00801B6A">
        <w:rPr>
          <w:rFonts w:hint="eastAsia"/>
        </w:rPr>
        <w:t>。秦漢文字多以“詳”</w:t>
      </w:r>
      <w:proofErr w:type="gramStart"/>
      <w:r w:rsidRPr="00801B6A">
        <w:rPr>
          <w:rFonts w:hint="eastAsia"/>
        </w:rPr>
        <w:t>為</w:t>
      </w:r>
      <w:proofErr w:type="gramEnd"/>
      <w:r w:rsidRPr="00801B6A">
        <w:rPr>
          <w:rFonts w:hint="eastAsia"/>
        </w:rPr>
        <w:t>“佯”，上字也可</w:t>
      </w:r>
      <w:r w:rsidRPr="00801B6A">
        <w:rPr>
          <w:rFonts w:hint="eastAsia"/>
        </w:rPr>
        <w:lastRenderedPageBreak/>
        <w:t>能是“詳”，讀為“佯”。其下三字原圖版分別作</w:t>
      </w:r>
      <w:r w:rsidRPr="00801B6A">
        <w:rPr>
          <w:noProof/>
        </w:rPr>
        <w:drawing>
          <wp:inline distT="0" distB="0" distL="0" distR="0" wp14:anchorId="377BD887" wp14:editId="252E71E9">
            <wp:extent cx="422405" cy="61194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636" cy="625319"/>
                    </a:xfrm>
                    <a:prstGeom prst="rect">
                      <a:avLst/>
                    </a:prstGeom>
                  </pic:spPr>
                </pic:pic>
              </a:graphicData>
            </a:graphic>
          </wp:inline>
        </w:drawing>
      </w:r>
      <w:r w:rsidRPr="00801B6A">
        <w:rPr>
          <w:rFonts w:hint="eastAsia"/>
        </w:rPr>
        <w:t>、</w:t>
      </w:r>
      <w:r w:rsidRPr="00801B6A">
        <w:rPr>
          <w:noProof/>
        </w:rPr>
        <w:drawing>
          <wp:inline distT="0" distB="0" distL="0" distR="0" wp14:anchorId="01D4BA56" wp14:editId="58FD1BAE">
            <wp:extent cx="400930" cy="649506"/>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251" cy="664605"/>
                    </a:xfrm>
                    <a:prstGeom prst="rect">
                      <a:avLst/>
                    </a:prstGeom>
                  </pic:spPr>
                </pic:pic>
              </a:graphicData>
            </a:graphic>
          </wp:inline>
        </w:drawing>
      </w:r>
      <w:r w:rsidRPr="00801B6A">
        <w:rPr>
          <w:rFonts w:hint="eastAsia"/>
        </w:rPr>
        <w:t>、</w:t>
      </w:r>
      <w:r w:rsidRPr="00801B6A">
        <w:rPr>
          <w:noProof/>
        </w:rPr>
        <w:drawing>
          <wp:inline distT="0" distB="0" distL="0" distR="0" wp14:anchorId="011BC306" wp14:editId="21157B5F">
            <wp:extent cx="493320" cy="644680"/>
            <wp:effectExtent l="0" t="0" r="2540" b="317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607" cy="658123"/>
                    </a:xfrm>
                    <a:prstGeom prst="rect">
                      <a:avLst/>
                    </a:prstGeom>
                  </pic:spPr>
                </pic:pic>
              </a:graphicData>
            </a:graphic>
          </wp:inline>
        </w:drawing>
      </w:r>
      <w:r w:rsidRPr="00801B6A">
        <w:rPr>
          <w:rFonts w:hint="eastAsia"/>
        </w:rPr>
        <w:t>，當是“勿見及”三字。</w:t>
      </w:r>
    </w:p>
    <w:p w14:paraId="0DA9DD4B" w14:textId="77777777" w:rsidR="00801B6A" w:rsidRPr="00801B6A" w:rsidRDefault="00801B6A" w:rsidP="00801B6A">
      <w:pPr>
        <w:pStyle w:val="aa"/>
        <w:ind w:firstLine="560"/>
      </w:pPr>
      <w:r w:rsidRPr="00801B6A">
        <w:rPr>
          <w:rFonts w:hint="eastAsia"/>
        </w:rPr>
        <w:t>根</w:t>
      </w:r>
      <w:proofErr w:type="gramStart"/>
      <w:r w:rsidRPr="00801B6A">
        <w:rPr>
          <w:rFonts w:hint="eastAsia"/>
        </w:rPr>
        <w:t>據</w:t>
      </w:r>
      <w:proofErr w:type="gramEnd"/>
      <w:r w:rsidRPr="00801B6A">
        <w:rPr>
          <w:rFonts w:hint="eastAsia"/>
        </w:rPr>
        <w:t>上文所論，張家山漢簡《二年律令·捕律》简</w:t>
      </w:r>
      <w:r w:rsidRPr="00801B6A">
        <w:t>142</w:t>
      </w:r>
      <w:r w:rsidRPr="00801B6A">
        <w:rPr>
          <w:rFonts w:hint="eastAsia"/>
        </w:rPr>
        <w:t xml:space="preserve"> 相關文字當斷讀作“與盜賊遇而去北，及力足以追逮捕之而回、隋（或隨—惰）、詳（佯）勿見及逗留、畏耎弗敢就”。“回”即回避，意與胡家草</w:t>
      </w:r>
      <w:proofErr w:type="gramStart"/>
      <w:r w:rsidRPr="00801B6A">
        <w:rPr>
          <w:rFonts w:hint="eastAsia"/>
        </w:rPr>
        <w:t>場</w:t>
      </w:r>
      <w:proofErr w:type="gramEnd"/>
      <w:r w:rsidRPr="00801B6A">
        <w:rPr>
          <w:rFonts w:hint="eastAsia"/>
        </w:rPr>
        <w:t>《捕律》之“回避”相同。“惰”，</w:t>
      </w:r>
      <w:r w:rsidRPr="00801B6A">
        <w:t xml:space="preserve"> </w:t>
      </w:r>
      <w:r w:rsidRPr="00801B6A">
        <w:rPr>
          <w:rFonts w:hint="eastAsia"/>
        </w:rPr>
        <w:t>胡家草</w:t>
      </w:r>
      <w:proofErr w:type="gramStart"/>
      <w:r w:rsidRPr="00801B6A">
        <w:rPr>
          <w:rFonts w:hint="eastAsia"/>
        </w:rPr>
        <w:t>場</w:t>
      </w:r>
      <w:proofErr w:type="gramEnd"/>
      <w:r w:rsidRPr="00801B6A">
        <w:rPr>
          <w:rFonts w:hint="eastAsia"/>
        </w:rPr>
        <w:t>《捕律》不見。《唐律·捕亡》“</w:t>
      </w:r>
      <w:proofErr w:type="gramStart"/>
      <w:r w:rsidRPr="00801B6A">
        <w:rPr>
          <w:rFonts w:hint="eastAsia"/>
        </w:rPr>
        <w:t>將</w:t>
      </w:r>
      <w:proofErr w:type="gramEnd"/>
      <w:r w:rsidRPr="00801B6A">
        <w:rPr>
          <w:rFonts w:hint="eastAsia"/>
        </w:rPr>
        <w:t>吏捕罪人逗留不行”條：“罪人逃亡，</w:t>
      </w:r>
      <w:proofErr w:type="gramStart"/>
      <w:r w:rsidRPr="00801B6A">
        <w:rPr>
          <w:rFonts w:hint="eastAsia"/>
        </w:rPr>
        <w:t>將吏已</w:t>
      </w:r>
      <w:proofErr w:type="gramEnd"/>
      <w:r w:rsidRPr="00801B6A">
        <w:rPr>
          <w:rFonts w:hint="eastAsia"/>
        </w:rPr>
        <w:t>受使追捕，而不行及逗留；雖行，與亡者相遇，人仗足敵，不鬥而退者：各減罪人罪一等。”。《疏議》：“</w:t>
      </w:r>
      <w:proofErr w:type="gramStart"/>
      <w:r w:rsidRPr="00801B6A">
        <w:rPr>
          <w:rFonts w:hint="eastAsia"/>
        </w:rPr>
        <w:t>將吏已</w:t>
      </w:r>
      <w:proofErr w:type="gramEnd"/>
      <w:r w:rsidRPr="00801B6A">
        <w:rPr>
          <w:rFonts w:hint="eastAsia"/>
        </w:rPr>
        <w:t>受使追捕者，謂見任武官為將，文官為吏，已受使追捕罪人。‘而不行及逗留’，謂故作回避逗留及詐為疾患不去之類；雖行，與亡者相遇，人兵器仗足得相敵，不戰鬥而退者，‘各減罪人罪一等’，謂罪人合死，將吏處流三千里之類。”此可與上引兩種《捕律》簡文相參看。《唐律·捕亡》律文無有關</w:t>
      </w:r>
      <w:proofErr w:type="gramStart"/>
      <w:r w:rsidRPr="00801B6A">
        <w:rPr>
          <w:rFonts w:hint="eastAsia"/>
        </w:rPr>
        <w:t>惰</w:t>
      </w:r>
      <w:proofErr w:type="gramEnd"/>
      <w:r w:rsidRPr="00801B6A">
        <w:rPr>
          <w:rFonts w:hint="eastAsia"/>
        </w:rPr>
        <w:t>職的記載，但《疏议》有“故作回避逗留及詐為疾患不去之類”，“詐為疾患不去”，義與惰職相關。此處有</w:t>
      </w:r>
      <w:proofErr w:type="gramStart"/>
      <w:r w:rsidRPr="00801B6A">
        <w:rPr>
          <w:rFonts w:hint="eastAsia"/>
        </w:rPr>
        <w:t>兩</w:t>
      </w:r>
      <w:proofErr w:type="gramEnd"/>
      <w:r w:rsidRPr="00801B6A">
        <w:rPr>
          <w:rFonts w:hint="eastAsia"/>
        </w:rPr>
        <w:t>種可能：一、胡家草</w:t>
      </w:r>
      <w:proofErr w:type="gramStart"/>
      <w:r w:rsidRPr="00801B6A">
        <w:rPr>
          <w:rFonts w:hint="eastAsia"/>
        </w:rPr>
        <w:t>場</w:t>
      </w:r>
      <w:proofErr w:type="gramEnd"/>
      <w:r w:rsidRPr="00801B6A">
        <w:rPr>
          <w:rFonts w:hint="eastAsia"/>
        </w:rPr>
        <w:t>《捕律》缺一“惰”字。二、因</w:t>
      </w:r>
      <w:proofErr w:type="gramStart"/>
      <w:r w:rsidRPr="00801B6A">
        <w:rPr>
          <w:rFonts w:hint="eastAsia"/>
        </w:rPr>
        <w:t>惰</w:t>
      </w:r>
      <w:proofErr w:type="gramEnd"/>
      <w:r w:rsidRPr="00801B6A">
        <w:rPr>
          <w:rFonts w:hint="eastAsia"/>
        </w:rPr>
        <w:t>職行為難以定性，故後出之胡家草場《捕律》經修訂後刪掉“惰”字，故前後兩種《捕律》略有差異。</w:t>
      </w:r>
      <w:proofErr w:type="gramStart"/>
      <w:r w:rsidRPr="00801B6A">
        <w:rPr>
          <w:rFonts w:hint="eastAsia"/>
        </w:rPr>
        <w:t>後</w:t>
      </w:r>
      <w:proofErr w:type="gramEnd"/>
      <w:r w:rsidRPr="00801B6A">
        <w:rPr>
          <w:rFonts w:hint="eastAsia"/>
        </w:rPr>
        <w:t>一說似更有可能。胡家草</w:t>
      </w:r>
      <w:proofErr w:type="gramStart"/>
      <w:r w:rsidRPr="00801B6A">
        <w:rPr>
          <w:rFonts w:hint="eastAsia"/>
        </w:rPr>
        <w:t>場</w:t>
      </w:r>
      <w:proofErr w:type="gramEnd"/>
      <w:r w:rsidRPr="00801B6A">
        <w:rPr>
          <w:rFonts w:hint="eastAsia"/>
        </w:rPr>
        <w:t>《捕律》經過修改，大概可以肯定下來。“回”有多義，《二</w:t>
      </w:r>
      <w:r w:rsidRPr="00801B6A">
        <w:rPr>
          <w:rFonts w:hint="eastAsia"/>
        </w:rPr>
        <w:lastRenderedPageBreak/>
        <w:t>年律令·捕律》之“回”，胡家草</w:t>
      </w:r>
      <w:proofErr w:type="gramStart"/>
      <w:r w:rsidRPr="00801B6A">
        <w:rPr>
          <w:rFonts w:hint="eastAsia"/>
        </w:rPr>
        <w:t>場</w:t>
      </w:r>
      <w:proofErr w:type="gramEnd"/>
      <w:r w:rsidRPr="00801B6A">
        <w:rPr>
          <w:rFonts w:hint="eastAsia"/>
        </w:rPr>
        <w:t>《捕律》改為更為明晰之“回避”，即一例。此外，</w:t>
      </w:r>
      <w:proofErr w:type="gramStart"/>
      <w:r w:rsidRPr="00801B6A">
        <w:rPr>
          <w:rFonts w:hint="eastAsia"/>
        </w:rPr>
        <w:t>兩批律</w:t>
      </w:r>
      <w:proofErr w:type="gramEnd"/>
      <w:r w:rsidRPr="00801B6A">
        <w:rPr>
          <w:rFonts w:hint="eastAsia"/>
        </w:rPr>
        <w:t>文在具體判罰標準上，多有不同，也是其體現。</w:t>
      </w:r>
    </w:p>
    <w:p w14:paraId="489B3F7E" w14:textId="77777777" w:rsidR="00801B6A" w:rsidRPr="00801B6A" w:rsidRDefault="00801B6A" w:rsidP="00801B6A"/>
    <w:p w14:paraId="06DF95ED" w14:textId="77777777" w:rsidR="00801B6A" w:rsidRPr="007F0147" w:rsidRDefault="00801B6A" w:rsidP="00801B6A">
      <w:pPr>
        <w:pStyle w:val="aa"/>
        <w:ind w:firstLine="562"/>
        <w:jc w:val="center"/>
        <w:rPr>
          <w:b/>
        </w:rPr>
      </w:pPr>
      <w:r w:rsidRPr="007F0147">
        <w:rPr>
          <w:rFonts w:hint="eastAsia"/>
          <w:b/>
        </w:rPr>
        <w:t>三</w:t>
      </w:r>
    </w:p>
    <w:p w14:paraId="4A874DB5" w14:textId="77777777" w:rsidR="00801B6A" w:rsidRPr="00801B6A" w:rsidRDefault="00801B6A" w:rsidP="00801B6A">
      <w:pPr>
        <w:pStyle w:val="aa"/>
        <w:ind w:firstLine="560"/>
      </w:pPr>
      <w:r w:rsidRPr="00801B6A">
        <w:rPr>
          <w:rFonts w:hint="eastAsia"/>
        </w:rPr>
        <w:t>胡家草</w:t>
      </w:r>
      <w:proofErr w:type="gramStart"/>
      <w:r w:rsidRPr="00801B6A">
        <w:rPr>
          <w:rFonts w:hint="eastAsia"/>
        </w:rPr>
        <w:t>場</w:t>
      </w:r>
      <w:proofErr w:type="gramEnd"/>
      <w:r w:rsidRPr="00801B6A">
        <w:rPr>
          <w:rFonts w:hint="eastAsia"/>
        </w:rPr>
        <w:t>簡</w:t>
      </w:r>
      <w:r w:rsidRPr="00801B6A">
        <w:t>61</w:t>
      </w:r>
      <w:r w:rsidRPr="00801B6A">
        <w:rPr>
          <w:rFonts w:hint="eastAsia"/>
        </w:rPr>
        <w:t>原釋文：</w:t>
      </w:r>
    </w:p>
    <w:p w14:paraId="43BD03D4" w14:textId="77777777" w:rsidR="00801B6A" w:rsidRPr="00801B6A" w:rsidRDefault="00801B6A" w:rsidP="00801B6A">
      <w:pPr>
        <w:pStyle w:val="a3"/>
        <w:spacing w:before="540" w:after="540"/>
        <w:ind w:firstLine="496"/>
      </w:pPr>
      <w:r w:rsidRPr="00801B6A">
        <w:rPr>
          <w:rFonts w:hint="eastAsia"/>
        </w:rPr>
        <w:t>諸馬牛到所，皆毋敢穿</w:t>
      </w:r>
      <w:r w:rsidRPr="009C1ED2">
        <w:rPr>
          <w:rFonts w:hint="eastAsia"/>
          <w:vertAlign w:val="subscript"/>
        </w:rPr>
        <w:t>＝</w:t>
      </w:r>
      <w:r w:rsidRPr="00801B6A">
        <w:rPr>
          <w:rFonts w:hint="eastAsia"/>
        </w:rPr>
        <w:t>穽</w:t>
      </w:r>
      <w:r w:rsidRPr="009C1ED2">
        <w:rPr>
          <w:rFonts w:hint="eastAsia"/>
          <w:vertAlign w:val="subscript"/>
        </w:rPr>
        <w:t>＝</w:t>
      </w:r>
      <w:r w:rsidRPr="00801B6A">
        <w:rPr>
          <w:rFonts w:hint="eastAsia"/>
        </w:rPr>
        <w:t>及</w:t>
      </w:r>
      <w:r w:rsidRPr="009C1ED2">
        <w:rPr>
          <w:rFonts w:hint="eastAsia"/>
          <w:vertAlign w:val="subscript"/>
        </w:rPr>
        <w:t>＝</w:t>
      </w:r>
      <w:r w:rsidRPr="00801B6A">
        <w:rPr>
          <w:rFonts w:hint="eastAsia"/>
        </w:rPr>
        <w:t>置</w:t>
      </w:r>
      <w:r w:rsidRPr="009C1ED2">
        <w:rPr>
          <w:rFonts w:hint="eastAsia"/>
          <w:vertAlign w:val="subscript"/>
        </w:rPr>
        <w:t>＝</w:t>
      </w:r>
      <w:r w:rsidRPr="00801B6A">
        <w:rPr>
          <w:rFonts w:hint="eastAsia"/>
        </w:rPr>
        <w:t>它</w:t>
      </w:r>
      <w:r w:rsidRPr="009C1ED2">
        <w:rPr>
          <w:rFonts w:hint="eastAsia"/>
          <w:vertAlign w:val="subscript"/>
        </w:rPr>
        <w:t>＝</w:t>
      </w:r>
      <w:r w:rsidRPr="00801B6A">
        <w:rPr>
          <w:rFonts w:hint="eastAsia"/>
        </w:rPr>
        <w:t>機</w:t>
      </w:r>
      <w:r w:rsidRPr="009C1ED2">
        <w:rPr>
          <w:rFonts w:hint="eastAsia"/>
          <w:vertAlign w:val="subscript"/>
        </w:rPr>
        <w:t>＝</w:t>
      </w:r>
      <w:r w:rsidRPr="00801B6A">
        <w:rPr>
          <w:rFonts w:hint="eastAsia"/>
        </w:rPr>
        <w:t>（穿穽及置它機，穿穽及置它機）能害人、馬牛者，雖未有殺、傷也，罰金十二兩；殺</w:t>
      </w:r>
    </w:p>
    <w:p w14:paraId="4548A525" w14:textId="77777777" w:rsidR="00801B6A" w:rsidRPr="00801B6A" w:rsidRDefault="00801B6A" w:rsidP="00801B6A">
      <w:pPr>
        <w:pStyle w:val="aa"/>
        <w:ind w:firstLine="560"/>
      </w:pPr>
      <w:r w:rsidRPr="00801B6A">
        <w:rPr>
          <w:rFonts w:hint="eastAsia"/>
        </w:rPr>
        <w:t>《選粹》已指出，此为《田律》。張家山漢簡《二年律令·田律》簡</w:t>
      </w:r>
      <w:r w:rsidRPr="00801B6A">
        <w:t>251</w:t>
      </w:r>
      <w:r w:rsidRPr="00801B6A">
        <w:rPr>
          <w:rFonts w:hint="eastAsia"/>
        </w:rPr>
        <w:t>－</w:t>
      </w:r>
      <w:r w:rsidRPr="00801B6A">
        <w:t>252</w:t>
      </w:r>
      <w:r w:rsidRPr="00801B6A">
        <w:rPr>
          <w:rFonts w:hint="eastAsia"/>
        </w:rPr>
        <w:t>正可與之相</w:t>
      </w:r>
      <w:proofErr w:type="gramStart"/>
      <w:r w:rsidRPr="00801B6A">
        <w:rPr>
          <w:rFonts w:hint="eastAsia"/>
        </w:rPr>
        <w:t>參</w:t>
      </w:r>
      <w:proofErr w:type="gramEnd"/>
      <w:r w:rsidRPr="00801B6A">
        <w:rPr>
          <w:rFonts w:hint="eastAsia"/>
        </w:rPr>
        <w:t>看。簡</w:t>
      </w:r>
      <w:r w:rsidRPr="00801B6A">
        <w:t>251</w:t>
      </w:r>
      <w:r w:rsidRPr="00801B6A">
        <w:rPr>
          <w:rFonts w:hint="eastAsia"/>
        </w:rPr>
        <w:t>－</w:t>
      </w:r>
      <w:r w:rsidRPr="00801B6A">
        <w:t>252</w:t>
      </w:r>
      <w:r w:rsidRPr="00801B6A">
        <w:rPr>
          <w:rFonts w:hint="eastAsia"/>
        </w:rPr>
        <w:t>原釋文作“諸馬牛到所，皆毋敢穿穽，穿穽及</w:t>
      </w:r>
      <w:proofErr w:type="gramStart"/>
      <w:r w:rsidRPr="00801B6A">
        <w:rPr>
          <w:rFonts w:hint="eastAsia"/>
        </w:rPr>
        <w:t>及</w:t>
      </w:r>
      <w:proofErr w:type="gramEnd"/>
      <w:r w:rsidRPr="00801B6A">
        <w:rPr>
          <w:rFonts w:hint="eastAsia"/>
        </w:rPr>
        <w:t>置它機能害人、馬牛者，雖未有殺傷也，耐為隸臣妾。殺傷馬牛，與盜同法。殺人，棄市。傷人，完為城旦舂”。原整理者認</w:t>
      </w:r>
      <w:proofErr w:type="gramStart"/>
      <w:r w:rsidRPr="00801B6A">
        <w:rPr>
          <w:rFonts w:hint="eastAsia"/>
        </w:rPr>
        <w:t>為</w:t>
      </w:r>
      <w:proofErr w:type="gramEnd"/>
      <w:r w:rsidRPr="00801B6A">
        <w:rPr>
          <w:rFonts w:hint="eastAsia"/>
        </w:rPr>
        <w:t>：“‘及’字下原有重文號，衍。”我們曾</w:t>
      </w:r>
      <w:proofErr w:type="gramStart"/>
      <w:r w:rsidRPr="00801B6A">
        <w:rPr>
          <w:rFonts w:hint="eastAsia"/>
        </w:rPr>
        <w:t>據</w:t>
      </w:r>
      <w:proofErr w:type="gramEnd"/>
      <w:r w:rsidRPr="00801B6A">
        <w:rPr>
          <w:rFonts w:hint="eastAsia"/>
        </w:rPr>
        <w:t>龍崗秦簡</w:t>
      </w:r>
      <w:r w:rsidRPr="00801B6A">
        <w:t>103</w:t>
      </w:r>
      <w:r w:rsidRPr="00801B6A">
        <w:rPr>
          <w:rFonts w:hint="eastAsia"/>
        </w:rPr>
        <w:t>－</w:t>
      </w:r>
      <w:r w:rsidRPr="00801B6A">
        <w:t>106</w:t>
      </w:r>
      <w:r w:rsidRPr="00801B6A">
        <w:rPr>
          <w:rFonts w:hint="eastAsia"/>
        </w:rPr>
        <w:t>“諸馬牛到所，毋敢穿穽及置它機，敢穿穽及置它機能害人、馬牛者，雖未有殺傷殹，貲二甲。殺傷馬……”，</w:t>
      </w:r>
      <w:r w:rsidRPr="00801B6A">
        <w:endnoteReference w:id="4"/>
      </w:r>
      <w:r w:rsidRPr="00801B6A">
        <w:rPr>
          <w:rFonts w:hint="eastAsia"/>
        </w:rPr>
        <w:t>認為《二年律令·田律》簡文的問題出在抄寫者於“置它機”三字下漏寫了重文符號。故此部分釋文當改作：“皆毋敢穿穽及〖置它機〗，穿穽及置它機能害人、馬牛者，雖未有</w:t>
      </w:r>
      <w:proofErr w:type="gramStart"/>
      <w:r w:rsidRPr="00801B6A">
        <w:rPr>
          <w:rFonts w:hint="eastAsia"/>
        </w:rPr>
        <w:t>殺</w:t>
      </w:r>
      <w:proofErr w:type="gramEnd"/>
      <w:r w:rsidRPr="00801B6A">
        <w:rPr>
          <w:rFonts w:hint="eastAsia"/>
        </w:rPr>
        <w:t>傷也，耐為隸臣妾。……”</w:t>
      </w:r>
      <w:r w:rsidRPr="00801B6A">
        <w:endnoteReference w:id="5"/>
      </w:r>
    </w:p>
    <w:p w14:paraId="0EF46113" w14:textId="77777777" w:rsidR="00801B6A" w:rsidRPr="00801B6A" w:rsidRDefault="00801B6A" w:rsidP="00801B6A">
      <w:pPr>
        <w:pStyle w:val="aa"/>
        <w:ind w:firstLine="560"/>
      </w:pPr>
      <w:r w:rsidRPr="00801B6A">
        <w:rPr>
          <w:rFonts w:hint="eastAsia"/>
        </w:rPr>
        <w:lastRenderedPageBreak/>
        <w:t>李天虹、曹方向</w:t>
      </w:r>
      <w:proofErr w:type="gramStart"/>
      <w:r w:rsidRPr="00801B6A">
        <w:rPr>
          <w:rFonts w:hint="eastAsia"/>
        </w:rPr>
        <w:t>兩</w:t>
      </w:r>
      <w:proofErr w:type="gramEnd"/>
      <w:r w:rsidRPr="00801B6A">
        <w:rPr>
          <w:rFonts w:hint="eastAsia"/>
        </w:rPr>
        <w:t>位先生新整理龍崗秦簡，將相關部分釋文改為“諸馬牛到所，毋敢穿穽及置它，敢穿穽及置它機能害人、馬牛者”。此說法承續自《雲夢龍崗秦簡》，此</w:t>
      </w:r>
      <w:proofErr w:type="gramStart"/>
      <w:r w:rsidRPr="00801B6A">
        <w:rPr>
          <w:rFonts w:hint="eastAsia"/>
        </w:rPr>
        <w:t>書</w:t>
      </w:r>
      <w:proofErr w:type="gramEnd"/>
      <w:r w:rsidRPr="00801B6A">
        <w:rPr>
          <w:rFonts w:hint="eastAsia"/>
        </w:rPr>
        <w:t>即在第一個“它”字下斷讀。或以</w:t>
      </w:r>
      <w:proofErr w:type="gramStart"/>
      <w:r w:rsidRPr="00801B6A">
        <w:rPr>
          <w:rFonts w:hint="eastAsia"/>
        </w:rPr>
        <w:t>為</w:t>
      </w:r>
      <w:proofErr w:type="gramEnd"/>
      <w:r w:rsidRPr="00801B6A">
        <w:rPr>
          <w:rFonts w:hint="eastAsia"/>
        </w:rPr>
        <w:t>“它”指穿穽以外的捕獸設施，即下文“它機”；前面說“它”，</w:t>
      </w:r>
      <w:proofErr w:type="gramStart"/>
      <w:r w:rsidRPr="00801B6A">
        <w:rPr>
          <w:rFonts w:hint="eastAsia"/>
        </w:rPr>
        <w:t>後</w:t>
      </w:r>
      <w:proofErr w:type="gramEnd"/>
      <w:r w:rsidRPr="00801B6A">
        <w:rPr>
          <w:rFonts w:hint="eastAsia"/>
        </w:rPr>
        <w:t>面說“它機”，屬前</w:t>
      </w:r>
      <w:proofErr w:type="gramStart"/>
      <w:r w:rsidRPr="00801B6A">
        <w:rPr>
          <w:rFonts w:hint="eastAsia"/>
        </w:rPr>
        <w:t>後互</w:t>
      </w:r>
      <w:proofErr w:type="gramEnd"/>
      <w:r w:rsidRPr="00801B6A">
        <w:rPr>
          <w:rFonts w:hint="eastAsia"/>
        </w:rPr>
        <w:t>足的形式。</w:t>
      </w:r>
      <w:r w:rsidRPr="00801B6A">
        <w:endnoteReference w:id="6"/>
      </w:r>
      <w:r w:rsidRPr="00801B6A">
        <w:rPr>
          <w:rFonts w:hint="eastAsia"/>
        </w:rPr>
        <w:t>二人</w:t>
      </w:r>
      <w:proofErr w:type="gramStart"/>
      <w:r w:rsidRPr="00801B6A">
        <w:rPr>
          <w:rFonts w:hint="eastAsia"/>
        </w:rPr>
        <w:t>據</w:t>
      </w:r>
      <w:proofErr w:type="gramEnd"/>
      <w:r w:rsidRPr="00801B6A">
        <w:rPr>
          <w:rFonts w:hint="eastAsia"/>
        </w:rPr>
        <w:t>之認為：“龍崗秦簡‘機’字下無重文符號。綜合考慮，關</w:t>
      </w:r>
      <w:proofErr w:type="gramStart"/>
      <w:r w:rsidRPr="00801B6A">
        <w:rPr>
          <w:rFonts w:hint="eastAsia"/>
        </w:rPr>
        <w:t>於</w:t>
      </w:r>
      <w:proofErr w:type="gramEnd"/>
      <w:r w:rsidRPr="00801B6A">
        <w:rPr>
          <w:rFonts w:hint="eastAsia"/>
        </w:rPr>
        <w:t>重文符號的處理，《雲夢》和張家山漢簡原整理者的斷讀似更為穩妥。”</w:t>
      </w:r>
      <w:r w:rsidRPr="00801B6A">
        <w:endnoteReference w:id="7"/>
      </w:r>
      <w:r w:rsidRPr="00801B6A">
        <w:rPr>
          <w:rFonts w:hint="eastAsia"/>
        </w:rPr>
        <w:t>其後，《秦簡牘合集》將龍崗秦簡簡文釋為“諸馬牛到所，毋敢穿穽及置它機。敢穿穽及置它〖機〗能害人、馬牛者”。其注則遍列諸說，</w:t>
      </w:r>
      <w:proofErr w:type="gramStart"/>
      <w:r w:rsidRPr="00801B6A">
        <w:rPr>
          <w:rFonts w:hint="eastAsia"/>
        </w:rPr>
        <w:t>據</w:t>
      </w:r>
      <w:proofErr w:type="gramEnd"/>
      <w:r w:rsidRPr="00801B6A">
        <w:rPr>
          <w:rFonts w:hint="eastAsia"/>
        </w:rPr>
        <w:t>其釋文似又回歸到《龍崗秦簡》一書的觀點。</w:t>
      </w:r>
    </w:p>
    <w:p w14:paraId="503CC734" w14:textId="77777777" w:rsidR="00801B6A" w:rsidRPr="00801B6A" w:rsidRDefault="00801B6A" w:rsidP="00801B6A">
      <w:pPr>
        <w:pStyle w:val="aa"/>
        <w:ind w:firstLine="560"/>
      </w:pPr>
      <w:r w:rsidRPr="00801B6A">
        <w:rPr>
          <w:rFonts w:hint="eastAsia"/>
        </w:rPr>
        <w:t>今</w:t>
      </w:r>
      <w:proofErr w:type="gramStart"/>
      <w:r w:rsidRPr="00801B6A">
        <w:rPr>
          <w:rFonts w:hint="eastAsia"/>
        </w:rPr>
        <w:t>據</w:t>
      </w:r>
      <w:proofErr w:type="gramEnd"/>
      <w:r w:rsidRPr="00801B6A">
        <w:rPr>
          <w:rFonts w:hint="eastAsia"/>
        </w:rPr>
        <w:t>胡家草場《田律》，則此一問題應可定讞。胡家草</w:t>
      </w:r>
      <w:proofErr w:type="gramStart"/>
      <w:r w:rsidRPr="00801B6A">
        <w:rPr>
          <w:rFonts w:hint="eastAsia"/>
        </w:rPr>
        <w:t>場</w:t>
      </w:r>
      <w:proofErr w:type="gramEnd"/>
      <w:r w:rsidRPr="00801B6A">
        <w:rPr>
          <w:rFonts w:hint="eastAsia"/>
        </w:rPr>
        <w:t>《田律》“穿穽及置它機”六字下皆有重文號，可知我們對《二年律令·田律》的改釋意見並無問題。龍崗秦簡“機”字下</w:t>
      </w:r>
      <w:proofErr w:type="gramStart"/>
      <w:r w:rsidRPr="00801B6A">
        <w:rPr>
          <w:rFonts w:hint="eastAsia"/>
        </w:rPr>
        <w:t>應</w:t>
      </w:r>
      <w:proofErr w:type="gramEnd"/>
      <w:r w:rsidRPr="00801B6A">
        <w:rPr>
          <w:rFonts w:hint="eastAsia"/>
        </w:rPr>
        <w:t>是漏抄一重文號，諸說當以《龍崗秦簡》及後出《秦簡牘合集》釋文為是。</w:t>
      </w:r>
    </w:p>
    <w:p w14:paraId="46B303A9" w14:textId="77777777" w:rsidR="00801B6A" w:rsidRPr="00801B6A" w:rsidRDefault="00801B6A" w:rsidP="00801B6A">
      <w:pPr>
        <w:pStyle w:val="aa"/>
        <w:ind w:firstLine="560"/>
      </w:pPr>
      <w:r w:rsidRPr="00801B6A">
        <w:rPr>
          <w:rFonts w:hint="eastAsia"/>
        </w:rPr>
        <w:t>按上引秦漢簡《田律》中但</w:t>
      </w:r>
      <w:proofErr w:type="gramStart"/>
      <w:r w:rsidRPr="00801B6A">
        <w:rPr>
          <w:rFonts w:hint="eastAsia"/>
        </w:rPr>
        <w:t>一</w:t>
      </w:r>
      <w:proofErr w:type="gramEnd"/>
      <w:r w:rsidRPr="00801B6A">
        <w:rPr>
          <w:rFonts w:hint="eastAsia"/>
        </w:rPr>
        <w:t>“它”字，無法表達“它機”，即穿穽以外的捕獸設施這一涵義，故在第一個“它”字下斷讀顯然不妥。</w:t>
      </w:r>
      <w:proofErr w:type="gramStart"/>
      <w:r w:rsidRPr="00801B6A">
        <w:rPr>
          <w:rFonts w:hint="eastAsia"/>
        </w:rPr>
        <w:t>從</w:t>
      </w:r>
      <w:proofErr w:type="gramEnd"/>
      <w:r w:rsidRPr="00801B6A">
        <w:rPr>
          <w:rFonts w:hint="eastAsia"/>
        </w:rPr>
        <w:t>三種《田律》來看，律文禁止“穿穽”與“置它機”這兩種行為，如果違反上述規定，則將根據其後果定罪。根</w:t>
      </w:r>
      <w:proofErr w:type="gramStart"/>
      <w:r w:rsidRPr="00801B6A">
        <w:rPr>
          <w:rFonts w:hint="eastAsia"/>
        </w:rPr>
        <w:t>據</w:t>
      </w:r>
      <w:proofErr w:type="gramEnd"/>
      <w:r w:rsidRPr="00801B6A">
        <w:rPr>
          <w:rFonts w:hint="eastAsia"/>
        </w:rPr>
        <w:t>上文所論釋讀意見，</w:t>
      </w:r>
      <w:r w:rsidRPr="00801B6A">
        <w:rPr>
          <w:rFonts w:hint="eastAsia"/>
        </w:rPr>
        <w:lastRenderedPageBreak/>
        <w:t>則律</w:t>
      </w:r>
      <w:proofErr w:type="gramStart"/>
      <w:r w:rsidRPr="00801B6A">
        <w:rPr>
          <w:rFonts w:hint="eastAsia"/>
        </w:rPr>
        <w:t>文文</w:t>
      </w:r>
      <w:proofErr w:type="gramEnd"/>
      <w:r w:rsidRPr="00801B6A">
        <w:rPr>
          <w:rFonts w:hint="eastAsia"/>
        </w:rPr>
        <w:t>字明晰，前後邏輯嚴密，可證如此釋讀應無疑問。</w:t>
      </w:r>
    </w:p>
    <w:p w14:paraId="5CA04834" w14:textId="77777777" w:rsidR="00801B6A" w:rsidRPr="00801B6A" w:rsidRDefault="00801B6A" w:rsidP="00801B6A"/>
    <w:p w14:paraId="0BFEDC9E" w14:textId="77777777" w:rsidR="00801B6A" w:rsidRPr="00652313" w:rsidRDefault="00801B6A" w:rsidP="00801B6A">
      <w:pPr>
        <w:pStyle w:val="aa"/>
        <w:ind w:firstLine="562"/>
        <w:jc w:val="center"/>
        <w:rPr>
          <w:b/>
        </w:rPr>
      </w:pPr>
      <w:r w:rsidRPr="00652313">
        <w:rPr>
          <w:rFonts w:hint="eastAsia"/>
          <w:b/>
        </w:rPr>
        <w:t>四</w:t>
      </w:r>
    </w:p>
    <w:p w14:paraId="4B625830" w14:textId="77777777" w:rsidR="00801B6A" w:rsidRPr="00801B6A" w:rsidRDefault="00801B6A" w:rsidP="00801B6A">
      <w:pPr>
        <w:pStyle w:val="aa"/>
        <w:ind w:firstLine="560"/>
      </w:pPr>
      <w:r w:rsidRPr="00801B6A">
        <w:rPr>
          <w:rFonts w:hint="eastAsia"/>
        </w:rPr>
        <w:t>胡家草</w:t>
      </w:r>
      <w:proofErr w:type="gramStart"/>
      <w:r w:rsidRPr="00801B6A">
        <w:rPr>
          <w:rFonts w:hint="eastAsia"/>
        </w:rPr>
        <w:t>場</w:t>
      </w:r>
      <w:proofErr w:type="gramEnd"/>
      <w:r w:rsidRPr="00801B6A">
        <w:rPr>
          <w:rFonts w:hint="eastAsia"/>
        </w:rPr>
        <w:t>簡1</w:t>
      </w:r>
      <w:r w:rsidRPr="00801B6A">
        <w:t>74</w:t>
      </w:r>
      <w:r w:rsidRPr="00801B6A">
        <w:rPr>
          <w:rFonts w:hint="eastAsia"/>
        </w:rPr>
        <w:t>原釋文：</w:t>
      </w:r>
    </w:p>
    <w:p w14:paraId="16DE0B85" w14:textId="01003162" w:rsidR="00801B6A" w:rsidRPr="00801B6A" w:rsidRDefault="00801B6A" w:rsidP="00801B6A">
      <w:pPr>
        <w:pStyle w:val="a3"/>
        <w:spacing w:before="540" w:after="540"/>
        <w:ind w:firstLine="496"/>
      </w:pPr>
      <w:r w:rsidRPr="00801B6A">
        <w:rPr>
          <w:rFonts w:hint="eastAsia"/>
        </w:rPr>
        <w:t>廿四·治心腹病：心</w:t>
      </w:r>
      <w:r w:rsidRPr="009C1ED2">
        <w:rPr>
          <w:rFonts w:hint="eastAsia"/>
          <w:vertAlign w:val="subscript"/>
        </w:rPr>
        <w:t>＝</w:t>
      </w:r>
      <w:r w:rsidRPr="00801B6A">
        <w:rPr>
          <w:rFonts w:hint="eastAsia"/>
        </w:rPr>
        <w:t>腹</w:t>
      </w:r>
      <w:r w:rsidRPr="00801B6A">
        <w:t>【</w:t>
      </w:r>
      <w:r w:rsidRPr="009C1ED2">
        <w:rPr>
          <w:rFonts w:hint="eastAsia"/>
          <w:vertAlign w:val="subscript"/>
        </w:rPr>
        <w:t>＝</w:t>
      </w:r>
      <w:r w:rsidRPr="00801B6A">
        <w:t>】</w:t>
      </w:r>
      <w:r w:rsidRPr="00801B6A">
        <w:rPr>
          <w:rFonts w:hint="eastAsia"/>
        </w:rPr>
        <w:t>病</w:t>
      </w:r>
      <w:r w:rsidRPr="009C1ED2">
        <w:rPr>
          <w:rFonts w:hint="eastAsia"/>
          <w:vertAlign w:val="subscript"/>
        </w:rPr>
        <w:t>＝</w:t>
      </w:r>
      <w:r w:rsidRPr="00801B6A">
        <w:rPr>
          <w:rFonts w:hint="eastAsia"/>
        </w:rPr>
        <w:t>（心腹病：心腹病者），如盈</w:t>
      </w:r>
      <w:r w:rsidR="00835041">
        <w:rPr>
          <w:rFonts w:hint="eastAsia"/>
        </w:rPr>
        <w:t>狀</w:t>
      </w:r>
      <w:r w:rsidRPr="00801B6A">
        <w:rPr>
          <w:rFonts w:hint="eastAsia"/>
        </w:rPr>
        <w:t>而出不化。為麥䵂</w:t>
      </w:r>
      <w:r w:rsidRPr="00801B6A">
        <w:rPr>
          <w:rFonts w:ascii="宋体-方正超大字符集" w:eastAsia="宋体-方正超大字符集" w:hAnsi="宋体-方正超大字符集" w:cs="宋体-方正超大字符集" w:hint="eastAsia"/>
        </w:rPr>
        <w:t>𥹷</w:t>
      </w:r>
      <w:r w:rsidRPr="00801B6A">
        <w:rPr>
          <w:rFonts w:hint="eastAsia"/>
        </w:rPr>
        <w:t>（粥），如為恆</w:t>
      </w:r>
      <w:r w:rsidRPr="00801B6A">
        <w:rPr>
          <w:rFonts w:ascii="宋体-方正超大字符集" w:eastAsia="宋体-方正超大字符集" w:hAnsi="宋体-方正超大字符集" w:cs="宋体-方正超大字符集" w:hint="eastAsia"/>
        </w:rPr>
        <w:t>𥹷</w:t>
      </w:r>
      <w:r w:rsidRPr="00801B6A">
        <w:rPr>
          <w:rFonts w:hint="eastAsia"/>
        </w:rPr>
        <w:t>（粥）一魯，冶麥</w:t>
      </w:r>
      <w:r w:rsidRPr="00801B6A">
        <w:rPr>
          <w:rFonts w:hint="eastAsia"/>
          <w:noProof/>
        </w:rPr>
        <w:drawing>
          <wp:inline distT="0" distB="0" distL="0" distR="0" wp14:anchorId="502ABC36" wp14:editId="12833AA6">
            <wp:extent cx="171053" cy="161779"/>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591" cy="171746"/>
                    </a:xfrm>
                    <a:prstGeom prst="rect">
                      <a:avLst/>
                    </a:prstGeom>
                    <a:noFill/>
                    <a:ln>
                      <a:noFill/>
                    </a:ln>
                  </pic:spPr>
                </pic:pic>
              </a:graphicData>
            </a:graphic>
          </wp:inline>
        </w:drawing>
      </w:r>
      <w:r w:rsidRPr="00801B6A">
        <w:rPr>
          <w:rFonts w:hint="eastAsia"/>
        </w:rPr>
        <w:t>（麴）三指最（撮）到節者三，入</w:t>
      </w:r>
      <w:r w:rsidRPr="00801B6A">
        <w:rPr>
          <w:rFonts w:ascii="宋体-方正超大字符集" w:eastAsia="宋体-方正超大字符集" w:hAnsi="宋体-方正超大字符集" w:cs="宋体-方正超大字符集" w:hint="eastAsia"/>
        </w:rPr>
        <w:t>𥹷</w:t>
      </w:r>
      <w:r w:rsidRPr="00801B6A">
        <w:rPr>
          <w:rFonts w:hint="eastAsia"/>
        </w:rPr>
        <w:t>（粥）中，撓</w:t>
      </w:r>
    </w:p>
    <w:p w14:paraId="5F6CBE3D" w14:textId="77777777" w:rsidR="00801B6A" w:rsidRPr="00801B6A" w:rsidRDefault="00801B6A" w:rsidP="00801B6A">
      <w:pPr>
        <w:pStyle w:val="aa"/>
        <w:ind w:firstLine="560"/>
      </w:pPr>
      <w:r w:rsidRPr="00801B6A">
        <w:rPr>
          <w:rFonts w:hint="eastAsia"/>
        </w:rPr>
        <w:t>按“如</w:t>
      </w:r>
      <w:proofErr w:type="gramStart"/>
      <w:r w:rsidRPr="00801B6A">
        <w:rPr>
          <w:rFonts w:hint="eastAsia"/>
        </w:rPr>
        <w:t>為</w:t>
      </w:r>
      <w:proofErr w:type="gramEnd"/>
      <w:r w:rsidRPr="00801B6A">
        <w:rPr>
          <w:rFonts w:hint="eastAsia"/>
        </w:rPr>
        <w:t>恆</w:t>
      </w:r>
      <w:r w:rsidRPr="00801B6A">
        <w:rPr>
          <w:rFonts w:ascii="宋体-方正超大字符集" w:eastAsia="宋体-方正超大字符集" w:hAnsi="宋体-方正超大字符集" w:cs="宋体-方正超大字符集" w:hint="eastAsia"/>
        </w:rPr>
        <w:t>𥹷</w:t>
      </w:r>
      <w:r w:rsidRPr="00801B6A">
        <w:rPr>
          <w:rFonts w:hint="eastAsia"/>
        </w:rPr>
        <w:t>（粥）一魯”，句讀有誤。當作“如</w:t>
      </w:r>
      <w:proofErr w:type="gramStart"/>
      <w:r w:rsidRPr="00801B6A">
        <w:rPr>
          <w:rFonts w:hint="eastAsia"/>
        </w:rPr>
        <w:t>為</w:t>
      </w:r>
      <w:proofErr w:type="gramEnd"/>
      <w:r w:rsidRPr="00801B6A">
        <w:rPr>
          <w:rFonts w:hint="eastAsia"/>
        </w:rPr>
        <w:t>恆</w:t>
      </w:r>
      <w:r w:rsidRPr="00801B6A">
        <w:rPr>
          <w:rFonts w:ascii="宋体-方正超大字符集" w:eastAsia="宋体-方正超大字符集" w:hAnsi="宋体-方正超大字符集" w:cs="宋体-方正超大字符集" w:hint="eastAsia"/>
        </w:rPr>
        <w:t>𥹷</w:t>
      </w:r>
      <w:r w:rsidRPr="00801B6A">
        <w:rPr>
          <w:rFonts w:hint="eastAsia"/>
        </w:rPr>
        <w:t>（粥）一”。“恆粥”即</w:t>
      </w:r>
      <w:proofErr w:type="gramStart"/>
      <w:r w:rsidRPr="00801B6A">
        <w:rPr>
          <w:rFonts w:hint="eastAsia"/>
        </w:rPr>
        <w:t>尋</w:t>
      </w:r>
      <w:proofErr w:type="gramEnd"/>
      <w:r w:rsidRPr="00801B6A">
        <w:rPr>
          <w:rFonts w:hint="eastAsia"/>
        </w:rPr>
        <w:t>常、普通之粥，與“麥䵂粥”相對而言。“麥䵂”又見馬</w:t>
      </w:r>
      <w:proofErr w:type="gramStart"/>
      <w:r w:rsidRPr="00801B6A">
        <w:rPr>
          <w:rFonts w:hint="eastAsia"/>
        </w:rPr>
        <w:t>王堆帛書</w:t>
      </w:r>
      <w:proofErr w:type="gramEnd"/>
      <w:r w:rsidRPr="00801B6A">
        <w:rPr>
          <w:rFonts w:hint="eastAsia"/>
        </w:rPr>
        <w:t>《養生方》1</w:t>
      </w:r>
      <w:r w:rsidRPr="00801B6A">
        <w:t>52</w:t>
      </w:r>
      <w:r w:rsidRPr="00801B6A">
        <w:rPr>
          <w:rFonts w:hint="eastAsia"/>
        </w:rPr>
        <w:t>行：“冶雲母、銷松脂等，并以麥䵂</w:t>
      </w:r>
      <w:proofErr w:type="gramStart"/>
      <w:r w:rsidRPr="00801B6A">
        <w:rPr>
          <w:rFonts w:hint="eastAsia"/>
        </w:rPr>
        <w:t>捖</w:t>
      </w:r>
      <w:proofErr w:type="gramEnd"/>
      <w:r w:rsidRPr="00801B6A">
        <w:rPr>
          <w:rFonts w:hint="eastAsia"/>
        </w:rPr>
        <w:t>（丸）之，……” 麥䵂是雜有麵的麥麩。“魯”連下句</w:t>
      </w:r>
      <w:proofErr w:type="gramStart"/>
      <w:r w:rsidRPr="00801B6A">
        <w:rPr>
          <w:rFonts w:hint="eastAsia"/>
        </w:rPr>
        <w:t>斷</w:t>
      </w:r>
      <w:proofErr w:type="gramEnd"/>
      <w:r w:rsidRPr="00801B6A">
        <w:rPr>
          <w:rFonts w:hint="eastAsia"/>
        </w:rPr>
        <w:t>讀作“魯冶麥</w:t>
      </w:r>
      <w:r w:rsidRPr="00801B6A">
        <w:rPr>
          <w:rFonts w:hint="eastAsia"/>
          <w:noProof/>
        </w:rPr>
        <w:drawing>
          <wp:inline distT="0" distB="0" distL="0" distR="0" wp14:anchorId="4F6DB7FD" wp14:editId="3F383BE7">
            <wp:extent cx="210820" cy="1993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 cy="199390"/>
                    </a:xfrm>
                    <a:prstGeom prst="rect">
                      <a:avLst/>
                    </a:prstGeom>
                    <a:noFill/>
                    <a:ln>
                      <a:noFill/>
                    </a:ln>
                  </pic:spPr>
                </pic:pic>
              </a:graphicData>
            </a:graphic>
          </wp:inline>
        </w:drawing>
      </w:r>
      <w:r w:rsidRPr="00801B6A">
        <w:rPr>
          <w:rFonts w:hint="eastAsia"/>
        </w:rPr>
        <w:t>（麴）三指最（撮）到節者三”。“魯冶”是冶制方法，“魯”訓</w:t>
      </w:r>
      <w:proofErr w:type="gramStart"/>
      <w:r w:rsidRPr="00801B6A">
        <w:rPr>
          <w:rFonts w:hint="eastAsia"/>
        </w:rPr>
        <w:t>為</w:t>
      </w:r>
      <w:proofErr w:type="gramEnd"/>
      <w:r w:rsidRPr="00801B6A">
        <w:rPr>
          <w:rFonts w:hint="eastAsia"/>
        </w:rPr>
        <w:t>粗，“魯冶”表示粗略研末。</w:t>
      </w:r>
      <w:r w:rsidRPr="00801B6A">
        <w:endnoteReference w:id="8"/>
      </w:r>
    </w:p>
    <w:p w14:paraId="69CB0A97" w14:textId="77777777" w:rsidR="00801B6A" w:rsidRPr="00801B6A" w:rsidRDefault="00801B6A" w:rsidP="00801B6A">
      <w:pPr>
        <w:pStyle w:val="aa"/>
        <w:ind w:firstLine="560"/>
      </w:pPr>
      <w:r w:rsidRPr="00801B6A">
        <w:rPr>
          <w:rFonts w:hint="eastAsia"/>
        </w:rPr>
        <w:t>“</w:t>
      </w:r>
      <w:r w:rsidRPr="00801B6A">
        <w:rPr>
          <w:rFonts w:hint="eastAsia"/>
          <w:noProof/>
        </w:rPr>
        <w:drawing>
          <wp:inline distT="0" distB="0" distL="0" distR="0" wp14:anchorId="6B5EE255" wp14:editId="321DD9C8">
            <wp:extent cx="210820" cy="1993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 cy="199390"/>
                    </a:xfrm>
                    <a:prstGeom prst="rect">
                      <a:avLst/>
                    </a:prstGeom>
                    <a:noFill/>
                    <a:ln>
                      <a:noFill/>
                    </a:ln>
                  </pic:spPr>
                </pic:pic>
              </a:graphicData>
            </a:graphic>
          </wp:inline>
        </w:drawing>
      </w:r>
      <w:r w:rsidRPr="00801B6A">
        <w:rPr>
          <w:rFonts w:hint="eastAsia"/>
        </w:rPr>
        <w:t>”，同</w:t>
      </w:r>
      <w:proofErr w:type="gramStart"/>
      <w:r w:rsidRPr="00801B6A">
        <w:rPr>
          <w:rFonts w:hint="eastAsia"/>
        </w:rPr>
        <w:t>樣</w:t>
      </w:r>
      <w:proofErr w:type="gramEnd"/>
      <w:r w:rsidRPr="00801B6A">
        <w:rPr>
          <w:rFonts w:hint="eastAsia"/>
        </w:rPr>
        <w:t>寫法2見里耶秦簡8-258、馬</w:t>
      </w:r>
      <w:proofErr w:type="gramStart"/>
      <w:r w:rsidRPr="00801B6A">
        <w:rPr>
          <w:rFonts w:hint="eastAsia"/>
        </w:rPr>
        <w:t>王堆帛</w:t>
      </w:r>
      <w:proofErr w:type="gramEnd"/>
      <w:r w:rsidRPr="00801B6A">
        <w:rPr>
          <w:rFonts w:hint="eastAsia"/>
        </w:rPr>
        <w:t>書《養生方》163行。我們曾指出，此字當隸</w:t>
      </w:r>
      <w:proofErr w:type="gramStart"/>
      <w:r w:rsidRPr="00801B6A">
        <w:rPr>
          <w:rFonts w:hint="eastAsia"/>
        </w:rPr>
        <w:t>定作</w:t>
      </w:r>
      <w:proofErr w:type="gramEnd"/>
      <w:r w:rsidRPr="00801B6A">
        <w:rPr>
          <w:rFonts w:hint="eastAsia"/>
        </w:rPr>
        <w:t>“</w:t>
      </w:r>
      <w:r w:rsidRPr="00801B6A">
        <w:rPr>
          <w:rFonts w:hint="eastAsia"/>
          <w:noProof/>
        </w:rPr>
        <w:drawing>
          <wp:inline distT="0" distB="0" distL="0" distR="0" wp14:anchorId="3E388DB8" wp14:editId="1AA1B14D">
            <wp:extent cx="210820" cy="1993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820" cy="199390"/>
                    </a:xfrm>
                    <a:prstGeom prst="rect">
                      <a:avLst/>
                    </a:prstGeom>
                    <a:noFill/>
                    <a:ln>
                      <a:noFill/>
                    </a:ln>
                  </pic:spPr>
                </pic:pic>
              </a:graphicData>
            </a:graphic>
          </wp:inline>
        </w:drawing>
      </w:r>
      <w:r w:rsidRPr="00801B6A">
        <w:rPr>
          <w:rFonts w:hint="eastAsia"/>
        </w:rPr>
        <w:t>”，即“鞠”字。</w:t>
      </w:r>
      <w:r w:rsidRPr="00801B6A">
        <w:endnoteReference w:id="9"/>
      </w:r>
      <w:r w:rsidRPr="00801B6A">
        <w:rPr>
          <w:rFonts w:hint="eastAsia"/>
        </w:rPr>
        <w:t>胡家草</w:t>
      </w:r>
      <w:proofErr w:type="gramStart"/>
      <w:r w:rsidRPr="00801B6A">
        <w:rPr>
          <w:rFonts w:hint="eastAsia"/>
        </w:rPr>
        <w:t>場</w:t>
      </w:r>
      <w:proofErr w:type="gramEnd"/>
      <w:r w:rsidRPr="00801B6A">
        <w:rPr>
          <w:rFonts w:hint="eastAsia"/>
        </w:rPr>
        <w:t>簡此字也不例外。</w:t>
      </w:r>
    </w:p>
    <w:p w14:paraId="2D623A4B" w14:textId="77777777" w:rsidR="00801B6A" w:rsidRPr="00801B6A" w:rsidRDefault="00801B6A" w:rsidP="00801B6A">
      <w:pPr>
        <w:pStyle w:val="aa"/>
        <w:ind w:firstLine="560"/>
      </w:pPr>
      <w:r w:rsidRPr="00801B6A">
        <w:rPr>
          <w:rFonts w:hint="eastAsia"/>
        </w:rPr>
        <w:t>通過胡家草</w:t>
      </w:r>
      <w:proofErr w:type="gramStart"/>
      <w:r w:rsidRPr="00801B6A">
        <w:rPr>
          <w:rFonts w:hint="eastAsia"/>
        </w:rPr>
        <w:t>場</w:t>
      </w:r>
      <w:proofErr w:type="gramEnd"/>
      <w:r w:rsidRPr="00801B6A">
        <w:rPr>
          <w:rFonts w:hint="eastAsia"/>
        </w:rPr>
        <w:t>簡1</w:t>
      </w:r>
      <w:r w:rsidRPr="00801B6A">
        <w:t>74</w:t>
      </w:r>
      <w:r w:rsidRPr="00801B6A">
        <w:rPr>
          <w:rFonts w:hint="eastAsia"/>
        </w:rPr>
        <w:t>，還有助於我們進一步認識里耶秦簡醫方簡</w:t>
      </w:r>
      <w:r w:rsidRPr="00801B6A">
        <w:rPr>
          <w:rFonts w:hint="eastAsia"/>
        </w:rPr>
        <w:lastRenderedPageBreak/>
        <w:t>的編聯與拼綴問題。</w:t>
      </w:r>
    </w:p>
    <w:p w14:paraId="2C631741" w14:textId="77777777" w:rsidR="00801B6A" w:rsidRPr="00801B6A" w:rsidRDefault="00801B6A" w:rsidP="00801B6A">
      <w:pPr>
        <w:pStyle w:val="aa"/>
        <w:ind w:firstLine="560"/>
      </w:pPr>
      <w:r w:rsidRPr="00801B6A">
        <w:rPr>
          <w:rFonts w:hint="eastAsia"/>
        </w:rPr>
        <w:t>里耶秦簡醫方有《治心腹痛方》，見簡</w:t>
      </w:r>
      <w:r w:rsidRPr="00801B6A">
        <w:t>8-258</w:t>
      </w:r>
      <w:r w:rsidRPr="00801B6A">
        <w:rPr>
          <w:rFonts w:hint="eastAsia"/>
        </w:rPr>
        <w:t>。張雷</w:t>
      </w:r>
      <w:r w:rsidRPr="00FE67DE">
        <w:rPr>
          <w:rFonts w:hint="eastAsia"/>
        </w:rPr>
        <w:t>先生</w:t>
      </w:r>
      <w:r w:rsidRPr="00801B6A">
        <w:rPr>
          <w:rFonts w:hint="eastAsia"/>
        </w:rPr>
        <w:t>最先指出，</w:t>
      </w:r>
      <w:r w:rsidRPr="00801B6A">
        <w:t>8-258</w:t>
      </w:r>
      <w:r w:rsidRPr="00801B6A">
        <w:rPr>
          <w:rFonts w:hint="eastAsia"/>
        </w:rPr>
        <w:t>、</w:t>
      </w:r>
      <w:r w:rsidRPr="00801B6A">
        <w:t>8-1718</w:t>
      </w:r>
      <w:r w:rsidRPr="00801B6A">
        <w:rPr>
          <w:rFonts w:hint="eastAsia"/>
        </w:rPr>
        <w:t>可以綴合。他</w:t>
      </w:r>
      <w:proofErr w:type="gramStart"/>
      <w:r w:rsidRPr="00801B6A">
        <w:rPr>
          <w:rFonts w:hint="eastAsia"/>
        </w:rPr>
        <w:t>將</w:t>
      </w:r>
      <w:proofErr w:type="gramEnd"/>
      <w:r w:rsidRPr="00801B6A">
        <w:rPr>
          <w:rFonts w:hint="eastAsia"/>
        </w:rPr>
        <w:t>兩簡釋讀作“</w:t>
      </w:r>
      <w:r w:rsidRPr="00801B6A">
        <w:rPr>
          <w:rFonts w:ascii="微软雅黑" w:eastAsia="微软雅黑" w:hAnsi="微软雅黑" w:cs="微软雅黑" w:hint="eastAsia"/>
        </w:rPr>
        <w:t>〼</w:t>
      </w:r>
      <w:r w:rsidRPr="00801B6A">
        <w:rPr>
          <w:rFonts w:hint="eastAsia"/>
        </w:rPr>
        <w:t>治心腹痛，心腹痛者，如盈狀㺒然而出不化：為麥恆鬻一，魯冶麥鞠（麴）三</w:t>
      </w:r>
      <w:r w:rsidRPr="00801B6A">
        <w:rPr>
          <w:rFonts w:ascii="微软雅黑" w:eastAsia="微软雅黑" w:hAnsi="微软雅黑" w:cs="微软雅黑" w:hint="eastAsia"/>
        </w:rPr>
        <w:t>〼</w:t>
      </w:r>
      <w:r w:rsidRPr="00801B6A">
        <w:rPr>
          <w:rFonts w:hint="eastAsia"/>
        </w:rPr>
        <w:t>”。</w:t>
      </w:r>
      <w:r w:rsidRPr="00801B6A">
        <w:endnoteReference w:id="10"/>
      </w:r>
      <w:r w:rsidRPr="00801B6A">
        <w:rPr>
          <w:rFonts w:hint="eastAsia"/>
        </w:rPr>
        <w:t>其謂</w:t>
      </w:r>
      <w:proofErr w:type="gramStart"/>
      <w:r w:rsidRPr="00801B6A">
        <w:rPr>
          <w:rFonts w:hint="eastAsia"/>
        </w:rPr>
        <w:t>兩</w:t>
      </w:r>
      <w:proofErr w:type="gramEnd"/>
      <w:r w:rsidRPr="00801B6A">
        <w:rPr>
          <w:rFonts w:hint="eastAsia"/>
        </w:rPr>
        <w:t>簡可相拼綴，可信。根</w:t>
      </w:r>
      <w:proofErr w:type="gramStart"/>
      <w:r w:rsidRPr="00801B6A">
        <w:rPr>
          <w:rFonts w:hint="eastAsia"/>
        </w:rPr>
        <w:t>據</w:t>
      </w:r>
      <w:proofErr w:type="gramEnd"/>
      <w:r w:rsidRPr="00801B6A">
        <w:rPr>
          <w:rFonts w:hint="eastAsia"/>
        </w:rPr>
        <w:t>兩簡文字和胡家草場簡1</w:t>
      </w:r>
      <w:r w:rsidRPr="00801B6A">
        <w:t>74</w:t>
      </w:r>
      <w:r w:rsidRPr="00801B6A">
        <w:rPr>
          <w:rFonts w:hint="eastAsia"/>
        </w:rPr>
        <w:t>，我們認為簡</w:t>
      </w:r>
      <w:r w:rsidRPr="00801B6A">
        <w:t>8-258</w:t>
      </w:r>
      <w:r w:rsidRPr="00801B6A">
        <w:rPr>
          <w:rFonts w:hint="eastAsia"/>
        </w:rPr>
        <w:t>+</w:t>
      </w:r>
      <w:r w:rsidRPr="00801B6A">
        <w:t>8-1718</w:t>
      </w:r>
      <w:r w:rsidRPr="00801B6A">
        <w:rPr>
          <w:rFonts w:hint="eastAsia"/>
        </w:rPr>
        <w:t>後，當編聯簡8-</w:t>
      </w:r>
      <w:r w:rsidRPr="00801B6A">
        <w:t>1766</w:t>
      </w:r>
      <w:r w:rsidRPr="00801B6A">
        <w:rPr>
          <w:rFonts w:hint="eastAsia"/>
        </w:rPr>
        <w:t>，兩簡共同構成一完整醫方（參後附圖）。我們</w:t>
      </w:r>
      <w:proofErr w:type="gramStart"/>
      <w:r w:rsidRPr="00801B6A">
        <w:rPr>
          <w:rFonts w:hint="eastAsia"/>
        </w:rPr>
        <w:t>據</w:t>
      </w:r>
      <w:proofErr w:type="gramEnd"/>
      <w:r w:rsidRPr="00801B6A">
        <w:rPr>
          <w:rFonts w:hint="eastAsia"/>
        </w:rPr>
        <w:t>之新作簡</w:t>
      </w:r>
      <w:r w:rsidRPr="00801B6A">
        <w:t>8-258</w:t>
      </w:r>
      <w:r w:rsidRPr="00801B6A">
        <w:rPr>
          <w:rFonts w:hint="eastAsia"/>
        </w:rPr>
        <w:t>+</w:t>
      </w:r>
      <w:r w:rsidRPr="00801B6A">
        <w:t>8-1718</w:t>
      </w:r>
      <w:r w:rsidRPr="00801B6A">
        <w:rPr>
          <w:rFonts w:hint="eastAsia"/>
        </w:rPr>
        <w:t>拼綴圖及簡8-</w:t>
      </w:r>
      <w:r w:rsidRPr="00801B6A">
        <w:t>1766</w:t>
      </w:r>
      <w:r w:rsidRPr="00801B6A">
        <w:rPr>
          <w:rFonts w:hint="eastAsia"/>
        </w:rPr>
        <w:t>編聯及兩簡相對位置示意圖。</w:t>
      </w:r>
      <w:proofErr w:type="gramStart"/>
      <w:r w:rsidRPr="00801B6A">
        <w:rPr>
          <w:rFonts w:hint="eastAsia"/>
        </w:rPr>
        <w:t>據</w:t>
      </w:r>
      <w:proofErr w:type="gramEnd"/>
      <w:r w:rsidRPr="00801B6A">
        <w:rPr>
          <w:rFonts w:hint="eastAsia"/>
        </w:rPr>
        <w:t>新綴、新編聯簡牘，我們認為《治心腹痛方》釋文當改釋如下：</w:t>
      </w:r>
    </w:p>
    <w:p w14:paraId="707FE171" w14:textId="77777777" w:rsidR="00801B6A" w:rsidRPr="00652313" w:rsidRDefault="00801B6A" w:rsidP="00652313">
      <w:pPr>
        <w:pStyle w:val="a3"/>
        <w:spacing w:before="540" w:after="540"/>
        <w:ind w:firstLine="576"/>
        <w:rPr>
          <w:rFonts w:ascii="宋体" w:eastAsia="宋体" w:hAnsi="宋体"/>
          <w:sz w:val="28"/>
          <w:szCs w:val="28"/>
        </w:rPr>
      </w:pPr>
      <w:r w:rsidRPr="00652313">
        <w:rPr>
          <w:rFonts w:ascii="宋体" w:eastAsia="宋体" w:hAnsi="宋体"/>
          <w:sz w:val="28"/>
          <w:szCs w:val="28"/>
        </w:rPr>
        <w:t>【·】</w:t>
      </w:r>
      <w:r w:rsidRPr="00652313">
        <w:rPr>
          <w:rFonts w:ascii="宋体" w:eastAsia="宋体" w:hAnsi="宋体" w:hint="eastAsia"/>
          <w:sz w:val="28"/>
          <w:szCs w:val="28"/>
        </w:rPr>
        <w:t>治心腹痛：心腹痛者，如盈狀犾然而出不化。為麥【䵂鬻，如為】恆鬻一，魯冶麥鞠（麴）三【指最（撮）到節者三，入鬻】中，撓㱃（飲）。已㱃（飲），如再□</w:t>
      </w:r>
      <w:r w:rsidRPr="00652313">
        <w:rPr>
          <w:rFonts w:ascii="微软雅黑" w:eastAsia="微软雅黑" w:hAnsi="微软雅黑" w:cs="微软雅黑" w:hint="eastAsia"/>
          <w:sz w:val="28"/>
          <w:szCs w:val="28"/>
        </w:rPr>
        <w:t>〼</w:t>
      </w:r>
      <w:r w:rsidRPr="00652313">
        <w:rPr>
          <w:rFonts w:ascii="宋体" w:eastAsia="宋体" w:hAnsi="宋体" w:hint="eastAsia"/>
          <w:sz w:val="28"/>
          <w:szCs w:val="28"/>
        </w:rPr>
        <w:t>食次（恣），毋禁，毋時。·冶□</w:t>
      </w:r>
      <w:r w:rsidRPr="00652313">
        <w:rPr>
          <w:rFonts w:ascii="微软雅黑" w:eastAsia="微软雅黑" w:hAnsi="微软雅黑" w:cs="微软雅黑" w:hint="eastAsia"/>
          <w:sz w:val="28"/>
          <w:szCs w:val="28"/>
        </w:rPr>
        <w:t>〼</w:t>
      </w:r>
    </w:p>
    <w:p w14:paraId="74F89B2B" w14:textId="77777777" w:rsidR="00801B6A" w:rsidRPr="00801B6A" w:rsidRDefault="00801B6A" w:rsidP="00652313">
      <w:pPr>
        <w:pStyle w:val="aa"/>
        <w:ind w:firstLineChars="0" w:firstLine="0"/>
      </w:pPr>
      <w:r w:rsidRPr="00801B6A">
        <w:t>【·】</w:t>
      </w:r>
      <w:r w:rsidRPr="00801B6A">
        <w:rPr>
          <w:rFonts w:hint="eastAsia"/>
        </w:rPr>
        <w:t>，</w:t>
      </w:r>
      <w:proofErr w:type="gramStart"/>
      <w:r w:rsidRPr="00801B6A">
        <w:rPr>
          <w:rFonts w:hint="eastAsia"/>
        </w:rPr>
        <w:t>據</w:t>
      </w:r>
      <w:proofErr w:type="gramEnd"/>
      <w:r w:rsidRPr="00801B6A">
        <w:rPr>
          <w:rFonts w:hint="eastAsia"/>
        </w:rPr>
        <w:t>里耶秦簡醫方體例及簡牘容字補。</w:t>
      </w:r>
      <w:proofErr w:type="gramStart"/>
      <w:r w:rsidRPr="00801B6A">
        <w:rPr>
          <w:rFonts w:hint="eastAsia"/>
        </w:rPr>
        <w:t>據</w:t>
      </w:r>
      <w:proofErr w:type="gramEnd"/>
      <w:r w:rsidRPr="00801B6A">
        <w:rPr>
          <w:rFonts w:hint="eastAsia"/>
        </w:rPr>
        <w:t>胡家草場簡，“狀”後之“犾”應該</w:t>
      </w:r>
      <w:proofErr w:type="gramStart"/>
      <w:r w:rsidRPr="00801B6A">
        <w:rPr>
          <w:rFonts w:hint="eastAsia"/>
        </w:rPr>
        <w:t>是涉上</w:t>
      </w:r>
      <w:proofErr w:type="gramEnd"/>
      <w:r w:rsidRPr="00801B6A">
        <w:rPr>
          <w:rFonts w:hint="eastAsia"/>
        </w:rPr>
        <w:t>字“狀”</w:t>
      </w:r>
      <w:proofErr w:type="gramStart"/>
      <w:r w:rsidRPr="00801B6A">
        <w:rPr>
          <w:rFonts w:hint="eastAsia"/>
        </w:rPr>
        <w:t>及下字“然</w:t>
      </w:r>
      <w:proofErr w:type="gramEnd"/>
      <w:r w:rsidRPr="00801B6A">
        <w:rPr>
          <w:rFonts w:hint="eastAsia"/>
        </w:rPr>
        <w:t>”而誤。故此句本當作“如盈</w:t>
      </w:r>
      <w:proofErr w:type="gramStart"/>
      <w:r w:rsidRPr="00801B6A">
        <w:rPr>
          <w:rFonts w:hint="eastAsia"/>
        </w:rPr>
        <w:t>狀</w:t>
      </w:r>
      <w:proofErr w:type="gramEnd"/>
      <w:r w:rsidRPr="00801B6A">
        <w:rPr>
          <w:rFonts w:hint="eastAsia"/>
        </w:rPr>
        <w:t>然而出不化”。“盈”，滿也。“如盈</w:t>
      </w:r>
      <w:proofErr w:type="gramStart"/>
      <w:r w:rsidRPr="00801B6A">
        <w:rPr>
          <w:rFonts w:hint="eastAsia"/>
        </w:rPr>
        <w:t>狀</w:t>
      </w:r>
      <w:proofErr w:type="gramEnd"/>
      <w:r w:rsidRPr="00801B6A">
        <w:rPr>
          <w:rFonts w:hint="eastAsia"/>
        </w:rPr>
        <w:t>然”，應是指腹部充盈、脹滿之狀。《靈樞·本神》有“實則喘喝胸盈仰息”，又“實則腹脹經</w:t>
      </w:r>
      <w:proofErr w:type="gramStart"/>
      <w:r w:rsidRPr="00801B6A">
        <w:rPr>
          <w:rFonts w:hint="eastAsia"/>
        </w:rPr>
        <w:t>溲</w:t>
      </w:r>
      <w:proofErr w:type="gramEnd"/>
      <w:r w:rsidRPr="00801B6A">
        <w:rPr>
          <w:rFonts w:hint="eastAsia"/>
        </w:rPr>
        <w:lastRenderedPageBreak/>
        <w:t>不利”，可以參看。“出不化”，或指進食</w:t>
      </w:r>
      <w:proofErr w:type="gramStart"/>
      <w:r w:rsidRPr="00801B6A">
        <w:rPr>
          <w:rFonts w:hint="eastAsia"/>
        </w:rPr>
        <w:t>後</w:t>
      </w:r>
      <w:proofErr w:type="gramEnd"/>
      <w:r w:rsidRPr="00801B6A">
        <w:rPr>
          <w:rFonts w:hint="eastAsia"/>
        </w:rPr>
        <w:t>排便不消化。“出”指排</w:t>
      </w:r>
      <w:proofErr w:type="gramStart"/>
      <w:r w:rsidRPr="00801B6A">
        <w:rPr>
          <w:rFonts w:hint="eastAsia"/>
        </w:rPr>
        <w:t>洩</w:t>
      </w:r>
      <w:proofErr w:type="gramEnd"/>
      <w:r w:rsidRPr="00801B6A">
        <w:rPr>
          <w:rFonts w:hint="eastAsia"/>
        </w:rPr>
        <w:t>，“化”即消化。</w:t>
      </w:r>
    </w:p>
    <w:p w14:paraId="0065A8DA" w14:textId="77777777" w:rsidR="00801B6A" w:rsidRPr="00801B6A" w:rsidRDefault="00801B6A" w:rsidP="00801B6A"/>
    <w:p w14:paraId="570B59C8" w14:textId="77777777" w:rsidR="00801B6A" w:rsidRPr="00801B6A" w:rsidRDefault="00801B6A" w:rsidP="00801B6A"/>
    <w:p w14:paraId="69803C66" w14:textId="77777777" w:rsidR="00801B6A" w:rsidRPr="00801B6A" w:rsidRDefault="00801B6A" w:rsidP="00801B6A"/>
    <w:p w14:paraId="779A0F1C" w14:textId="77777777" w:rsidR="00801B6A" w:rsidRPr="00801B6A" w:rsidRDefault="00801B6A" w:rsidP="007F0147">
      <w:pPr>
        <w:pStyle w:val="aa"/>
        <w:ind w:firstLineChars="0" w:firstLine="0"/>
      </w:pPr>
      <w:r w:rsidRPr="00801B6A">
        <w:rPr>
          <w:rFonts w:hint="eastAsia"/>
        </w:rPr>
        <w:t>附圖：</w:t>
      </w:r>
    </w:p>
    <w:p w14:paraId="6C42A140" w14:textId="77777777" w:rsidR="00801B6A" w:rsidRPr="00801B6A" w:rsidRDefault="00801B6A" w:rsidP="00801B6A"/>
    <w:p w14:paraId="53310CA9" w14:textId="77777777" w:rsidR="00801B6A" w:rsidRPr="00801B6A" w:rsidRDefault="00801B6A" w:rsidP="00801B6A"/>
    <w:p w14:paraId="1BBF8557" w14:textId="77777777" w:rsidR="00801B6A" w:rsidRPr="00801B6A" w:rsidRDefault="00801B6A" w:rsidP="00801B6A"/>
    <w:p w14:paraId="1D6B1B32" w14:textId="77777777" w:rsidR="00801B6A" w:rsidRPr="00801B6A" w:rsidRDefault="00801B6A" w:rsidP="00801B6A"/>
    <w:p w14:paraId="30FF16AC" w14:textId="77777777" w:rsidR="00801B6A" w:rsidRPr="00801B6A" w:rsidRDefault="00801B6A" w:rsidP="007F0147">
      <w:pPr>
        <w:jc w:val="center"/>
      </w:pPr>
      <w:r w:rsidRPr="00801B6A">
        <w:rPr>
          <w:noProof/>
        </w:rPr>
        <w:lastRenderedPageBreak/>
        <w:drawing>
          <wp:inline distT="0" distB="0" distL="0" distR="0" wp14:anchorId="481B8833" wp14:editId="6344F354">
            <wp:extent cx="1976511" cy="8675080"/>
            <wp:effectExtent l="0" t="0" r="5080" b="0"/>
            <wp:docPr id="60" name="图片 60" descr="C:\Users\admin\Desktop\2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258-22.jpg"/>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1401" cy="8740433"/>
                    </a:xfrm>
                    <a:prstGeom prst="rect">
                      <a:avLst/>
                    </a:prstGeom>
                    <a:noFill/>
                    <a:ln>
                      <a:noFill/>
                    </a:ln>
                  </pic:spPr>
                </pic:pic>
              </a:graphicData>
            </a:graphic>
          </wp:inline>
        </w:drawing>
      </w:r>
    </w:p>
    <w:bookmarkEnd w:id="0"/>
    <w:bookmarkEnd w:id="1"/>
    <w:p w14:paraId="5B9B3E87" w14:textId="402CFA98" w:rsidR="00973820" w:rsidRPr="00801B6A" w:rsidRDefault="00973820" w:rsidP="00801B6A"/>
    <w:sectPr w:rsidR="00973820" w:rsidRPr="00801B6A">
      <w:headerReference w:type="default" r:id="rId18"/>
      <w:footerReference w:type="even" r:id="rId19"/>
      <w:footerReference w:type="default" r:id="rId2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927B1" w14:textId="77777777" w:rsidR="00265AB0" w:rsidRDefault="00265AB0" w:rsidP="00CB0024">
      <w:r>
        <w:separator/>
      </w:r>
    </w:p>
  </w:endnote>
  <w:endnote w:type="continuationSeparator" w:id="0">
    <w:p w14:paraId="7E9ADD01" w14:textId="77777777" w:rsidR="00265AB0" w:rsidRDefault="00265AB0" w:rsidP="00CB0024">
      <w:r>
        <w:continuationSeparator/>
      </w:r>
    </w:p>
  </w:endnote>
  <w:endnote w:id="1">
    <w:p w14:paraId="6737BF72" w14:textId="77777777" w:rsidR="00801B6A" w:rsidRPr="007F0147" w:rsidRDefault="00801B6A" w:rsidP="007F0147">
      <w:r w:rsidRPr="007F0147">
        <w:endnoteRef/>
      </w:r>
      <w:r w:rsidRPr="007F0147">
        <w:t xml:space="preserve"> </w:t>
      </w:r>
      <w:r w:rsidRPr="007F0147">
        <w:rPr>
          <w:rFonts w:hint="eastAsia"/>
        </w:rPr>
        <w:t>周波：《張家山漢簡&lt;二年律令</w:t>
      </w:r>
      <w:r w:rsidRPr="007F0147">
        <w:t>&gt;</w:t>
      </w:r>
      <w:r w:rsidRPr="007F0147">
        <w:rPr>
          <w:rFonts w:hint="eastAsia"/>
        </w:rPr>
        <w:t>校讀》，王捷主編：《出土文獻與法律史研究》第9輯第2</w:t>
      </w:r>
      <w:r w:rsidRPr="007F0147">
        <w:t>90</w:t>
      </w:r>
      <w:r w:rsidRPr="007F0147">
        <w:rPr>
          <w:rFonts w:hint="eastAsia"/>
        </w:rPr>
        <w:t>-</w:t>
      </w:r>
      <w:r w:rsidRPr="007F0147">
        <w:t>292</w:t>
      </w:r>
      <w:r w:rsidRPr="007F0147">
        <w:rPr>
          <w:rFonts w:hint="eastAsia"/>
        </w:rPr>
        <w:t>頁，法律出版社，2</w:t>
      </w:r>
      <w:r w:rsidRPr="007F0147">
        <w:t>020</w:t>
      </w:r>
      <w:r w:rsidRPr="007F0147">
        <w:rPr>
          <w:rFonts w:hint="eastAsia"/>
        </w:rPr>
        <w:t>年。</w:t>
      </w:r>
    </w:p>
  </w:endnote>
  <w:endnote w:id="2">
    <w:p w14:paraId="1C8B5E84" w14:textId="36F5576B" w:rsidR="00801B6A" w:rsidRPr="007F0147" w:rsidRDefault="00801B6A" w:rsidP="007F0147">
      <w:r w:rsidRPr="007F0147">
        <w:endnoteRef/>
      </w:r>
      <w:r w:rsidRPr="007F0147">
        <w:t xml:space="preserve"> </w:t>
      </w:r>
      <w:r w:rsidRPr="007F0147">
        <w:rPr>
          <w:rFonts w:hint="eastAsia"/>
        </w:rPr>
        <w:t>徐</w:t>
      </w:r>
      <w:proofErr w:type="gramStart"/>
      <w:r w:rsidRPr="007F0147">
        <w:rPr>
          <w:rFonts w:hint="eastAsia"/>
        </w:rPr>
        <w:t>世</w:t>
      </w:r>
      <w:proofErr w:type="gramEnd"/>
      <w:r w:rsidRPr="007F0147">
        <w:rPr>
          <w:rFonts w:hint="eastAsia"/>
        </w:rPr>
        <w:t>虹：《“主親所知”識小》，《出土文獻研究》第六輯第</w:t>
      </w:r>
      <w:r w:rsidRPr="007F0147">
        <w:t>135</w:t>
      </w:r>
      <w:r w:rsidRPr="007F0147">
        <w:rPr>
          <w:rFonts w:hint="eastAsia"/>
        </w:rPr>
        <w:t>頁，上海古籍出版社，</w:t>
      </w:r>
      <w:r w:rsidRPr="007F0147">
        <w:t>2004</w:t>
      </w:r>
      <w:r w:rsidRPr="007F0147">
        <w:rPr>
          <w:rFonts w:hint="eastAsia"/>
        </w:rPr>
        <w:t>年；朱紅林：《張家山漢簡</w:t>
      </w:r>
      <w:r w:rsidRPr="007F0147">
        <w:t>&lt;</w:t>
      </w:r>
      <w:r w:rsidRPr="007F0147">
        <w:rPr>
          <w:rFonts w:hint="eastAsia"/>
        </w:rPr>
        <w:t>二年律令</w:t>
      </w:r>
      <w:r w:rsidRPr="007F0147">
        <w:t>&gt;</w:t>
      </w:r>
      <w:r w:rsidRPr="007F0147">
        <w:rPr>
          <w:rFonts w:hint="eastAsia"/>
        </w:rPr>
        <w:t>集釋》第</w:t>
      </w:r>
      <w:r w:rsidRPr="007F0147">
        <w:t>115-116</w:t>
      </w:r>
      <w:r w:rsidRPr="007F0147">
        <w:rPr>
          <w:rFonts w:hint="eastAsia"/>
        </w:rPr>
        <w:t>頁</w:t>
      </w:r>
      <w:r w:rsidRPr="007F0147">
        <w:t>,</w:t>
      </w:r>
      <w:r w:rsidRPr="007F0147">
        <w:rPr>
          <w:rFonts w:hint="eastAsia"/>
        </w:rPr>
        <w:t>社</w:t>
      </w:r>
      <w:proofErr w:type="gramStart"/>
      <w:r w:rsidRPr="007F0147">
        <w:rPr>
          <w:rFonts w:hint="eastAsia"/>
        </w:rPr>
        <w:t>會</w:t>
      </w:r>
      <w:proofErr w:type="gramEnd"/>
      <w:r w:rsidRPr="007F0147">
        <w:rPr>
          <w:rFonts w:hint="eastAsia"/>
        </w:rPr>
        <w:t>科學文獻出版社，</w:t>
      </w:r>
      <w:r w:rsidRPr="007F0147">
        <w:t>2005</w:t>
      </w:r>
      <w:r w:rsidRPr="007F0147">
        <w:rPr>
          <w:rFonts w:hint="eastAsia"/>
        </w:rPr>
        <w:t>年曹旅寧：</w:t>
      </w:r>
      <w:proofErr w:type="gramStart"/>
      <w:r w:rsidRPr="007F0147">
        <w:rPr>
          <w:rFonts w:hint="eastAsia"/>
        </w:rPr>
        <w:t>《</w:t>
      </w:r>
      <w:proofErr w:type="gramEnd"/>
      <w:r w:rsidRPr="007F0147">
        <w:rPr>
          <w:rFonts w:hint="eastAsia"/>
        </w:rPr>
        <w:t>張家山漢簡</w:t>
      </w:r>
      <w:proofErr w:type="gramStart"/>
      <w:r w:rsidRPr="007F0147">
        <w:rPr>
          <w:rFonts w:hint="eastAsia"/>
        </w:rPr>
        <w:t>《</w:t>
      </w:r>
      <w:proofErr w:type="gramEnd"/>
      <w:r w:rsidRPr="007F0147">
        <w:rPr>
          <w:rFonts w:hint="eastAsia"/>
        </w:rPr>
        <w:t>亡律</w:t>
      </w:r>
      <w:proofErr w:type="gramStart"/>
      <w:r w:rsidRPr="007F0147">
        <w:rPr>
          <w:rFonts w:hint="eastAsia"/>
        </w:rPr>
        <w:t>》</w:t>
      </w:r>
      <w:proofErr w:type="gramEnd"/>
      <w:r w:rsidRPr="007F0147">
        <w:rPr>
          <w:rFonts w:hint="eastAsia"/>
        </w:rPr>
        <w:t>考</w:t>
      </w:r>
      <w:proofErr w:type="gramStart"/>
      <w:r w:rsidRPr="007F0147">
        <w:rPr>
          <w:rFonts w:hint="eastAsia"/>
        </w:rPr>
        <w:t>》</w:t>
      </w:r>
      <w:proofErr w:type="gramEnd"/>
      <w:r w:rsidRPr="007F0147">
        <w:rPr>
          <w:rFonts w:hint="eastAsia"/>
        </w:rPr>
        <w:t>，其著：《張家山漢律研究》第</w:t>
      </w:r>
      <w:r w:rsidRPr="007F0147">
        <w:t>145</w:t>
      </w:r>
      <w:r w:rsidRPr="007F0147">
        <w:rPr>
          <w:rFonts w:hint="eastAsia"/>
        </w:rPr>
        <w:t>頁，中華</w:t>
      </w:r>
      <w:proofErr w:type="gramStart"/>
      <w:r w:rsidRPr="007F0147">
        <w:rPr>
          <w:rFonts w:hint="eastAsia"/>
        </w:rPr>
        <w:t>書</w:t>
      </w:r>
      <w:proofErr w:type="gramEnd"/>
      <w:r w:rsidRPr="007F0147">
        <w:rPr>
          <w:rFonts w:hint="eastAsia"/>
        </w:rPr>
        <w:t>局，</w:t>
      </w:r>
      <w:r w:rsidRPr="007F0147">
        <w:t>2005</w:t>
      </w:r>
      <w:r w:rsidRPr="007F0147">
        <w:rPr>
          <w:rFonts w:hint="eastAsia"/>
        </w:rPr>
        <w:t>年；戴</w:t>
      </w:r>
      <w:proofErr w:type="gramStart"/>
      <w:r w:rsidRPr="007F0147">
        <w:rPr>
          <w:rFonts w:hint="eastAsia"/>
        </w:rPr>
        <w:t>世</w:t>
      </w:r>
      <w:proofErr w:type="gramEnd"/>
      <w:r w:rsidRPr="007F0147">
        <w:rPr>
          <w:rFonts w:hint="eastAsia"/>
        </w:rPr>
        <w:t>君：《說</w:t>
      </w:r>
      <w:r w:rsidRPr="007F0147">
        <w:t>&lt;</w:t>
      </w:r>
      <w:r w:rsidRPr="007F0147">
        <w:rPr>
          <w:rFonts w:hint="eastAsia"/>
        </w:rPr>
        <w:t>二年律令</w:t>
      </w:r>
      <w:r w:rsidRPr="007F0147">
        <w:t>&gt;</w:t>
      </w:r>
      <w:r w:rsidRPr="007F0147">
        <w:rPr>
          <w:rFonts w:hint="eastAsia"/>
        </w:rPr>
        <w:t>中的“主親所智（知）”》，簡帛網，</w:t>
      </w:r>
      <w:r w:rsidRPr="007F0147">
        <w:t>2009</w:t>
      </w:r>
      <w:r w:rsidRPr="007F0147">
        <w:rPr>
          <w:rFonts w:hint="eastAsia"/>
        </w:rPr>
        <w:t>年</w:t>
      </w:r>
      <w:r w:rsidRPr="007F0147">
        <w:t>9</w:t>
      </w:r>
      <w:r w:rsidRPr="007F0147">
        <w:rPr>
          <w:rFonts w:hint="eastAsia"/>
        </w:rPr>
        <w:t>月</w:t>
      </w:r>
      <w:r w:rsidRPr="007F0147">
        <w:t>26</w:t>
      </w:r>
      <w:r w:rsidRPr="007F0147">
        <w:rPr>
          <w:rFonts w:hint="eastAsia"/>
        </w:rPr>
        <w:t>日；龍</w:t>
      </w:r>
      <w:proofErr w:type="gramStart"/>
      <w:r w:rsidRPr="007F0147">
        <w:rPr>
          <w:rFonts w:hint="eastAsia"/>
        </w:rPr>
        <w:t>仕</w:t>
      </w:r>
      <w:proofErr w:type="gramEnd"/>
      <w:r w:rsidRPr="007F0147">
        <w:rPr>
          <w:rFonts w:hint="eastAsia"/>
        </w:rPr>
        <w:t>平：《秦漢簡帛法律文獻所見“親所知”考》，《文化學刊》</w:t>
      </w:r>
      <w:r w:rsidRPr="007F0147">
        <w:t>2015</w:t>
      </w:r>
      <w:r w:rsidRPr="007F0147">
        <w:rPr>
          <w:rFonts w:hint="eastAsia"/>
        </w:rPr>
        <w:t>年第</w:t>
      </w:r>
      <w:r w:rsidRPr="007F0147">
        <w:t>1</w:t>
      </w:r>
      <w:r w:rsidRPr="007F0147">
        <w:rPr>
          <w:rFonts w:hint="eastAsia"/>
        </w:rPr>
        <w:t>期。</w:t>
      </w:r>
    </w:p>
  </w:endnote>
  <w:endnote w:id="3">
    <w:p w14:paraId="29B5BE47" w14:textId="77777777" w:rsidR="00801B6A" w:rsidRPr="007F0147" w:rsidRDefault="00801B6A" w:rsidP="007F0147">
      <w:r w:rsidRPr="007F0147">
        <w:endnoteRef/>
      </w:r>
      <w:r w:rsidRPr="007F0147">
        <w:t xml:space="preserve"> </w:t>
      </w:r>
      <w:r w:rsidRPr="007F0147">
        <w:rPr>
          <w:rFonts w:hint="eastAsia"/>
        </w:rPr>
        <w:t>周波：《張家山漢簡&lt;二年律令</w:t>
      </w:r>
      <w:r w:rsidRPr="007F0147">
        <w:t>&gt;</w:t>
      </w:r>
      <w:r w:rsidRPr="007F0147">
        <w:rPr>
          <w:rFonts w:hint="eastAsia"/>
        </w:rPr>
        <w:t>校讀》，王捷主編：《出土文獻與法律史研究》第9輯第2</w:t>
      </w:r>
      <w:r w:rsidRPr="007F0147">
        <w:t>87</w:t>
      </w:r>
      <w:r w:rsidRPr="007F0147">
        <w:rPr>
          <w:rFonts w:hint="eastAsia"/>
        </w:rPr>
        <w:t>-</w:t>
      </w:r>
      <w:r w:rsidRPr="007F0147">
        <w:t>289</w:t>
      </w:r>
      <w:r w:rsidRPr="007F0147">
        <w:rPr>
          <w:rFonts w:hint="eastAsia"/>
        </w:rPr>
        <w:t>頁，法律出版社，2</w:t>
      </w:r>
      <w:r w:rsidRPr="007F0147">
        <w:t>020</w:t>
      </w:r>
      <w:r w:rsidRPr="007F0147">
        <w:rPr>
          <w:rFonts w:hint="eastAsia"/>
        </w:rPr>
        <w:t>年。</w:t>
      </w:r>
    </w:p>
  </w:endnote>
  <w:endnote w:id="4">
    <w:p w14:paraId="3C5178D8" w14:textId="77777777" w:rsidR="00801B6A" w:rsidRPr="007F0147" w:rsidRDefault="00801B6A" w:rsidP="007F0147">
      <w:r w:rsidRPr="007F0147">
        <w:endnoteRef/>
      </w:r>
      <w:r w:rsidRPr="007F0147">
        <w:t xml:space="preserve"> </w:t>
      </w:r>
      <w:r w:rsidRPr="007F0147">
        <w:rPr>
          <w:rFonts w:hint="eastAsia"/>
        </w:rPr>
        <w:t>中</w:t>
      </w:r>
      <w:proofErr w:type="gramStart"/>
      <w:r w:rsidRPr="007F0147">
        <w:rPr>
          <w:rFonts w:hint="eastAsia"/>
        </w:rPr>
        <w:t>國</w:t>
      </w:r>
      <w:proofErr w:type="gramEnd"/>
      <w:r w:rsidRPr="007F0147">
        <w:rPr>
          <w:rFonts w:hint="eastAsia"/>
        </w:rPr>
        <w:t>文物研究所、湖北省文物考古研究所：《龍崗秦簡》第</w:t>
      </w:r>
      <w:r w:rsidRPr="007F0147">
        <w:t>107</w:t>
      </w:r>
      <w:r w:rsidRPr="007F0147">
        <w:rPr>
          <w:rFonts w:hint="eastAsia"/>
        </w:rPr>
        <w:t>頁，中華</w:t>
      </w:r>
      <w:proofErr w:type="gramStart"/>
      <w:r w:rsidRPr="007F0147">
        <w:rPr>
          <w:rFonts w:hint="eastAsia"/>
        </w:rPr>
        <w:t>書</w:t>
      </w:r>
      <w:proofErr w:type="gramEnd"/>
      <w:r w:rsidRPr="007F0147">
        <w:rPr>
          <w:rFonts w:hint="eastAsia"/>
        </w:rPr>
        <w:t>局，</w:t>
      </w:r>
      <w:r w:rsidRPr="007F0147">
        <w:t>2001</w:t>
      </w:r>
      <w:r w:rsidRPr="007F0147">
        <w:rPr>
          <w:rFonts w:hint="eastAsia"/>
        </w:rPr>
        <w:t>年。</w:t>
      </w:r>
    </w:p>
  </w:endnote>
  <w:endnote w:id="5">
    <w:p w14:paraId="1C95C226" w14:textId="77777777" w:rsidR="00801B6A" w:rsidRPr="007F0147" w:rsidRDefault="00801B6A" w:rsidP="007F0147">
      <w:r w:rsidRPr="007F0147">
        <w:endnoteRef/>
      </w:r>
      <w:r w:rsidRPr="007F0147">
        <w:t xml:space="preserve"> </w:t>
      </w:r>
      <w:r w:rsidRPr="007F0147">
        <w:rPr>
          <w:rFonts w:hint="eastAsia"/>
        </w:rPr>
        <w:t>周波：《讀張家山漢簡</w:t>
      </w:r>
      <w:r w:rsidRPr="007F0147">
        <w:t>&lt;</w:t>
      </w:r>
      <w:r w:rsidRPr="007F0147">
        <w:rPr>
          <w:rFonts w:hint="eastAsia"/>
        </w:rPr>
        <w:t>二年律令</w:t>
      </w:r>
      <w:r w:rsidRPr="007F0147">
        <w:t>&gt;</w:t>
      </w:r>
      <w:r w:rsidRPr="007F0147">
        <w:rPr>
          <w:rFonts w:hint="eastAsia"/>
        </w:rPr>
        <w:t>札記》</w:t>
      </w:r>
      <w:r w:rsidRPr="007F0147">
        <w:t xml:space="preserve">, </w:t>
      </w:r>
      <w:r w:rsidRPr="007F0147">
        <w:rPr>
          <w:rFonts w:hint="eastAsia"/>
        </w:rPr>
        <w:t>《古籍整理研究學刊》</w:t>
      </w:r>
      <w:r w:rsidRPr="007F0147">
        <w:t>2007</w:t>
      </w:r>
      <w:r w:rsidRPr="007F0147">
        <w:rPr>
          <w:rFonts w:hint="eastAsia"/>
        </w:rPr>
        <w:t>年第</w:t>
      </w:r>
      <w:r w:rsidRPr="007F0147">
        <w:t>3</w:t>
      </w:r>
      <w:r w:rsidRPr="007F0147">
        <w:rPr>
          <w:rFonts w:hint="eastAsia"/>
        </w:rPr>
        <w:t>期。</w:t>
      </w:r>
    </w:p>
  </w:endnote>
  <w:endnote w:id="6">
    <w:p w14:paraId="3845F0D0" w14:textId="77777777" w:rsidR="00801B6A" w:rsidRPr="007F0147" w:rsidRDefault="00801B6A" w:rsidP="007F0147">
      <w:r w:rsidRPr="007F0147">
        <w:endnoteRef/>
      </w:r>
      <w:r w:rsidRPr="007F0147">
        <w:t xml:space="preserve"> </w:t>
      </w:r>
      <w:r w:rsidRPr="007F0147">
        <w:rPr>
          <w:rFonts w:hint="eastAsia"/>
        </w:rPr>
        <w:t>趙平安：《雲夢龍崗秦簡釋文注釋訂補》，《江漢考古》1</w:t>
      </w:r>
      <w:r w:rsidRPr="007F0147">
        <w:t>999</w:t>
      </w:r>
      <w:r w:rsidRPr="007F0147">
        <w:rPr>
          <w:rFonts w:hint="eastAsia"/>
        </w:rPr>
        <w:t>年第3期。</w:t>
      </w:r>
    </w:p>
  </w:endnote>
  <w:endnote w:id="7">
    <w:p w14:paraId="6E344090" w14:textId="77777777" w:rsidR="00801B6A" w:rsidRPr="007F0147" w:rsidRDefault="00801B6A" w:rsidP="007F0147">
      <w:r w:rsidRPr="007F0147">
        <w:endnoteRef/>
      </w:r>
      <w:r w:rsidRPr="007F0147">
        <w:t xml:space="preserve"> </w:t>
      </w:r>
      <w:r w:rsidRPr="007F0147">
        <w:rPr>
          <w:rFonts w:hint="eastAsia"/>
        </w:rPr>
        <w:t>李天虹、曹方向：《龍崗秦簡再整理校記》，吉林大學古籍研究所編：《吉林大學古籍研究所建所三十周年紀念論文集》第1</w:t>
      </w:r>
      <w:r w:rsidRPr="007F0147">
        <w:t>26</w:t>
      </w:r>
      <w:r w:rsidRPr="007F0147">
        <w:rPr>
          <w:rFonts w:hint="eastAsia"/>
        </w:rPr>
        <w:t>-</w:t>
      </w:r>
      <w:r w:rsidRPr="007F0147">
        <w:t>128</w:t>
      </w:r>
      <w:r w:rsidRPr="007F0147">
        <w:rPr>
          <w:rFonts w:hint="eastAsia"/>
        </w:rPr>
        <w:t>頁，上海古籍出版社，2</w:t>
      </w:r>
      <w:r w:rsidRPr="007F0147">
        <w:t>014</w:t>
      </w:r>
      <w:r w:rsidRPr="007F0147">
        <w:rPr>
          <w:rFonts w:hint="eastAsia"/>
        </w:rPr>
        <w:t>年。</w:t>
      </w:r>
    </w:p>
  </w:endnote>
  <w:endnote w:id="8">
    <w:p w14:paraId="659DCED1" w14:textId="77777777" w:rsidR="00801B6A" w:rsidRPr="007F0147" w:rsidRDefault="00801B6A" w:rsidP="007F0147">
      <w:r w:rsidRPr="007F0147">
        <w:endnoteRef/>
      </w:r>
      <w:r w:rsidRPr="007F0147">
        <w:t xml:space="preserve"> </w:t>
      </w:r>
      <w:proofErr w:type="gramStart"/>
      <w:r w:rsidRPr="007F0147">
        <w:rPr>
          <w:rFonts w:hint="eastAsia"/>
        </w:rPr>
        <w:t>參</w:t>
      </w:r>
      <w:proofErr w:type="gramEnd"/>
      <w:r w:rsidRPr="007F0147">
        <w:rPr>
          <w:rFonts w:hint="eastAsia"/>
        </w:rPr>
        <w:t>張雷：《秦漢簡牘醫方集注》1</w:t>
      </w:r>
      <w:r w:rsidRPr="007F0147">
        <w:t>8</w:t>
      </w:r>
      <w:r w:rsidRPr="007F0147">
        <w:rPr>
          <w:rFonts w:hint="eastAsia"/>
        </w:rPr>
        <w:t>-</w:t>
      </w:r>
      <w:r w:rsidRPr="007F0147">
        <w:t>19</w:t>
      </w:r>
      <w:r w:rsidRPr="007F0147">
        <w:rPr>
          <w:rFonts w:hint="eastAsia"/>
        </w:rPr>
        <w:t>頁，中華</w:t>
      </w:r>
      <w:proofErr w:type="gramStart"/>
      <w:r w:rsidRPr="007F0147">
        <w:rPr>
          <w:rFonts w:hint="eastAsia"/>
        </w:rPr>
        <w:t>書</w:t>
      </w:r>
      <w:proofErr w:type="gramEnd"/>
      <w:r w:rsidRPr="007F0147">
        <w:rPr>
          <w:rFonts w:hint="eastAsia"/>
        </w:rPr>
        <w:t>局，2</w:t>
      </w:r>
      <w:r w:rsidRPr="007F0147">
        <w:t>018</w:t>
      </w:r>
      <w:r w:rsidRPr="007F0147">
        <w:rPr>
          <w:rFonts w:hint="eastAsia"/>
        </w:rPr>
        <w:t>年。</w:t>
      </w:r>
    </w:p>
  </w:endnote>
  <w:endnote w:id="9">
    <w:p w14:paraId="72142787" w14:textId="06579029" w:rsidR="00801B6A" w:rsidRPr="007F0147" w:rsidRDefault="00801B6A" w:rsidP="007F0147">
      <w:r w:rsidRPr="007F0147">
        <w:endnoteRef/>
      </w:r>
      <w:r w:rsidRPr="007F0147">
        <w:t xml:space="preserve"> </w:t>
      </w:r>
      <w:r w:rsidRPr="007F0147">
        <w:rPr>
          <w:rFonts w:hint="eastAsia"/>
        </w:rPr>
        <w:t>周波：《里耶秦簡醫方校讀》，武漢大學簡帛研究中心編</w:t>
      </w:r>
      <w:r w:rsidR="000C1B27">
        <w:rPr>
          <w:rFonts w:hint="eastAsia"/>
        </w:rPr>
        <w:t>：</w:t>
      </w:r>
      <w:r w:rsidRPr="007F0147">
        <w:rPr>
          <w:rFonts w:hint="eastAsia"/>
        </w:rPr>
        <w:t>《簡帛》第1</w:t>
      </w:r>
      <w:r w:rsidRPr="007F0147">
        <w:t>5</w:t>
      </w:r>
      <w:r w:rsidRPr="007F0147">
        <w:rPr>
          <w:rFonts w:hint="eastAsia"/>
        </w:rPr>
        <w:t>輯</w:t>
      </w:r>
      <w:bookmarkStart w:id="2" w:name="_GoBack"/>
      <w:bookmarkEnd w:id="2"/>
      <w:r w:rsidRPr="007F0147">
        <w:rPr>
          <w:rFonts w:hint="eastAsia"/>
        </w:rPr>
        <w:t>第4</w:t>
      </w:r>
      <w:r w:rsidRPr="007F0147">
        <w:t>3</w:t>
      </w:r>
      <w:r w:rsidRPr="007F0147">
        <w:rPr>
          <w:rFonts w:hint="eastAsia"/>
        </w:rPr>
        <w:t>-</w:t>
      </w:r>
      <w:r w:rsidRPr="007F0147">
        <w:t>44</w:t>
      </w:r>
      <w:r w:rsidRPr="007F0147">
        <w:rPr>
          <w:rFonts w:hint="eastAsia"/>
        </w:rPr>
        <w:t>頁，上海古籍出版社,2017年。</w:t>
      </w:r>
    </w:p>
  </w:endnote>
  <w:endnote w:id="10">
    <w:p w14:paraId="0A3D4CB3" w14:textId="77777777" w:rsidR="00801B6A" w:rsidRPr="00801B6A" w:rsidRDefault="00801B6A" w:rsidP="007F0147">
      <w:r w:rsidRPr="007F0147">
        <w:endnoteRef/>
      </w:r>
      <w:r w:rsidRPr="007F0147">
        <w:t xml:space="preserve"> </w:t>
      </w:r>
      <w:r w:rsidRPr="007F0147">
        <w:rPr>
          <w:rFonts w:hint="eastAsia"/>
        </w:rPr>
        <w:t>張雷：《秦漢簡牘醫方集注》1</w:t>
      </w:r>
      <w:r w:rsidRPr="007F0147">
        <w:t>7</w:t>
      </w:r>
      <w:r w:rsidRPr="007F0147">
        <w:rPr>
          <w:rFonts w:hint="eastAsia"/>
        </w:rPr>
        <w:t>-</w:t>
      </w:r>
      <w:r w:rsidRPr="007F0147">
        <w:t>18</w:t>
      </w:r>
      <w:r w:rsidRPr="007F0147">
        <w:rPr>
          <w:rFonts w:hint="eastAsia"/>
        </w:rPr>
        <w:t>頁，中華</w:t>
      </w:r>
      <w:proofErr w:type="gramStart"/>
      <w:r w:rsidRPr="007F0147">
        <w:rPr>
          <w:rFonts w:hint="eastAsia"/>
        </w:rPr>
        <w:t>書</w:t>
      </w:r>
      <w:proofErr w:type="gramEnd"/>
      <w:r w:rsidRPr="007F0147">
        <w:rPr>
          <w:rFonts w:hint="eastAsia"/>
        </w:rPr>
        <w:t>局，2</w:t>
      </w:r>
      <w:r w:rsidRPr="007F0147">
        <w:t>018</w:t>
      </w:r>
      <w:r w:rsidRPr="007F0147">
        <w:rPr>
          <w:rFonts w:hint="eastAsia"/>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710E3DE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10</w:t>
    </w:r>
    <w:r w:rsidRPr="00C01B1F">
      <w:rPr>
        <w:rFonts w:hint="eastAsia"/>
        <w:sz w:val="18"/>
        <w:szCs w:val="18"/>
      </w:rPr>
      <w:t>月</w:t>
    </w:r>
    <w:r w:rsidR="00FB2B83">
      <w:rPr>
        <w:sz w:val="18"/>
        <w:szCs w:val="18"/>
      </w:rPr>
      <w:t>21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10</w:t>
    </w:r>
    <w:r w:rsidRPr="00C01B1F">
      <w:rPr>
        <w:rFonts w:hint="eastAsia"/>
        <w:sz w:val="18"/>
        <w:szCs w:val="18"/>
      </w:rPr>
      <w:t>月</w:t>
    </w:r>
    <w:r w:rsidR="00FB2B83">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8793" w14:textId="77777777" w:rsidR="00265AB0" w:rsidRDefault="00265AB0" w:rsidP="00CB0024">
      <w:r>
        <w:separator/>
      </w:r>
    </w:p>
  </w:footnote>
  <w:footnote w:type="continuationSeparator" w:id="0">
    <w:p w14:paraId="530105E3" w14:textId="77777777" w:rsidR="00265AB0" w:rsidRDefault="00265AB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E605DC1" w:rsidR="00F66E55" w:rsidRPr="001D7AFE" w:rsidRDefault="00F66E55" w:rsidP="001D7AFE">
    <w:pPr>
      <w:pStyle w:val="af"/>
      <w:spacing w:before="240" w:after="240"/>
      <w:ind w:firstLine="436"/>
    </w:pPr>
    <w:r>
      <w:rPr>
        <w:rFonts w:hint="eastAsia"/>
      </w:rPr>
      <w:t>链接：</w:t>
    </w:r>
    <w:r w:rsidR="00B96A56" w:rsidRPr="00B96A56">
      <w:t>http://www.fdgwz.org.cn/Web/Show/</w:t>
    </w:r>
    <w:r w:rsidR="00801B6A">
      <w:t>6820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4.25pt;height:50.25pt;visibility:visible" o:bullet="t">
        <v:imagedata r:id="rId1" o:title=""/>
      </v:shape>
    </w:pict>
  </w:numPicBullet>
  <w:numPicBullet w:numPicBulletId="1">
    <w:pict>
      <v:shape id="_x0000_i1107"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3" w15:restartNumberingAfterBreak="0">
    <w:nsid w:val="5A707373"/>
    <w:multiLevelType w:val="singleLevel"/>
    <w:tmpl w:val="5A707373"/>
    <w:lvl w:ilvl="0">
      <w:start w:val="1"/>
      <w:numFmt w:val="chineseCounting"/>
      <w:suff w:val="nothing"/>
      <w:lvlText w:val="第%1，"/>
      <w:lvlJc w:val="left"/>
    </w:lvl>
  </w:abstractNum>
  <w:abstractNum w:abstractNumId="24"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CBECB91"/>
    <w:multiLevelType w:val="singleLevel"/>
    <w:tmpl w:val="5CBECB91"/>
    <w:lvl w:ilvl="0">
      <w:start w:val="1"/>
      <w:numFmt w:val="chineseCounting"/>
      <w:suff w:val="nothing"/>
      <w:lvlText w:val="%1、"/>
      <w:lvlJc w:val="left"/>
    </w:lvl>
  </w:abstractNum>
  <w:abstractNum w:abstractNumId="26"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7"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31"/>
  </w:num>
  <w:num w:numId="3">
    <w:abstractNumId w:val="12"/>
  </w:num>
  <w:num w:numId="4">
    <w:abstractNumId w:val="22"/>
  </w:num>
  <w:num w:numId="5">
    <w:abstractNumId w:val="3"/>
  </w:num>
  <w:num w:numId="6">
    <w:abstractNumId w:val="23"/>
  </w:num>
  <w:num w:numId="7">
    <w:abstractNumId w:val="14"/>
  </w:num>
  <w:num w:numId="8">
    <w:abstractNumId w:val="1"/>
    <w:lvlOverride w:ilvl="0">
      <w:startOverride w:val="1"/>
    </w:lvlOverride>
  </w:num>
  <w:num w:numId="9">
    <w:abstractNumId w:val="0"/>
    <w:lvlOverride w:ilvl="0">
      <w:startOverride w:val="1"/>
    </w:lvlOverride>
  </w:num>
  <w:num w:numId="10">
    <w:abstractNumId w:val="30"/>
  </w:num>
  <w:num w:numId="11">
    <w:abstractNumId w:val="25"/>
  </w:num>
  <w:num w:numId="12">
    <w:abstractNumId w:val="18"/>
  </w:num>
  <w:num w:numId="13">
    <w:abstractNumId w:val="29"/>
  </w:num>
  <w:num w:numId="14">
    <w:abstractNumId w:val="5"/>
  </w:num>
  <w:num w:numId="15">
    <w:abstractNumId w:val="19"/>
  </w:num>
  <w:num w:numId="16">
    <w:abstractNumId w:val="8"/>
  </w:num>
  <w:num w:numId="17">
    <w:abstractNumId w:val="7"/>
  </w:num>
  <w:num w:numId="18">
    <w:abstractNumId w:val="13"/>
  </w:num>
  <w:num w:numId="19">
    <w:abstractNumId w:val="33"/>
  </w:num>
  <w:num w:numId="20">
    <w:abstractNumId w:val="10"/>
  </w:num>
  <w:num w:numId="21">
    <w:abstractNumId w:val="28"/>
  </w:num>
  <w:num w:numId="22">
    <w:abstractNumId w:val="34"/>
  </w:num>
  <w:num w:numId="23">
    <w:abstractNumId w:val="21"/>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7"/>
  </w:num>
  <w:num w:numId="31">
    <w:abstractNumId w:val="32"/>
  </w:num>
  <w:num w:numId="32">
    <w:abstractNumId w:val="26"/>
  </w:num>
  <w:num w:numId="33">
    <w:abstractNumId w:val="15"/>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65791"/>
    <w:rsid w:val="00672EC8"/>
    <w:rsid w:val="00673C78"/>
    <w:rsid w:val="0068116F"/>
    <w:rsid w:val="00682D5D"/>
    <w:rsid w:val="00686575"/>
    <w:rsid w:val="00686797"/>
    <w:rsid w:val="0069157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1ED2"/>
    <w:rsid w:val="009C4773"/>
    <w:rsid w:val="009C483E"/>
    <w:rsid w:val="009C5916"/>
    <w:rsid w:val="009C7D0F"/>
    <w:rsid w:val="009E12C0"/>
    <w:rsid w:val="009E1F4B"/>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227E-F634-4109-BB28-5FBDBEC8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12</Pages>
  <Words>2053</Words>
  <Characters>2115</Characters>
  <Application>Microsoft Office Word</Application>
  <DocSecurity>0</DocSecurity>
  <Lines>88</Lines>
  <Paragraphs>36</Paragraphs>
  <ScaleCrop>false</ScaleCrop>
  <Company>GWZ</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328</cp:revision>
  <dcterms:created xsi:type="dcterms:W3CDTF">2019-09-16T14:32:00Z</dcterms:created>
  <dcterms:modified xsi:type="dcterms:W3CDTF">2021-10-21T11:26:00Z</dcterms:modified>
</cp:coreProperties>
</file>