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3DB5" w:rsidRPr="0093057F" w:rsidRDefault="00BA3DB5" w:rsidP="00BA3DB5">
      <w:pPr>
        <w:pStyle w:val="ab"/>
      </w:pPr>
      <w:bookmarkStart w:id="0" w:name="OLE_LINK1"/>
      <w:bookmarkStart w:id="1" w:name="_GoBack"/>
      <w:r w:rsidRPr="0093057F">
        <w:rPr>
          <w:rFonts w:hint="eastAsia"/>
        </w:rPr>
        <w:t>出土文献与古文字研究青年学者访谈</w:t>
      </w:r>
      <w:r w:rsidRPr="0093057F">
        <w:t>013</w:t>
      </w:r>
      <w:r w:rsidRPr="0093057F">
        <w:t>：陈英杰</w:t>
      </w:r>
    </w:p>
    <w:bookmarkEnd w:id="1"/>
    <w:p w:rsidR="00BA3DB5" w:rsidRDefault="00BA3DB5" w:rsidP="00BA3DB5">
      <w:r>
        <w:t xml:space="preserve"> </w:t>
      </w:r>
    </w:p>
    <w:p w:rsidR="00BA3DB5" w:rsidRDefault="00BA3DB5" w:rsidP="00BA3DB5">
      <w:pPr>
        <w:pStyle w:val="aa"/>
        <w:ind w:firstLine="562"/>
      </w:pPr>
      <w:r w:rsidRPr="00BA3DB5">
        <w:rPr>
          <w:rFonts w:hint="eastAsia"/>
          <w:b/>
        </w:rPr>
        <w:t>编者按：</w:t>
      </w:r>
      <w:r w:rsidRPr="0093057F">
        <w:rPr>
          <w:rFonts w:hint="eastAsia"/>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rsidR="00BA3DB5" w:rsidRDefault="00BA3DB5" w:rsidP="00BA3DB5"/>
    <w:p w:rsidR="00BA3DB5" w:rsidRPr="00BA3DB5" w:rsidRDefault="00BA3DB5" w:rsidP="00BA3DB5">
      <w:pPr>
        <w:pStyle w:val="aa"/>
        <w:ind w:firstLine="562"/>
        <w:jc w:val="center"/>
        <w:rPr>
          <w:b/>
        </w:rPr>
      </w:pPr>
      <w:r w:rsidRPr="00BA3DB5">
        <w:rPr>
          <w:rFonts w:hint="eastAsia"/>
          <w:b/>
        </w:rPr>
        <w:t>个人简介</w:t>
      </w:r>
    </w:p>
    <w:p w:rsidR="00BA3DB5" w:rsidRDefault="00BA3DB5" w:rsidP="00BA3DB5">
      <w:r w:rsidRPr="0093057F">
        <w:rPr>
          <w:noProof/>
        </w:rPr>
        <w:drawing>
          <wp:inline distT="0" distB="0" distL="0" distR="0" wp14:anchorId="73EFC6AE" wp14:editId="50A6096E">
            <wp:extent cx="5270500" cy="3512905"/>
            <wp:effectExtent l="0" t="0" r="6350" b="0"/>
            <wp:docPr id="1" name="图片 1" descr="C:\Users\shensicong\Desktop\古文字微刊\访谈\013陈英杰\微信图片_2020080813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esktop\古文字微刊\访谈\013陈英杰\微信图片_20200808130354.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270500" cy="3512905"/>
                    </a:xfrm>
                    <a:prstGeom prst="rect">
                      <a:avLst/>
                    </a:prstGeom>
                    <a:noFill/>
                    <a:ln>
                      <a:noFill/>
                    </a:ln>
                  </pic:spPr>
                </pic:pic>
              </a:graphicData>
            </a:graphic>
          </wp:inline>
        </w:drawing>
      </w:r>
    </w:p>
    <w:p w:rsidR="00BA3DB5" w:rsidRDefault="00BA3DB5" w:rsidP="00BA3DB5">
      <w:pPr>
        <w:pStyle w:val="aa"/>
        <w:ind w:firstLine="560"/>
      </w:pPr>
      <w:r w:rsidRPr="0093057F">
        <w:rPr>
          <w:rFonts w:hint="eastAsia"/>
        </w:rPr>
        <w:t>陈英杰，</w:t>
      </w:r>
      <w:r w:rsidRPr="0093057F">
        <w:t>1975年9月生，河北省清河县人，首都师范大学文学院教授、博士生导师，福建师范大学闽江学者讲座教授，中国先秦史</w:t>
      </w:r>
      <w:r w:rsidRPr="0093057F">
        <w:lastRenderedPageBreak/>
        <w:t>学会理事。迄今出版著作三部：《西周金文作器用途铭辞研究》（2008）、《文字与文献研究丛稿》（2011）、《容庚青铜器学》（2015），发表学术论文80余篇。</w:t>
      </w:r>
    </w:p>
    <w:p w:rsidR="00BA3DB5" w:rsidRPr="0093057F" w:rsidRDefault="00BA3DB5" w:rsidP="00BA3DB5"/>
    <w:p w:rsidR="00BA3DB5" w:rsidRPr="00BA3DB5" w:rsidRDefault="00BA3DB5" w:rsidP="00BA3DB5">
      <w:pPr>
        <w:pStyle w:val="aa"/>
        <w:ind w:firstLine="562"/>
        <w:rPr>
          <w:b/>
        </w:rPr>
      </w:pPr>
      <w:r w:rsidRPr="00BA3DB5">
        <w:rPr>
          <w:b/>
        </w:rPr>
        <w:t>1.请介绍一下您学习和研究出土文献与古文字的经历。</w:t>
      </w:r>
    </w:p>
    <w:p w:rsidR="00BA3DB5" w:rsidRDefault="00BA3DB5" w:rsidP="00BA3DB5">
      <w:pPr>
        <w:pStyle w:val="aa"/>
        <w:ind w:firstLine="560"/>
      </w:pPr>
      <w:r>
        <w:rPr>
          <w:rFonts w:cs="Times New Roman (正文 CS 字体)" w:hint="eastAsia"/>
        </w:rPr>
        <w:t>我研究生阶段</w:t>
      </w:r>
      <w:r>
        <w:rPr>
          <w:rFonts w:hint="eastAsia"/>
        </w:rPr>
        <w:t>才开始涉入古文字。</w:t>
      </w:r>
      <w:r w:rsidRPr="00285135">
        <w:rPr>
          <w:rFonts w:hint="eastAsia"/>
          <w:color w:val="000000" w:themeColor="text1"/>
        </w:rPr>
        <w:t>考研时，原想报考古代文学专业，但需要看的参考书比较多，时间上来不及，就改报了汉语言文字学专业。</w:t>
      </w:r>
      <w:r>
        <w:rPr>
          <w:rFonts w:hint="eastAsia"/>
        </w:rPr>
        <w:t>在语言文字方面，初、高中的阅读给我打下了初步的基础，初中时对文言文就感兴趣，文言文详解、文言句法、文言常用实词之类的书读了一些；高二之前，我自学了刊授大学的相关课程，如张静主编《现代汉语自修教程》、蔡仪主编《文学概论》等。虽说后来从事汉语言文字学研究存在偶然性，但初高中的阅读无疑是种下了一颗种子。</w:t>
      </w:r>
    </w:p>
    <w:p w:rsidR="00BA3DB5" w:rsidRDefault="00BA3DB5" w:rsidP="00BA3DB5">
      <w:pPr>
        <w:pStyle w:val="aa"/>
        <w:ind w:firstLine="560"/>
        <w:rPr>
          <w:rFonts w:ascii="Cambria" w:hAnsi="Cambria" w:cs="Cambria"/>
        </w:rPr>
      </w:pPr>
      <w:r>
        <w:rPr>
          <w:rFonts w:hint="eastAsia"/>
        </w:rPr>
        <w:t>我读研时，赵平安老师去了北京，陈双新老师1</w:t>
      </w:r>
      <w:r>
        <w:t>999</w:t>
      </w:r>
      <w:r>
        <w:rPr>
          <w:rFonts w:hint="eastAsia"/>
        </w:rPr>
        <w:t>年从中山大学毕业回来，但很快又去北京做博士后了。当时汉字学课由杨宝忠老师开设。陈剑先生当时是赵老师的硕士生。我自己学习古文字，并最终走向古文字研究之路，陈剑先生对我起了关键性的影响。</w:t>
      </w:r>
      <w:r w:rsidRPr="00C5669F">
        <w:rPr>
          <w:rFonts w:hint="eastAsia"/>
          <w:color w:val="000000" w:themeColor="text1"/>
        </w:rPr>
        <w:t>考博时曾想报考北京大学，裘先生还给我回了</w:t>
      </w:r>
      <w:r w:rsidRPr="00C5669F">
        <w:rPr>
          <w:rFonts w:ascii="Cambria" w:hAnsi="Cambria" w:cs="Cambria" w:hint="eastAsia"/>
          <w:color w:val="000000" w:themeColor="text1"/>
        </w:rPr>
        <w:t>信，陈剑先生也写信指点迷津。</w:t>
      </w:r>
      <w:r>
        <w:rPr>
          <w:rFonts w:ascii="Cambria" w:hAnsi="Cambria" w:cs="Cambria" w:hint="eastAsia"/>
        </w:rPr>
        <w:t>1</w:t>
      </w:r>
      <w:r>
        <w:rPr>
          <w:rFonts w:ascii="Cambria" w:hAnsi="Cambria" w:cs="Cambria"/>
        </w:rPr>
        <w:t>999</w:t>
      </w:r>
      <w:r>
        <w:rPr>
          <w:rFonts w:ascii="Cambria" w:hAnsi="Cambria" w:cs="Cambria" w:hint="eastAsia"/>
        </w:rPr>
        <w:t>年下半年，中山大学张振林先生让陈双新老师推荐一位河北大</w:t>
      </w:r>
      <w:r>
        <w:rPr>
          <w:rFonts w:ascii="Cambria" w:hAnsi="Cambria" w:cs="Cambria" w:hint="eastAsia"/>
        </w:rPr>
        <w:lastRenderedPageBreak/>
        <w:t>学的学生考博，杨宝忠老师给陈老师推荐了我。准备考博后，陈双新老师为我开列了阅读书目，并把相关书籍借给我。陈老师是我走向古文字研究的重要引路人，在学业上也一直给我指导。</w:t>
      </w:r>
    </w:p>
    <w:p w:rsidR="00BA3DB5" w:rsidRDefault="00BA3DB5" w:rsidP="00BA3DB5">
      <w:pPr>
        <w:pStyle w:val="aa"/>
        <w:ind w:firstLine="560"/>
      </w:pPr>
      <w:r>
        <w:rPr>
          <w:rFonts w:ascii="Cambria" w:hAnsi="Cambria" w:cs="Cambria" w:hint="eastAsia"/>
        </w:rPr>
        <w:t>我当时比较固执，</w:t>
      </w:r>
      <w:r>
        <w:rPr>
          <w:rFonts w:hint="eastAsia"/>
        </w:rPr>
        <w:t>认为读原始文字材料之前要先了解学界的研究成果。我的做法是：一、《古文字研究》逐辑逐篇读，还有人大报刊资料索引转载的文章等；重要的论著逐本读，郭沫若《两周金文辞大系图录考释》、《殷周青铜器铭文研究》、《卜辞通纂》，容庚、张维持《殷周青铜器通论》，陈梦家《西周铜器断代》（《考古学报》），马承源主编《中国青铜器》、《商周青铜器铭文选》，于省吾《双剑誃吉金文选》，刘雨、张亚初《西周金文官制研究》，陈汉平《西周册命制度研究》，高明《中国古文字学通论》，陈炜湛、唐钰明《古文字学纲要》，陈世辉、汤</w:t>
      </w:r>
      <w:proofErr w:type="gramStart"/>
      <w:r>
        <w:rPr>
          <w:rFonts w:hint="eastAsia"/>
        </w:rPr>
        <w:t>馀</w:t>
      </w:r>
      <w:proofErr w:type="gramEnd"/>
      <w:r>
        <w:rPr>
          <w:rFonts w:hint="eastAsia"/>
        </w:rPr>
        <w:t>惠《古文字学概要》，汤</w:t>
      </w:r>
      <w:proofErr w:type="gramStart"/>
      <w:r>
        <w:rPr>
          <w:rFonts w:hint="eastAsia"/>
        </w:rPr>
        <w:t>馀</w:t>
      </w:r>
      <w:proofErr w:type="gramEnd"/>
      <w:r>
        <w:rPr>
          <w:rFonts w:hint="eastAsia"/>
        </w:rPr>
        <w:t>惠《战国铭文选》，还有王献唐、李白凤、李孝定等人的著作，都是那时读的。二、阅读《金文诂林》，逐字做成小卡片；摹写文字编。三、普查《人大报刊资料索引》和《全国报刊资料索引》，把古文字、汉字学的论文逐条抄下来。这样的路子问题很多，而且费了老大劲，收获与提高却有限。不加筛选找来论文逐篇读，是很愚笨的，没有抓住治学的根本之处。由于没有做归类、索引，第三项工作失去了它该有的价值。第二项工作对较快</w:t>
      </w:r>
      <w:r>
        <w:rPr>
          <w:rFonts w:hint="eastAsia"/>
        </w:rPr>
        <w:lastRenderedPageBreak/>
        <w:t>熟悉字形、字用还是起了一定的作用。硕士论文做的是</w:t>
      </w:r>
      <w:r w:rsidRPr="00F30E10">
        <w:rPr>
          <w:rFonts w:cs="Times New Roman (正文 CS 字体)" w:hint="eastAsia"/>
          <w:szCs w:val="21"/>
        </w:rPr>
        <w:t>《</w:t>
      </w:r>
      <w:r>
        <w:rPr>
          <w:rFonts w:hAnsiTheme="minorEastAsia" w:cs="Times New Roman (正文 CS 字体)" w:hint="eastAsia"/>
        </w:rPr>
        <w:t>〈</w:t>
      </w:r>
      <w:r w:rsidRPr="00F30E10">
        <w:rPr>
          <w:rFonts w:cs="Times New Roman (正文 CS 字体)" w:hint="eastAsia"/>
          <w:szCs w:val="21"/>
        </w:rPr>
        <w:t>字汇</w:t>
      </w:r>
      <w:r>
        <w:rPr>
          <w:rFonts w:hAnsiTheme="minorEastAsia" w:cs="Times New Roman (正文 CS 字体)" w:hint="eastAsia"/>
        </w:rPr>
        <w:t>〉</w:t>
      </w:r>
      <w:r w:rsidRPr="00F30E10">
        <w:rPr>
          <w:rFonts w:cs="Times New Roman (正文 CS 字体)" w:hint="eastAsia"/>
          <w:szCs w:val="21"/>
        </w:rPr>
        <w:t>字形整理之研究》</w:t>
      </w:r>
      <w:r>
        <w:rPr>
          <w:rFonts w:cs="Times New Roman (正文 CS 字体)" w:hint="eastAsia"/>
          <w:szCs w:val="21"/>
        </w:rPr>
        <w:t>，跟古文字、俗字都有点关系</w:t>
      </w:r>
      <w:r>
        <w:rPr>
          <w:rFonts w:hint="eastAsia"/>
        </w:rPr>
        <w:t>。</w:t>
      </w:r>
    </w:p>
    <w:p w:rsidR="00BA3DB5" w:rsidRDefault="00BA3DB5" w:rsidP="00BA3DB5">
      <w:pPr>
        <w:jc w:val="center"/>
      </w:pPr>
      <w:r w:rsidRPr="0093057F">
        <w:rPr>
          <w:noProof/>
        </w:rPr>
        <w:drawing>
          <wp:inline distT="0" distB="0" distL="0" distR="0" wp14:anchorId="0CC4A37F" wp14:editId="6EC0ED24">
            <wp:extent cx="5270500" cy="3697755"/>
            <wp:effectExtent l="0" t="0" r="6350" b="0"/>
            <wp:docPr id="2" name="图片 2" descr="C:\Users\shensicong\Desktop\古文字微刊\访谈\013陈英杰\微信图片_2020080813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esktop\古文字微刊\访谈\013陈英杰\微信图片_20200808130243.jp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270500" cy="3697755"/>
                    </a:xfrm>
                    <a:prstGeom prst="rect">
                      <a:avLst/>
                    </a:prstGeom>
                    <a:noFill/>
                    <a:ln>
                      <a:noFill/>
                    </a:ln>
                  </pic:spPr>
                </pic:pic>
              </a:graphicData>
            </a:graphic>
          </wp:inline>
        </w:drawing>
      </w:r>
    </w:p>
    <w:p w:rsidR="00BA3DB5" w:rsidRDefault="00BA3DB5" w:rsidP="00BA3DB5">
      <w:pPr>
        <w:jc w:val="center"/>
      </w:pPr>
      <w:r w:rsidRPr="0093057F">
        <w:rPr>
          <w:noProof/>
        </w:rPr>
        <w:lastRenderedPageBreak/>
        <w:drawing>
          <wp:inline distT="0" distB="0" distL="0" distR="0" wp14:anchorId="7A566C25" wp14:editId="607FC133">
            <wp:extent cx="5270500" cy="3697755"/>
            <wp:effectExtent l="0" t="0" r="6350" b="0"/>
            <wp:docPr id="3" name="图片 3" descr="C:\Users\shensicong\Desktop\古文字微刊\访谈\013陈英杰\微信图片_2020080813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nsicong\Desktop\古文字微刊\访谈\013陈英杰\微信图片_20200808130324.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270500" cy="3697755"/>
                    </a:xfrm>
                    <a:prstGeom prst="rect">
                      <a:avLst/>
                    </a:prstGeom>
                    <a:noFill/>
                    <a:ln>
                      <a:noFill/>
                    </a:ln>
                  </pic:spPr>
                </pic:pic>
              </a:graphicData>
            </a:graphic>
          </wp:inline>
        </w:drawing>
      </w:r>
    </w:p>
    <w:p w:rsidR="00BA3DB5" w:rsidRDefault="00BA3DB5" w:rsidP="00BA3DB5">
      <w:pPr>
        <w:pStyle w:val="aa"/>
        <w:ind w:firstLine="560"/>
        <w:jc w:val="center"/>
      </w:pPr>
      <w:r>
        <w:rPr>
          <w:rFonts w:hint="eastAsia"/>
        </w:rPr>
        <w:t>阅读笔记</w:t>
      </w:r>
    </w:p>
    <w:p w:rsidR="00BA3DB5" w:rsidRDefault="00BA3DB5" w:rsidP="00BA3DB5">
      <w:pPr>
        <w:ind w:firstLine="480"/>
        <w:rPr>
          <w:rFonts w:ascii="Cambria" w:hAnsi="Cambria" w:cs="Cambria"/>
        </w:rPr>
      </w:pPr>
    </w:p>
    <w:p w:rsidR="00BA3DB5" w:rsidRDefault="00BA3DB5" w:rsidP="00BA3DB5">
      <w:pPr>
        <w:pStyle w:val="aa"/>
        <w:ind w:firstLine="560"/>
      </w:pPr>
      <w:r>
        <w:rPr>
          <w:rFonts w:hint="eastAsia"/>
        </w:rPr>
        <w:t>读博后，开始深入阅读并整理古文字原始资料，才算是走上了研究之路。</w:t>
      </w:r>
    </w:p>
    <w:p w:rsidR="00BA3DB5" w:rsidRPr="00F11859" w:rsidRDefault="00BA3DB5" w:rsidP="00BA3DB5">
      <w:pPr>
        <w:pStyle w:val="aa"/>
        <w:ind w:firstLine="560"/>
        <w:rPr>
          <w:rFonts w:hint="eastAsia"/>
        </w:rPr>
      </w:pPr>
    </w:p>
    <w:p w:rsidR="00BA3DB5" w:rsidRPr="00BA3DB5" w:rsidRDefault="00BA3DB5" w:rsidP="00BA3DB5">
      <w:pPr>
        <w:pStyle w:val="aa"/>
        <w:ind w:firstLine="562"/>
        <w:rPr>
          <w:b/>
        </w:rPr>
      </w:pPr>
      <w:r w:rsidRPr="00BA3DB5">
        <w:rPr>
          <w:b/>
        </w:rPr>
        <w:t>2.您目前主要的研究领域有哪些？该领域今后的预想研究</w:t>
      </w:r>
      <w:proofErr w:type="gramStart"/>
      <w:r w:rsidRPr="00BA3DB5">
        <w:rPr>
          <w:b/>
        </w:rPr>
        <w:t>或拟待研究</w:t>
      </w:r>
      <w:proofErr w:type="gramEnd"/>
      <w:r w:rsidRPr="00BA3DB5">
        <w:rPr>
          <w:b/>
        </w:rPr>
        <w:t>的方向和课题有哪些？</w:t>
      </w:r>
    </w:p>
    <w:p w:rsidR="00BA3DB5" w:rsidRDefault="00BA3DB5" w:rsidP="00BA3DB5">
      <w:pPr>
        <w:pStyle w:val="aa"/>
        <w:ind w:firstLine="560"/>
      </w:pPr>
      <w:r>
        <w:rPr>
          <w:rFonts w:hint="eastAsia"/>
        </w:rPr>
        <w:t>我的主要研究领域是青铜器与金文，基于自己的知识结构，偏重于语言文字层面的研究。我的第一本专著《西周金文作器用途铭辞研究》（2</w:t>
      </w:r>
      <w:r>
        <w:t>008</w:t>
      </w:r>
      <w:r>
        <w:rPr>
          <w:rFonts w:hint="eastAsia"/>
        </w:rPr>
        <w:t>）是在博士论文和博士后出站报告基础上修订而成的，该</w:t>
      </w:r>
      <w:r>
        <w:rPr>
          <w:rFonts w:hint="eastAsia"/>
        </w:rPr>
        <w:lastRenderedPageBreak/>
        <w:t>书现在看来问题较多，但在金文</w:t>
      </w:r>
      <w:proofErr w:type="gramStart"/>
      <w:r>
        <w:rPr>
          <w:rFonts w:hint="eastAsia"/>
        </w:rPr>
        <w:t>文</w:t>
      </w:r>
      <w:proofErr w:type="gramEnd"/>
      <w:r>
        <w:rPr>
          <w:rFonts w:hint="eastAsia"/>
        </w:rPr>
        <w:t>例和金文语词考释方面还是做了一些工作。围绕作器用途</w:t>
      </w:r>
      <w:proofErr w:type="gramStart"/>
      <w:r>
        <w:rPr>
          <w:rFonts w:hint="eastAsia"/>
        </w:rPr>
        <w:t>铭辞先后</w:t>
      </w:r>
      <w:proofErr w:type="gramEnd"/>
      <w:r>
        <w:rPr>
          <w:rFonts w:hint="eastAsia"/>
        </w:rPr>
        <w:t>完成教育部和国家社科两个课题，内容扩展到了东周，本想在此基础上对拙著进行全面的修订，但后来我的思路有了很大变化，想重新写一本，所以就没有继续做修订的工作。未来围绕这个题目还会再写一些文章。</w:t>
      </w:r>
    </w:p>
    <w:p w:rsidR="00BA3DB5" w:rsidRDefault="00BA3DB5" w:rsidP="00BA3DB5">
      <w:pPr>
        <w:ind w:firstLineChars="200" w:firstLine="480"/>
        <w:jc w:val="center"/>
      </w:pPr>
      <w:r w:rsidRPr="000B3CAD">
        <w:rPr>
          <w:noProof/>
        </w:rPr>
        <w:drawing>
          <wp:inline distT="0" distB="0" distL="0" distR="0" wp14:anchorId="2023A1D0" wp14:editId="12036BB4">
            <wp:extent cx="3647044" cy="5198220"/>
            <wp:effectExtent l="0" t="0" r="0" b="2540"/>
            <wp:docPr id="4" name="图片 4" descr="C:\Users\shensicong\Desktop\古文字微刊\访谈\013陈英杰\微信图片_2020080813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nsicong\Desktop\古文字微刊\访谈\013陈英杰\微信图片_20200808130421.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647554" cy="5198947"/>
                    </a:xfrm>
                    <a:prstGeom prst="rect">
                      <a:avLst/>
                    </a:prstGeom>
                    <a:noFill/>
                    <a:ln>
                      <a:noFill/>
                    </a:ln>
                  </pic:spPr>
                </pic:pic>
              </a:graphicData>
            </a:graphic>
          </wp:inline>
        </w:drawing>
      </w:r>
    </w:p>
    <w:p w:rsidR="00BA3DB5" w:rsidRPr="000B3CAD" w:rsidRDefault="00BA3DB5" w:rsidP="00BA3DB5">
      <w:pPr>
        <w:pStyle w:val="aa"/>
        <w:ind w:firstLine="560"/>
        <w:jc w:val="center"/>
      </w:pPr>
      <w:r w:rsidRPr="000B3CAD">
        <w:t>《西周金文作器用途铭辞研究》书影</w:t>
      </w:r>
    </w:p>
    <w:p w:rsidR="00BA3DB5" w:rsidRDefault="00BA3DB5" w:rsidP="00BA3DB5">
      <w:pPr>
        <w:ind w:firstLineChars="200" w:firstLine="480"/>
        <w:jc w:val="center"/>
      </w:pPr>
    </w:p>
    <w:p w:rsidR="00BA3DB5" w:rsidRDefault="00BA3DB5" w:rsidP="00BA3DB5">
      <w:pPr>
        <w:pStyle w:val="aa"/>
        <w:ind w:firstLine="560"/>
      </w:pPr>
      <w:r>
        <w:rPr>
          <w:rFonts w:hint="eastAsia"/>
        </w:rPr>
        <w:lastRenderedPageBreak/>
        <w:t>商周金文有其特殊性，其文字、内容和载体的关系较为复杂。从铭文的制作及器物实际应用情况看，器物是第一性的，铭文是附属的；就铭文文字看，铭文谋篇布局、文字笔画结体等会受到制</w:t>
      </w:r>
      <w:proofErr w:type="gramStart"/>
      <w:r>
        <w:rPr>
          <w:rFonts w:hint="eastAsia"/>
        </w:rPr>
        <w:t>范</w:t>
      </w:r>
      <w:proofErr w:type="gramEnd"/>
      <w:r>
        <w:rPr>
          <w:rFonts w:hint="eastAsia"/>
        </w:rPr>
        <w:t>、浇铸、器物空间等非文字因素的影响；还存在铭文内容与器物形制相照应的情况，而且铭文作为史料，分期</w:t>
      </w:r>
      <w:proofErr w:type="gramStart"/>
      <w:r>
        <w:rPr>
          <w:rFonts w:hint="eastAsia"/>
        </w:rPr>
        <w:t>断代也</w:t>
      </w:r>
      <w:proofErr w:type="gramEnd"/>
      <w:r>
        <w:rPr>
          <w:rFonts w:hint="eastAsia"/>
        </w:rPr>
        <w:t>离不开器物类型的演变排谱。鉴于此，我也比较关注器物学领域的研究，强调金文研究一定要和器物结合起来。前几年出版的《容庚青铜器学》算是阶段性成果汇报。</w:t>
      </w:r>
    </w:p>
    <w:p w:rsidR="00BA3DB5" w:rsidRDefault="00BA3DB5" w:rsidP="00BA3DB5">
      <w:pPr>
        <w:pStyle w:val="aa"/>
        <w:ind w:firstLine="560"/>
        <w:jc w:val="center"/>
      </w:pPr>
      <w:r w:rsidRPr="000B3CAD">
        <w:rPr>
          <w:noProof/>
        </w:rPr>
        <w:lastRenderedPageBreak/>
        <w:drawing>
          <wp:inline distT="0" distB="0" distL="0" distR="0" wp14:anchorId="28478247" wp14:editId="5A5DA5DF">
            <wp:extent cx="4047214" cy="5768592"/>
            <wp:effectExtent l="0" t="0" r="0" b="3810"/>
            <wp:docPr id="5" name="图片 5" descr="C:\Users\shensicong\Desktop\古文字微刊\访谈\013陈英杰\微信图片_2020080813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nsicong\Desktop\古文字微刊\访谈\013陈英杰\微信图片_20200808130347.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4047749" cy="5769355"/>
                    </a:xfrm>
                    <a:prstGeom prst="rect">
                      <a:avLst/>
                    </a:prstGeom>
                    <a:noFill/>
                    <a:ln>
                      <a:noFill/>
                    </a:ln>
                  </pic:spPr>
                </pic:pic>
              </a:graphicData>
            </a:graphic>
          </wp:inline>
        </w:drawing>
      </w:r>
    </w:p>
    <w:p w:rsidR="00BA3DB5" w:rsidRPr="000B3CAD" w:rsidRDefault="00BA3DB5" w:rsidP="00BA3DB5">
      <w:pPr>
        <w:pStyle w:val="aa"/>
        <w:ind w:firstLine="560"/>
        <w:jc w:val="center"/>
      </w:pPr>
      <w:r w:rsidRPr="000B3CAD">
        <w:rPr>
          <w:rFonts w:hint="eastAsia"/>
        </w:rPr>
        <w:t>《容庚青铜器学》书影</w:t>
      </w:r>
    </w:p>
    <w:p w:rsidR="00BA3DB5" w:rsidRDefault="00BA3DB5" w:rsidP="00BA3DB5">
      <w:pPr>
        <w:ind w:firstLineChars="200" w:firstLine="480"/>
      </w:pPr>
    </w:p>
    <w:p w:rsidR="00BA3DB5" w:rsidRDefault="00BA3DB5" w:rsidP="00BA3DB5">
      <w:pPr>
        <w:pStyle w:val="aa"/>
        <w:ind w:firstLine="560"/>
      </w:pPr>
      <w:r>
        <w:rPr>
          <w:rFonts w:hint="eastAsia"/>
        </w:rPr>
        <w:t>我当前从事的研究主要集中于两块：一是</w:t>
      </w:r>
      <w:proofErr w:type="gramStart"/>
      <w:r>
        <w:rPr>
          <w:rFonts w:hint="eastAsia"/>
        </w:rPr>
        <w:t>金文字际关系</w:t>
      </w:r>
      <w:proofErr w:type="gramEnd"/>
      <w:r>
        <w:rPr>
          <w:rFonts w:hint="eastAsia"/>
        </w:rPr>
        <w:t>研究，一是汉字学学术史研究。我比较关注文字形义系统的运行机制问题，</w:t>
      </w:r>
      <w:proofErr w:type="gramStart"/>
      <w:r>
        <w:rPr>
          <w:rFonts w:hint="eastAsia"/>
        </w:rPr>
        <w:t>而字际关系</w:t>
      </w:r>
      <w:proofErr w:type="gramEnd"/>
      <w:r>
        <w:rPr>
          <w:rFonts w:hint="eastAsia"/>
        </w:rPr>
        <w:t>（其中异体字尤为重要）是考察这个问题的一个重要切入点。近年来我围绕异体字和讹字撰写了系列论文，注重各类文字现象背后</w:t>
      </w:r>
      <w:r>
        <w:rPr>
          <w:rFonts w:hint="eastAsia"/>
        </w:rPr>
        <w:lastRenderedPageBreak/>
        <w:t>形成动因的考索。我想通过专题式的研究，一点点推进，为未来《金文文字学》的撰写夯牢基础。</w:t>
      </w:r>
      <w:r w:rsidRPr="004C2BFE">
        <w:rPr>
          <w:rFonts w:hint="eastAsia"/>
        </w:rPr>
        <w:t>为了在汉字学理论上有所创新，我便深入研读重要的汉字学、古文字学理论著作，并在课堂上介绍、分析其理论观点，在授课中不断思考。</w:t>
      </w:r>
      <w:r>
        <w:rPr>
          <w:rFonts w:hint="eastAsia"/>
        </w:rPr>
        <w:t>近年主要就唐兰先生的文字学理论撰写了系列论文，发表的已有</w:t>
      </w:r>
      <w:r w:rsidRPr="00D1201F">
        <w:rPr>
          <w:rFonts w:hint="eastAsia"/>
        </w:rPr>
        <w:t>十万字，并于2</w:t>
      </w:r>
      <w:r w:rsidRPr="00D1201F">
        <w:t>019</w:t>
      </w:r>
      <w:r w:rsidRPr="00D1201F">
        <w:rPr>
          <w:rFonts w:hint="eastAsia"/>
        </w:rPr>
        <w:t>年获得国家社科基金冷门绝学项目的资助（</w:t>
      </w:r>
      <w:r w:rsidRPr="00D1201F">
        <w:rPr>
          <w:rFonts w:cs="宋体"/>
          <w:color w:val="000000"/>
          <w:kern w:val="0"/>
          <w:lang w:val="zh-CN"/>
        </w:rPr>
        <w:t>“</w:t>
      </w:r>
      <w:r w:rsidRPr="00D1201F">
        <w:rPr>
          <w:rFonts w:cs="宋体" w:hint="eastAsia"/>
          <w:color w:val="000000"/>
          <w:kern w:val="0"/>
          <w:lang w:val="zh-CN"/>
        </w:rPr>
        <w:t>唐兰文字学理论体系研究</w:t>
      </w:r>
      <w:r w:rsidRPr="00D1201F">
        <w:rPr>
          <w:rFonts w:cs="宋体"/>
          <w:color w:val="000000"/>
          <w:kern w:val="0"/>
          <w:lang w:val="zh-CN"/>
        </w:rPr>
        <w:t>”</w:t>
      </w:r>
      <w:r w:rsidRPr="00D1201F">
        <w:rPr>
          <w:rFonts w:cs="宋体" w:hint="eastAsia"/>
          <w:color w:val="000000"/>
          <w:kern w:val="0"/>
          <w:lang w:val="zh-CN"/>
        </w:rPr>
        <w:t>）</w:t>
      </w:r>
      <w:r w:rsidRPr="00D1201F">
        <w:rPr>
          <w:rFonts w:hint="eastAsia"/>
        </w:rPr>
        <w:t>。</w:t>
      </w:r>
    </w:p>
    <w:p w:rsidR="00BA3DB5" w:rsidRDefault="00BA3DB5" w:rsidP="00BA3DB5">
      <w:pPr>
        <w:pStyle w:val="aa"/>
        <w:ind w:firstLine="560"/>
      </w:pPr>
      <w:r>
        <w:rPr>
          <w:rFonts w:hint="eastAsia"/>
        </w:rPr>
        <w:t>至于未来的研究计划，围绕容庚研究曾设想过四个题目，希望以后能有时间继续完成。关于青铜器</w:t>
      </w:r>
      <w:proofErr w:type="gramStart"/>
      <w:r>
        <w:rPr>
          <w:rFonts w:hint="eastAsia"/>
        </w:rPr>
        <w:t>学术史原设计</w:t>
      </w:r>
      <w:proofErr w:type="gramEnd"/>
      <w:r>
        <w:rPr>
          <w:rFonts w:hint="eastAsia"/>
        </w:rPr>
        <w:t>了专人和断代两类六种，未来想做《宋代青铜器学》和《清代青铜器学》两种。金文研究方面，计划了《金文文字学》和《商周青铜器铭文通论》两</w:t>
      </w:r>
      <w:proofErr w:type="gramStart"/>
      <w:r>
        <w:rPr>
          <w:rFonts w:hint="eastAsia"/>
        </w:rPr>
        <w:t>部著</w:t>
      </w:r>
      <w:proofErr w:type="gramEnd"/>
      <w:r>
        <w:rPr>
          <w:rFonts w:hint="eastAsia"/>
        </w:rPr>
        <w:t>作。</w:t>
      </w:r>
    </w:p>
    <w:p w:rsidR="00BA3DB5" w:rsidRDefault="00BA3DB5" w:rsidP="00BA3DB5">
      <w:pPr>
        <w:pStyle w:val="aa"/>
        <w:ind w:firstLine="560"/>
        <w:rPr>
          <w:rFonts w:hint="eastAsia"/>
        </w:rPr>
      </w:pPr>
    </w:p>
    <w:p w:rsidR="00BA3DB5" w:rsidRPr="00BA3DB5" w:rsidRDefault="00BA3DB5" w:rsidP="00BA3DB5">
      <w:pPr>
        <w:pStyle w:val="aa"/>
        <w:ind w:firstLine="562"/>
        <w:rPr>
          <w:b/>
        </w:rPr>
      </w:pPr>
      <w:r w:rsidRPr="00BA3DB5">
        <w:rPr>
          <w:b/>
        </w:rPr>
        <w:t>3.您在从事学术研究的过程中，在阅读、收集资料、撰写论文、投稿发表等方面有什么心得体会？</w:t>
      </w:r>
    </w:p>
    <w:p w:rsidR="00BA3DB5" w:rsidRPr="008568FF" w:rsidRDefault="00BA3DB5" w:rsidP="00BA3DB5">
      <w:pPr>
        <w:pStyle w:val="aa"/>
        <w:ind w:firstLine="560"/>
      </w:pPr>
      <w:r>
        <w:rPr>
          <w:rFonts w:hint="eastAsia"/>
        </w:rPr>
        <w:t>阅读有功利性的和非功利性的。开卷有益，非功利性阅读并不刻意求“益”。为作研究开展的阅读在很大程度上是功利性的，读书中要为达成某种目标而收集各种有用材料。我自己平时读书主要采用以下几种方法：1）分类法。</w:t>
      </w:r>
      <w:r w:rsidRPr="00517E65">
        <w:rPr>
          <w:rFonts w:hint="eastAsia"/>
        </w:rPr>
        <w:t>根据研究需要或个人兴趣分类搜集各种</w:t>
      </w:r>
      <w:r>
        <w:rPr>
          <w:rFonts w:hint="eastAsia"/>
        </w:rPr>
        <w:t>材</w:t>
      </w:r>
      <w:r w:rsidRPr="00517E65">
        <w:rPr>
          <w:rFonts w:hint="eastAsia"/>
        </w:rPr>
        <w:t>料</w:t>
      </w:r>
      <w:r>
        <w:rPr>
          <w:rFonts w:hint="eastAsia"/>
        </w:rPr>
        <w:t>，“材料”分类整理后，才能转化为可供研究的“资料”（钟敬文先</w:t>
      </w:r>
      <w:r>
        <w:rPr>
          <w:rFonts w:hint="eastAsia"/>
        </w:rPr>
        <w:lastRenderedPageBreak/>
        <w:t>生称之为材料的“资料化”），把别人的东西转化成自己的东西。如我读朱自清，整理了一篇《朱自清笔下的女性魅影》</w:t>
      </w:r>
      <w:r>
        <w:rPr>
          <w:rFonts w:cs="Times New Roman (正文 CS 字体)" w:hint="eastAsia"/>
          <w:color w:val="000000" w:themeColor="text1"/>
        </w:rPr>
        <w:t>；读欧阳修，整理了《欧阳修〈集古录跋尾〉中的排佛言论》；读清代小说</w:t>
      </w:r>
      <w:r w:rsidRPr="0097366C">
        <w:rPr>
          <w:rFonts w:cs="Times New Roman (正文 CS 字体)" w:hint="eastAsia"/>
        </w:rPr>
        <w:t>《蜃楼志》</w:t>
      </w:r>
      <w:r>
        <w:rPr>
          <w:rFonts w:cs="Times New Roman (正文 CS 字体)" w:hint="eastAsia"/>
        </w:rPr>
        <w:t>，辑出一条讨论《诗经》“风雅颂”的材料</w:t>
      </w:r>
      <w:r>
        <w:rPr>
          <w:rFonts w:hint="eastAsia"/>
          <w:color w:val="000000"/>
        </w:rPr>
        <w:t>；读《郑板桥文集》、《容斋随笔》，对相关内容都作了分类整理。2）比较法。阅读</w:t>
      </w:r>
      <w:proofErr w:type="gramStart"/>
      <w:r>
        <w:rPr>
          <w:rFonts w:hint="eastAsia"/>
          <w:color w:val="000000"/>
        </w:rPr>
        <w:t>不</w:t>
      </w:r>
      <w:proofErr w:type="gramEnd"/>
      <w:r>
        <w:rPr>
          <w:rFonts w:hint="eastAsia"/>
          <w:color w:val="000000"/>
        </w:rPr>
        <w:t>主一家，多家互相参照比勘；一家之不同时期著作互相参照</w:t>
      </w:r>
      <w:r w:rsidRPr="00A02015">
        <w:rPr>
          <w:rFonts w:hAnsiTheme="minorEastAsia" w:cs="Times New Roman (正文 CS 字体)" w:hint="eastAsia"/>
        </w:rPr>
        <w:t>。</w:t>
      </w:r>
      <w:r w:rsidRPr="00517E65">
        <w:rPr>
          <w:rFonts w:hint="eastAsia"/>
        </w:rPr>
        <w:t>读书贵在得间，“间”</w:t>
      </w:r>
      <w:r>
        <w:rPr>
          <w:rFonts w:hint="eastAsia"/>
        </w:rPr>
        <w:t>往往在</w:t>
      </w:r>
      <w:r w:rsidRPr="00517E65">
        <w:rPr>
          <w:rFonts w:hint="eastAsia"/>
        </w:rPr>
        <w:t>比较中</w:t>
      </w:r>
      <w:r>
        <w:rPr>
          <w:rFonts w:hint="eastAsia"/>
        </w:rPr>
        <w:t>显现</w:t>
      </w:r>
      <w:r w:rsidRPr="00517E65">
        <w:rPr>
          <w:rFonts w:hint="eastAsia"/>
        </w:rPr>
        <w:t>。</w:t>
      </w:r>
      <w:r>
        <w:rPr>
          <w:rFonts w:hint="eastAsia"/>
        </w:rPr>
        <w:t>我在研究唐兰时，就把唐先生、陈梦家先生和裘锡</w:t>
      </w:r>
      <w:proofErr w:type="gramStart"/>
      <w:r>
        <w:rPr>
          <w:rFonts w:hint="eastAsia"/>
        </w:rPr>
        <w:t>圭</w:t>
      </w:r>
      <w:proofErr w:type="gramEnd"/>
      <w:r>
        <w:rPr>
          <w:rFonts w:hint="eastAsia"/>
        </w:rPr>
        <w:t>先生三家进行比较，非常有趣，比较中可以发现裘先生从唐先生那里受到的影响；陈梦家《中国文字学》所受到的唐兰的影响，在理论框架的建构和涉及的问题点等方面都有体现，陈氏有意想在唐氏之外建构新的文字学理论（参拙文《谈陈梦家先生在中国文字学研究上的理论贡献》）</w:t>
      </w:r>
      <w:r w:rsidRPr="00C5485E">
        <w:rPr>
          <w:rFonts w:cs="Times New Roman (正文 CS 字体)" w:hint="eastAsia"/>
        </w:rPr>
        <w:t>。</w:t>
      </w:r>
      <w:r>
        <w:rPr>
          <w:rFonts w:hAnsiTheme="minorEastAsia" w:cs="Times New Roman (正文 CS 字体)" w:hint="eastAsia"/>
        </w:rPr>
        <w:t>3）重编法。比如我仿效容庚先生的《重编〈宋代金文著录表〉》，</w:t>
      </w:r>
      <w:proofErr w:type="gramStart"/>
      <w:r>
        <w:rPr>
          <w:rFonts w:hAnsiTheme="minorEastAsia" w:cs="Times New Roman (正文 CS 字体)" w:hint="eastAsia"/>
        </w:rPr>
        <w:t>对容老</w:t>
      </w:r>
      <w:proofErr w:type="gramEnd"/>
      <w:r>
        <w:rPr>
          <w:rFonts w:hAnsiTheme="minorEastAsia" w:cs="Times New Roman (正文 CS 字体)" w:hint="eastAsia"/>
        </w:rPr>
        <w:t>《西清金文真伪存佚表》作了校订重编。史书中的纲目体也属于重编。4）注书法。我给《心经》、刘咸</w:t>
      </w:r>
      <w:proofErr w:type="gramStart"/>
      <w:r>
        <w:rPr>
          <w:rFonts w:hAnsiTheme="minorEastAsia" w:cs="Times New Roman (正文 CS 字体)" w:hint="eastAsia"/>
        </w:rPr>
        <w:t>炘</w:t>
      </w:r>
      <w:proofErr w:type="gramEnd"/>
      <w:r>
        <w:rPr>
          <w:rFonts w:hAnsiTheme="minorEastAsia" w:cs="Times New Roman (正文 CS 字体)" w:hint="eastAsia"/>
        </w:rPr>
        <w:t>《学略》等都做过注释。给这些书做注不是为了出版，是给自己做功课。我曾指导学生作过《余嘉锡注〈汉书艺文志〉》，余先生没有给《汉志》专门做注，但在他的著作中有很多关于《汉志》的内容，我们就把这些内容注到《汉志》相应文字下。5）书评法。容庚先生</w:t>
      </w:r>
      <w:proofErr w:type="gramStart"/>
      <w:r>
        <w:rPr>
          <w:rFonts w:hAnsiTheme="minorEastAsia" w:cs="Times New Roman (正文 CS 字体)" w:hint="eastAsia"/>
        </w:rPr>
        <w:t>远承中国</w:t>
      </w:r>
      <w:proofErr w:type="gramEnd"/>
      <w:r>
        <w:rPr>
          <w:rFonts w:hAnsiTheme="minorEastAsia" w:cs="Times New Roman (正文 CS 字体)" w:hint="eastAsia"/>
        </w:rPr>
        <w:t>古代目</w:t>
      </w:r>
      <w:r>
        <w:rPr>
          <w:rFonts w:hAnsiTheme="minorEastAsia" w:cs="Times New Roman (正文 CS 字体)" w:hint="eastAsia"/>
        </w:rPr>
        <w:lastRenderedPageBreak/>
        <w:t>录学的优良传统，提出过“一书一评法”，每读完一本书就写一篇书评。我没有做到一书一评，但针对一书或一人写过一些“</w:t>
      </w:r>
      <w:proofErr w:type="gramStart"/>
      <w:r>
        <w:rPr>
          <w:rFonts w:hAnsiTheme="minorEastAsia" w:cs="Times New Roman (正文 CS 字体)" w:hint="eastAsia"/>
        </w:rPr>
        <w:t>撮</w:t>
      </w:r>
      <w:proofErr w:type="gramEnd"/>
      <w:r>
        <w:rPr>
          <w:rFonts w:hAnsiTheme="minorEastAsia" w:cs="Times New Roman (正文 CS 字体)" w:hint="eastAsia"/>
        </w:rPr>
        <w:t>其旨意，评其得失”的</w:t>
      </w:r>
      <w:proofErr w:type="gramStart"/>
      <w:r>
        <w:rPr>
          <w:rFonts w:hAnsiTheme="minorEastAsia" w:cs="Times New Roman (正文 CS 字体)" w:hint="eastAsia"/>
        </w:rPr>
        <w:t>叙录体文字</w:t>
      </w:r>
      <w:proofErr w:type="gramEnd"/>
      <w:r>
        <w:rPr>
          <w:rFonts w:hAnsiTheme="minorEastAsia" w:cs="Times New Roman (正文 CS 字体)" w:hint="eastAsia"/>
        </w:rPr>
        <w:t>，</w:t>
      </w:r>
      <w:r w:rsidRPr="004C2BFE">
        <w:rPr>
          <w:rFonts w:hAnsiTheme="minorEastAsia" w:cs="Times New Roman (正文 CS 字体)" w:hint="eastAsia"/>
        </w:rPr>
        <w:t>像</w:t>
      </w:r>
      <w:r>
        <w:rPr>
          <w:rFonts w:hAnsiTheme="minorEastAsia" w:cs="Times New Roman (正文 CS 字体)" w:hint="eastAsia"/>
        </w:rPr>
        <w:t>《〈六书通〉名义释疑》算是长篇书评了。</w:t>
      </w:r>
    </w:p>
    <w:p w:rsidR="00BA3DB5" w:rsidRDefault="00BA3DB5" w:rsidP="00BA3DB5">
      <w:pPr>
        <w:pStyle w:val="aa"/>
        <w:ind w:firstLine="560"/>
      </w:pPr>
      <w:r>
        <w:rPr>
          <w:rFonts w:hint="eastAsia"/>
        </w:rPr>
        <w:t>很多学者都一再强调要确定自己的研究领地，因此，写文章忌四面开花，要围绕一个中心精耕细作，逐步形成自己的研究特色，让学界知道你是干什么的。平时要多练笔，多把思路整理成文，锻炼自己处理材料、谋篇布局的能力。初出道者，往往发文心切，头脑容易发热，所以文章写好后一定要放一放。行文忌年轻气盛，气势凌人；很多东西不确定，绝对性的口吻要尽量避免。</w:t>
      </w:r>
    </w:p>
    <w:p w:rsidR="00BA3DB5" w:rsidRDefault="00BA3DB5" w:rsidP="00BA3DB5">
      <w:pPr>
        <w:pStyle w:val="aa"/>
        <w:ind w:firstLine="560"/>
      </w:pPr>
      <w:r>
        <w:rPr>
          <w:rFonts w:hint="eastAsia"/>
        </w:rPr>
        <w:t>投稿我没有什么经验，核心、权威核心期刊都不好发。不过，文章符合刊物内容风格是一个需要考虑的因素，投给专业性期刊命中率会比较高。</w:t>
      </w:r>
    </w:p>
    <w:p w:rsidR="00BA3DB5" w:rsidRPr="00791035" w:rsidRDefault="00BA3DB5" w:rsidP="00BA3DB5">
      <w:pPr>
        <w:pStyle w:val="aa"/>
        <w:ind w:firstLine="560"/>
        <w:rPr>
          <w:rFonts w:hint="eastAsia"/>
        </w:rPr>
      </w:pPr>
    </w:p>
    <w:p w:rsidR="00BA3DB5" w:rsidRPr="00BA3DB5" w:rsidRDefault="00BA3DB5" w:rsidP="00BA3DB5">
      <w:pPr>
        <w:pStyle w:val="aa"/>
        <w:ind w:firstLine="562"/>
        <w:rPr>
          <w:b/>
        </w:rPr>
      </w:pPr>
      <w:r w:rsidRPr="00BA3DB5">
        <w:rPr>
          <w:b/>
        </w:rPr>
        <w:t>4.对您迄今为止的学习和研究影响较大的著作或学者有哪些（或哪几位）？</w:t>
      </w:r>
    </w:p>
    <w:p w:rsidR="00BA3DB5" w:rsidRDefault="00BA3DB5" w:rsidP="00BA3DB5">
      <w:pPr>
        <w:pStyle w:val="aa"/>
        <w:ind w:firstLine="560"/>
        <w:rPr>
          <w:rFonts w:cs="Times New Roman (正文 CS 字体)"/>
        </w:rPr>
      </w:pPr>
      <w:r w:rsidRPr="008F2E1C">
        <w:rPr>
          <w:rFonts w:cs="Times New Roman (正文 CS 字体)" w:hint="eastAsia"/>
        </w:rPr>
        <w:t>我的</w:t>
      </w:r>
      <w:r>
        <w:rPr>
          <w:rFonts w:cs="Times New Roman (正文 CS 字体)" w:hint="eastAsia"/>
        </w:rPr>
        <w:t>硕士</w:t>
      </w:r>
      <w:r w:rsidRPr="008F2E1C">
        <w:rPr>
          <w:rFonts w:cs="Times New Roman (正文 CS 字体)" w:hint="eastAsia"/>
        </w:rPr>
        <w:t>导师是薛克</w:t>
      </w:r>
      <w:proofErr w:type="gramStart"/>
      <w:r w:rsidRPr="008F2E1C">
        <w:rPr>
          <w:rFonts w:cs="Times New Roman (正文 CS 字体)" w:hint="eastAsia"/>
        </w:rPr>
        <w:t>谬</w:t>
      </w:r>
      <w:proofErr w:type="gramEnd"/>
      <w:r w:rsidRPr="008F2E1C">
        <w:rPr>
          <w:rFonts w:cs="Times New Roman (正文 CS 字体)" w:hint="eastAsia"/>
        </w:rPr>
        <w:t>老师，他指导文字学方向的研究生。薛老师把我领进文字学之门，他在《说文》部首研究上有很重要的成果。</w:t>
      </w:r>
      <w:r w:rsidRPr="008F2E1C">
        <w:rPr>
          <w:rFonts w:cs="Times New Roman (正文 CS 字体)" w:hint="eastAsia"/>
        </w:rPr>
        <w:lastRenderedPageBreak/>
        <w:t>但在治学兴趣和研究方法上，杨宝忠老师给我的影响最大，他身上有一种很强大的人格魅力和学术感召力。我能自己坚持古文字的学习，并决定走向古文字研究的道路，陈剑先生对我的影响具有决定性的作用。当我</w:t>
      </w:r>
      <w:proofErr w:type="gramStart"/>
      <w:r w:rsidRPr="008F2E1C">
        <w:rPr>
          <w:rFonts w:cs="Times New Roman (正文 CS 字体)" w:hint="eastAsia"/>
        </w:rPr>
        <w:t>感到孤迷时</w:t>
      </w:r>
      <w:proofErr w:type="gramEnd"/>
      <w:r w:rsidRPr="008F2E1C">
        <w:rPr>
          <w:rFonts w:cs="Times New Roman (正文 CS 字体)" w:hint="eastAsia"/>
        </w:rPr>
        <w:t>，他的来信总能给我指明方向。</w:t>
      </w:r>
      <w:r>
        <w:rPr>
          <w:rFonts w:cs="Times New Roman (正文 CS 字体)" w:hint="eastAsia"/>
        </w:rPr>
        <w:t>我最终确定青铜器与金文的研究方向，源自张振林师的指引和培养，我的很多研究思路都来自他的启发和鼓励。《容庚青铜器学》初稿完成后，曾宪通老师给我的意见，对我日后的学术史研究具有重要的指导作用。黄天树师是我的博士后合作导师，他拓展了我的研究视野，给我提供了一个更大的发展空间。写什么类型的文章是学术发展的正轨，赵平安老师给过我指点；金文研究中要避开什么样的坑，刘雨先生给过我告诫。我之所以成为今日的我，离不开众多师长的鼓励、帮助与扶持，离不开众多前辈学者论著的滋养。</w:t>
      </w:r>
    </w:p>
    <w:p w:rsidR="00BA3DB5" w:rsidRDefault="00BA3DB5" w:rsidP="00BA3DB5">
      <w:pPr>
        <w:jc w:val="center"/>
        <w:rPr>
          <w:rFonts w:cs="Times New Roman (正文 CS 字体)"/>
        </w:rPr>
      </w:pPr>
      <w:r w:rsidRPr="000B3CAD">
        <w:rPr>
          <w:rFonts w:cs="Times New Roman (正文 CS 字体)"/>
          <w:noProof/>
        </w:rPr>
        <w:lastRenderedPageBreak/>
        <w:drawing>
          <wp:inline distT="0" distB="0" distL="0" distR="0" wp14:anchorId="55B1522C" wp14:editId="0EAA4CFC">
            <wp:extent cx="5270500" cy="3513667"/>
            <wp:effectExtent l="0" t="0" r="6350" b="0"/>
            <wp:docPr id="6" name="图片 6" descr="C:\Users\shensicong\Desktop\古文字微刊\访谈\013陈英杰\微信图片_2020080813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nsicong\Desktop\古文字微刊\访谈\013陈英杰\微信图片_20200808130401.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270500" cy="3513667"/>
                    </a:xfrm>
                    <a:prstGeom prst="rect">
                      <a:avLst/>
                    </a:prstGeom>
                    <a:noFill/>
                    <a:ln>
                      <a:noFill/>
                    </a:ln>
                  </pic:spPr>
                </pic:pic>
              </a:graphicData>
            </a:graphic>
          </wp:inline>
        </w:drawing>
      </w:r>
    </w:p>
    <w:p w:rsidR="00BA3DB5" w:rsidRDefault="00BA3DB5" w:rsidP="00BA3DB5">
      <w:pPr>
        <w:pStyle w:val="aa"/>
        <w:ind w:firstLine="560"/>
        <w:jc w:val="center"/>
      </w:pPr>
      <w:r w:rsidRPr="000B3CAD">
        <w:rPr>
          <w:rFonts w:hint="eastAsia"/>
        </w:rPr>
        <w:t>黄天树先生、张振林先生及其夫人李桂珍女士、陈英杰先生（从左到右）</w:t>
      </w:r>
    </w:p>
    <w:p w:rsidR="00BA3DB5" w:rsidRPr="008F2E1C" w:rsidRDefault="00BA3DB5" w:rsidP="00BA3DB5">
      <w:pPr>
        <w:pStyle w:val="aa"/>
        <w:ind w:firstLine="560"/>
        <w:jc w:val="center"/>
        <w:rPr>
          <w:rFonts w:hint="eastAsia"/>
        </w:rPr>
      </w:pPr>
    </w:p>
    <w:p w:rsidR="00BA3DB5" w:rsidRPr="00BA3DB5" w:rsidRDefault="00BA3DB5" w:rsidP="00BA3DB5">
      <w:pPr>
        <w:pStyle w:val="aa"/>
        <w:ind w:firstLine="562"/>
        <w:rPr>
          <w:b/>
        </w:rPr>
      </w:pPr>
      <w:r w:rsidRPr="00BA3DB5">
        <w:rPr>
          <w:b/>
        </w:rPr>
        <w:t>5.请</w:t>
      </w:r>
      <w:proofErr w:type="gramStart"/>
      <w:r w:rsidRPr="00BA3DB5">
        <w:rPr>
          <w:b/>
        </w:rPr>
        <w:t>结合您</w:t>
      </w:r>
      <w:proofErr w:type="gramEnd"/>
      <w:r w:rsidRPr="00BA3DB5">
        <w:rPr>
          <w:b/>
        </w:rPr>
        <w:t>的学习和研究经历，为初学者提供一些建议。</w:t>
      </w:r>
    </w:p>
    <w:p w:rsidR="00BA3DB5" w:rsidRDefault="00BA3DB5" w:rsidP="00BA3DB5">
      <w:pPr>
        <w:pStyle w:val="aa"/>
        <w:ind w:firstLine="560"/>
      </w:pPr>
      <w:r w:rsidRPr="001A0967">
        <w:rPr>
          <w:rFonts w:cs="Times New Roman (正文 CS 字体)" w:hint="eastAsia"/>
        </w:rPr>
        <w:t>研究出土文献与古文字，</w:t>
      </w:r>
      <w:proofErr w:type="gramStart"/>
      <w:r w:rsidRPr="001A0967">
        <w:rPr>
          <w:rFonts w:cs="Times New Roman (正文 CS 字体)" w:hint="eastAsia"/>
        </w:rPr>
        <w:t>字感和</w:t>
      </w:r>
      <w:proofErr w:type="gramEnd"/>
      <w:r w:rsidRPr="001A0967">
        <w:rPr>
          <w:rFonts w:cs="Times New Roman (正文 CS 字体)" w:hint="eastAsia"/>
        </w:rPr>
        <w:t>语感尤其重要。</w:t>
      </w:r>
      <w:proofErr w:type="gramStart"/>
      <w:r w:rsidRPr="001A0967">
        <w:rPr>
          <w:rFonts w:cs="Times New Roman (正文 CS 字体)" w:hint="eastAsia"/>
        </w:rPr>
        <w:t>字感就是</w:t>
      </w:r>
      <w:proofErr w:type="gramEnd"/>
      <w:r>
        <w:rPr>
          <w:rFonts w:hint="eastAsia"/>
        </w:rPr>
        <w:t>对字形要敏感。对字形敏感，一是要对字形能够做出正确分析，二是对文字构形演变规律要有正确的认知和把握。为培养字感，我曾采用的方法，一是摹写文字编，阅读《金文诂林》；二是梳理汉字演变脉络。对出土文献的释读，从传世文献中获得的语感非常重要；同时，也要培养对出土文献的语感。其中对虚词和语言时代特点的把握尤其重要。至</w:t>
      </w:r>
      <w:r>
        <w:rPr>
          <w:rFonts w:hint="eastAsia"/>
        </w:rPr>
        <w:lastRenderedPageBreak/>
        <w:t>于培养出土文献的语感，说来惭愧，这方面我没有有意识地下过功夫，但不妨提供一下建议：大家可以从不同时代的出土文献中，选择研究相对比较成熟的篇章进行揣摩背诵，如</w:t>
      </w:r>
      <w:proofErr w:type="gramStart"/>
      <w:r>
        <w:rPr>
          <w:rFonts w:hint="eastAsia"/>
        </w:rPr>
        <w:t>郭</w:t>
      </w:r>
      <w:proofErr w:type="gramEnd"/>
      <w:r>
        <w:rPr>
          <w:rFonts w:hint="eastAsia"/>
        </w:rPr>
        <w:t>店楚简《老子》，睡</w:t>
      </w:r>
      <w:proofErr w:type="gramStart"/>
      <w:r>
        <w:rPr>
          <w:rFonts w:hint="eastAsia"/>
        </w:rPr>
        <w:t>虎地秦简</w:t>
      </w:r>
      <w:proofErr w:type="gramEnd"/>
      <w:r>
        <w:rPr>
          <w:rFonts w:hint="eastAsia"/>
        </w:rPr>
        <w:t>《语书》等，甲骨、金文都可以这样做。</w:t>
      </w:r>
    </w:p>
    <w:p w:rsidR="00BA3DB5" w:rsidRPr="00BA3DB5" w:rsidRDefault="00BA3DB5" w:rsidP="00BA3DB5">
      <w:pPr>
        <w:pStyle w:val="aa"/>
        <w:ind w:firstLine="560"/>
        <w:rPr>
          <w:rFonts w:hint="eastAsia"/>
        </w:rPr>
      </w:pPr>
    </w:p>
    <w:p w:rsidR="00BA3DB5" w:rsidRPr="00BA3DB5" w:rsidRDefault="00BA3DB5" w:rsidP="00BA3DB5">
      <w:pPr>
        <w:pStyle w:val="aa"/>
        <w:ind w:firstLine="562"/>
        <w:rPr>
          <w:b/>
        </w:rPr>
      </w:pPr>
      <w:r w:rsidRPr="00BA3DB5">
        <w:rPr>
          <w:b/>
        </w:rPr>
        <w:t>6.在数字化和信息化的时代，电脑技术或网络资源对您的研究具有什么样的影响或作用？</w:t>
      </w:r>
    </w:p>
    <w:p w:rsidR="00BA3DB5" w:rsidRDefault="00BA3DB5" w:rsidP="00BA3DB5">
      <w:pPr>
        <w:pStyle w:val="aa"/>
        <w:ind w:firstLine="560"/>
      </w:pPr>
      <w:r>
        <w:rPr>
          <w:rFonts w:hint="eastAsia"/>
        </w:rPr>
        <w:t>我对计算机技术了解不多，研究手段比较落后，手工性还比较强。但对于信息化、数字化技术给研究带来的便利是有切身感受的。当今论著的写作及发表速度以及各种研究资料、学术信息的发布渠道和传播速度，远非我读博那会儿所能相比。研究资料的数字化，大大提高了资料获取的效率。利用期刊数据库，只要输入相关检索关键词，所需要的文献立即可以成批量下载阅读。数字化技术使资料穷尽式整理分析的可能性也越来越大。但电脑给研究带来便利的同时，也给人脑带来困境：首先，大家明显感觉到，由于发表、出版速度太快，各种研究成果“积如丘山”，有一种读不过来的苦恼。其次，由于发表媒介的多元化，很难把各种研究意见和学术见解都搜集起来，比如发表于网络的各种评论和跟帖。另外，大数据技术跟知识产权保护又产生</w:t>
      </w:r>
      <w:r>
        <w:rPr>
          <w:rFonts w:hint="eastAsia"/>
        </w:rPr>
        <w:lastRenderedPageBreak/>
        <w:t>矛盾，</w:t>
      </w:r>
      <w:r w:rsidRPr="004C2BFE">
        <w:rPr>
          <w:rFonts w:hint="eastAsia"/>
        </w:rPr>
        <w:t>像</w:t>
      </w:r>
      <w:r>
        <w:rPr>
          <w:rFonts w:hint="eastAsia"/>
        </w:rPr>
        <w:t>国学大师网，近期由于知识产权问题，很多工具书下</w:t>
      </w:r>
      <w:proofErr w:type="gramStart"/>
      <w:r>
        <w:rPr>
          <w:rFonts w:hint="eastAsia"/>
        </w:rPr>
        <w:t>架无法</w:t>
      </w:r>
      <w:proofErr w:type="gramEnd"/>
      <w:r>
        <w:rPr>
          <w:rFonts w:hint="eastAsia"/>
        </w:rPr>
        <w:t>使用了，由于已经习惯使用它进行各种检索，现在深感不便。希望计算机专家和专业研究者结合起来，利用大数据技术，不断开拓、完善研究所需要的各种技术手段（比如检索技术、统计技术等），给研究者提供越来越多的便利，推进学术研究的深入发展。</w:t>
      </w:r>
    </w:p>
    <w:p w:rsidR="00BA3DB5" w:rsidRDefault="00BA3DB5" w:rsidP="00BA3DB5">
      <w:pPr>
        <w:pStyle w:val="aa"/>
        <w:ind w:firstLine="560"/>
        <w:rPr>
          <w:rFonts w:hint="eastAsia"/>
        </w:rPr>
      </w:pPr>
    </w:p>
    <w:p w:rsidR="00BA3DB5" w:rsidRPr="00BA3DB5" w:rsidRDefault="00BA3DB5" w:rsidP="00BA3DB5">
      <w:pPr>
        <w:pStyle w:val="aa"/>
        <w:ind w:firstLine="562"/>
        <w:rPr>
          <w:b/>
        </w:rPr>
      </w:pPr>
      <w:r w:rsidRPr="00BA3DB5">
        <w:rPr>
          <w:b/>
        </w:rPr>
        <w:t>7.出土文献与古文字研究与众不同的一点，在于许多论文或观点是发布在专业学术网站上甚至相关论坛的</w:t>
      </w:r>
      <w:proofErr w:type="gramStart"/>
      <w:r w:rsidRPr="00BA3DB5">
        <w:rPr>
          <w:b/>
        </w:rPr>
        <w:t>跟帖里的</w:t>
      </w:r>
      <w:proofErr w:type="gramEnd"/>
      <w:r w:rsidRPr="00BA3DB5">
        <w:rPr>
          <w:b/>
        </w:rPr>
        <w:t>，您如何看待这一现象？您对相关的学术规范有何认识或思考？</w:t>
      </w:r>
    </w:p>
    <w:p w:rsidR="00BA3DB5" w:rsidRDefault="00BA3DB5" w:rsidP="00BA3DB5">
      <w:pPr>
        <w:pStyle w:val="aa"/>
        <w:ind w:firstLine="560"/>
      </w:pPr>
      <w:r w:rsidRPr="0086702A">
        <w:rPr>
          <w:rFonts w:hint="eastAsia"/>
        </w:rPr>
        <w:t>论文在网站发表，较之纸质出版物，大大缩短了面世的周期，对学术发展的推动作用是明显的。建议相关学术机构或国家职能部门尽快制定相关规范，网站对论文负起严格审核的责任，让网络论文获得与期刊论文同等的待遇。另外，纸</w:t>
      </w:r>
      <w:proofErr w:type="gramStart"/>
      <w:r w:rsidRPr="0086702A">
        <w:rPr>
          <w:rFonts w:hint="eastAsia"/>
        </w:rPr>
        <w:t>媒与网媒具有</w:t>
      </w:r>
      <w:proofErr w:type="gramEnd"/>
      <w:r w:rsidRPr="0086702A">
        <w:rPr>
          <w:rFonts w:hint="eastAsia"/>
        </w:rPr>
        <w:t>不同的审核传播渠道与收藏价值，我认为，</w:t>
      </w:r>
      <w:proofErr w:type="gramStart"/>
      <w:r w:rsidRPr="0086702A">
        <w:rPr>
          <w:rFonts w:hint="eastAsia"/>
        </w:rPr>
        <w:t>网媒发表</w:t>
      </w:r>
      <w:proofErr w:type="gramEnd"/>
      <w:r w:rsidRPr="0086702A">
        <w:rPr>
          <w:rFonts w:hint="eastAsia"/>
        </w:rPr>
        <w:t>后并不妨碍纸媒的发表（注明首发时间）。同样，</w:t>
      </w:r>
      <w:proofErr w:type="gramStart"/>
      <w:r w:rsidRPr="0086702A">
        <w:rPr>
          <w:rFonts w:hint="eastAsia"/>
        </w:rPr>
        <w:t>纸媒上的</w:t>
      </w:r>
      <w:proofErr w:type="gramEnd"/>
      <w:r w:rsidRPr="0086702A">
        <w:rPr>
          <w:rFonts w:hint="eastAsia"/>
        </w:rPr>
        <w:t>论文也应该考虑尽快发布网络版，加快学术信息的传播速度。</w:t>
      </w:r>
      <w:proofErr w:type="gramStart"/>
      <w:r w:rsidRPr="0086702A">
        <w:rPr>
          <w:rFonts w:hint="eastAsia"/>
        </w:rPr>
        <w:t>跟帖对某</w:t>
      </w:r>
      <w:proofErr w:type="gramEnd"/>
      <w:r w:rsidRPr="0086702A">
        <w:rPr>
          <w:rFonts w:hint="eastAsia"/>
        </w:rPr>
        <w:t>一个学术问题即时讨论，有其优势，但讨论比较随便，学术严谨性往往不够，而且对于一般阅读或引用者也非常不便。我觉得，直接参与者引用</w:t>
      </w:r>
      <w:proofErr w:type="gramStart"/>
      <w:r w:rsidRPr="0086702A">
        <w:rPr>
          <w:rFonts w:hint="eastAsia"/>
        </w:rPr>
        <w:t>相关跟帖观点</w:t>
      </w:r>
      <w:proofErr w:type="gramEnd"/>
      <w:r w:rsidRPr="0086702A">
        <w:rPr>
          <w:rFonts w:hint="eastAsia"/>
        </w:rPr>
        <w:t>时应该注明，一般写作</w:t>
      </w:r>
      <w:r w:rsidRPr="0086702A">
        <w:rPr>
          <w:rFonts w:hint="eastAsia"/>
        </w:rPr>
        <w:lastRenderedPageBreak/>
        <w:t>者对其可以忽略。所以，跟帖中有价值的观点，还是写成论文，通过正式渠道发表。</w:t>
      </w:r>
    </w:p>
    <w:p w:rsidR="00BA3DB5" w:rsidRDefault="00BA3DB5" w:rsidP="00BA3DB5">
      <w:pPr>
        <w:pStyle w:val="aa"/>
        <w:ind w:firstLine="560"/>
        <w:rPr>
          <w:rFonts w:hint="eastAsia"/>
        </w:rPr>
      </w:pPr>
    </w:p>
    <w:p w:rsidR="00BA3DB5" w:rsidRPr="00BA3DB5" w:rsidRDefault="00BA3DB5" w:rsidP="00BA3DB5">
      <w:pPr>
        <w:pStyle w:val="aa"/>
        <w:ind w:firstLine="562"/>
        <w:rPr>
          <w:b/>
        </w:rPr>
      </w:pPr>
      <w:r w:rsidRPr="00BA3DB5">
        <w:rPr>
          <w:b/>
        </w:rPr>
        <w:t>8.您如何处理学术研究与其他日常生活之间的关系？学术之外您有何锻炼或休闲活动？</w:t>
      </w:r>
    </w:p>
    <w:p w:rsidR="00BA3DB5" w:rsidRDefault="00BA3DB5" w:rsidP="00BA3DB5">
      <w:pPr>
        <w:pStyle w:val="aa"/>
        <w:ind w:firstLine="560"/>
      </w:pPr>
      <w:r w:rsidRPr="0086702A">
        <w:rPr>
          <w:rFonts w:hint="eastAsia"/>
        </w:rPr>
        <w:t>学术活动与其他日常生活的冲突，跟家庭成员的职业类型有较大关系。一个人也不可能时时刻刻都在做研究，买菜做饭收拾家务可以让大脑转换一下频道，是另一种形式的休息。什么事都需要“停一停”，就</w:t>
      </w:r>
      <w:r w:rsidRPr="004C2BFE">
        <w:rPr>
          <w:rFonts w:hint="eastAsia"/>
        </w:rPr>
        <w:t>像</w:t>
      </w:r>
      <w:r w:rsidRPr="0086702A">
        <w:rPr>
          <w:rFonts w:hint="eastAsia"/>
        </w:rPr>
        <w:t>电脑、路由器使用时间长了，就要关掉电源清理缓存一样。道理是相通的。我以前基本不锻炼，不同类型的书</w:t>
      </w:r>
      <w:proofErr w:type="gramStart"/>
      <w:r w:rsidRPr="0086702A">
        <w:rPr>
          <w:rFonts w:hint="eastAsia"/>
        </w:rPr>
        <w:t>转换着</w:t>
      </w:r>
      <w:proofErr w:type="gramEnd"/>
      <w:r w:rsidRPr="0086702A">
        <w:rPr>
          <w:rFonts w:hint="eastAsia"/>
        </w:rPr>
        <w:t>看，大脑就可以得到休息。但近年随着年龄渐长，效率降低，加之腰颈椎病的困扰，现在每天都保证走一个小时的路，做做颈椎保健操。人一生的精力是恒定的，建议年轻学子不要透支身体，过有规律的生活，让自己的学术生命尽量长久一些。</w:t>
      </w:r>
    </w:p>
    <w:p w:rsidR="00BA3DB5" w:rsidRDefault="00BA3DB5" w:rsidP="00BA3DB5">
      <w:pPr>
        <w:pStyle w:val="aa"/>
        <w:ind w:firstLine="560"/>
      </w:pPr>
    </w:p>
    <w:p w:rsidR="00BA3DB5" w:rsidRPr="0086702A" w:rsidRDefault="00BA3DB5" w:rsidP="00BA3DB5">
      <w:pPr>
        <w:pStyle w:val="aa"/>
        <w:ind w:firstLine="560"/>
      </w:pPr>
      <w:r w:rsidRPr="005501F5">
        <w:rPr>
          <w:rFonts w:hint="eastAsia"/>
        </w:rPr>
        <w:t>感谢陈英杰先生接受访谈。本文所有图片均蒙陈先生提供。</w:t>
      </w:r>
    </w:p>
    <w:bookmarkEnd w:id="0"/>
    <w:p w:rsidR="00F15F78" w:rsidRPr="00BA3DB5" w:rsidRDefault="00F15F78" w:rsidP="00BA3DB5">
      <w:pPr>
        <w:pStyle w:val="aa"/>
        <w:ind w:firstLine="560"/>
      </w:pPr>
    </w:p>
    <w:sectPr w:rsidR="00F15F78" w:rsidRPr="00BA3DB5">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214" w:rsidRDefault="00B66214" w:rsidP="00CB0024">
      <w:r>
        <w:separator/>
      </w:r>
    </w:p>
  </w:endnote>
  <w:endnote w:type="continuationSeparator" w:id="0">
    <w:p w:rsidR="00B66214" w:rsidRDefault="00B66214"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 w:name="Times New Roman (正文 CS 字体)">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BA3DB5">
      <w:rPr>
        <w:rFonts w:hint="eastAsia"/>
        <w:sz w:val="18"/>
        <w:szCs w:val="18"/>
      </w:rPr>
      <w:t>8</w:t>
    </w:r>
    <w:r w:rsidRPr="00C01B1F">
      <w:rPr>
        <w:rFonts w:hint="eastAsia"/>
        <w:sz w:val="18"/>
        <w:szCs w:val="18"/>
      </w:rPr>
      <w:t>月</w:t>
    </w:r>
    <w:r w:rsidR="00BA3DB5">
      <w:rPr>
        <w:rFonts w:hint="eastAsia"/>
        <w:sz w:val="18"/>
        <w:szCs w:val="18"/>
      </w:rPr>
      <w:t>17</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BF3F80">
      <w:rPr>
        <w:rFonts w:hint="eastAsia"/>
        <w:sz w:val="18"/>
        <w:szCs w:val="18"/>
      </w:rPr>
      <w:t>1</w:t>
    </w:r>
    <w:r w:rsidR="00BA3DB5">
      <w:rPr>
        <w:rFonts w:hint="eastAsia"/>
        <w:sz w:val="18"/>
        <w:szCs w:val="18"/>
      </w:rPr>
      <w:t>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214" w:rsidRDefault="00B66214" w:rsidP="00CB0024">
      <w:r>
        <w:separator/>
      </w:r>
    </w:p>
  </w:footnote>
  <w:footnote w:type="continuationSeparator" w:id="0">
    <w:p w:rsidR="00B66214" w:rsidRDefault="00B66214"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BF3F80">
      <w:rPr>
        <w:rFonts w:hint="eastAsia"/>
      </w:rPr>
      <w:t>1</w:t>
    </w:r>
    <w:r w:rsidR="00BA3DB5">
      <w:rPr>
        <w:rFonts w:hint="eastAsia"/>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5pt;height:49.5pt;visibility:visible" o:bullet="t">
        <v:imagedata r:id="rId1" o:title=""/>
      </v:shape>
    </w:pict>
  </w:numPicBullet>
  <w:numPicBullet w:numPicBulletId="1">
    <w:pict>
      <v:shape id="_x0000_i1033"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F15777"/>
    <w:multiLevelType w:val="hybridMultilevel"/>
    <w:tmpl w:val="4CD0330C"/>
    <w:lvl w:ilvl="0" w:tplc="E3909C4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2"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5"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B43457F"/>
    <w:multiLevelType w:val="hybridMultilevel"/>
    <w:tmpl w:val="40DEF06A"/>
    <w:lvl w:ilvl="0" w:tplc="7C44B2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9924C0"/>
    <w:multiLevelType w:val="hybridMultilevel"/>
    <w:tmpl w:val="4A8C61CC"/>
    <w:lvl w:ilvl="0" w:tplc="BE30E0B4">
      <w:start w:val="1"/>
      <w:numFmt w:val="decimal"/>
      <w:lvlText w:val="（%1）"/>
      <w:lvlJc w:val="center"/>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2"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6" w15:restartNumberingAfterBreak="0">
    <w:nsid w:val="5A707373"/>
    <w:multiLevelType w:val="singleLevel"/>
    <w:tmpl w:val="5A707373"/>
    <w:lvl w:ilvl="0">
      <w:start w:val="1"/>
      <w:numFmt w:val="chineseCounting"/>
      <w:suff w:val="nothing"/>
      <w:lvlText w:val="第%1，"/>
      <w:lvlJc w:val="left"/>
    </w:lvl>
  </w:abstractNum>
  <w:abstractNum w:abstractNumId="27"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CBECB91"/>
    <w:multiLevelType w:val="singleLevel"/>
    <w:tmpl w:val="5CBECB91"/>
    <w:lvl w:ilvl="0">
      <w:start w:val="1"/>
      <w:numFmt w:val="chineseCounting"/>
      <w:suff w:val="nothing"/>
      <w:lvlText w:val="%1、"/>
      <w:lvlJc w:val="left"/>
    </w:lvl>
  </w:abstractNum>
  <w:abstractNum w:abstractNumId="29"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09B69F8"/>
    <w:multiLevelType w:val="hybridMultilevel"/>
    <w:tmpl w:val="3412E0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2"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4" w15:restartNumberingAfterBreak="0">
    <w:nsid w:val="68AC617E"/>
    <w:multiLevelType w:val="hybridMultilevel"/>
    <w:tmpl w:val="BE86C758"/>
    <w:lvl w:ilvl="0" w:tplc="7C44B21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6"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9"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40"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3"/>
  </w:num>
  <w:num w:numId="2">
    <w:abstractNumId w:val="38"/>
  </w:num>
  <w:num w:numId="3">
    <w:abstractNumId w:val="14"/>
  </w:num>
  <w:num w:numId="4">
    <w:abstractNumId w:val="25"/>
  </w:num>
  <w:num w:numId="5">
    <w:abstractNumId w:val="3"/>
  </w:num>
  <w:num w:numId="6">
    <w:abstractNumId w:val="26"/>
  </w:num>
  <w:num w:numId="7">
    <w:abstractNumId w:val="16"/>
  </w:num>
  <w:num w:numId="8">
    <w:abstractNumId w:val="1"/>
    <w:lvlOverride w:ilvl="0">
      <w:startOverride w:val="1"/>
    </w:lvlOverride>
  </w:num>
  <w:num w:numId="9">
    <w:abstractNumId w:val="0"/>
    <w:lvlOverride w:ilvl="0">
      <w:startOverride w:val="1"/>
    </w:lvlOverride>
  </w:num>
  <w:num w:numId="10">
    <w:abstractNumId w:val="37"/>
  </w:num>
  <w:num w:numId="11">
    <w:abstractNumId w:val="28"/>
  </w:num>
  <w:num w:numId="12">
    <w:abstractNumId w:val="22"/>
  </w:num>
  <w:num w:numId="13">
    <w:abstractNumId w:val="36"/>
  </w:num>
  <w:num w:numId="14">
    <w:abstractNumId w:val="5"/>
  </w:num>
  <w:num w:numId="15">
    <w:abstractNumId w:val="23"/>
  </w:num>
  <w:num w:numId="16">
    <w:abstractNumId w:val="10"/>
  </w:num>
  <w:num w:numId="17">
    <w:abstractNumId w:val="9"/>
  </w:num>
  <w:num w:numId="18">
    <w:abstractNumId w:val="15"/>
  </w:num>
  <w:num w:numId="19">
    <w:abstractNumId w:val="40"/>
  </w:num>
  <w:num w:numId="20">
    <w:abstractNumId w:val="12"/>
  </w:num>
  <w:num w:numId="21">
    <w:abstractNumId w:val="35"/>
  </w:num>
  <w:num w:numId="22">
    <w:abstractNumId w:val="41"/>
  </w:num>
  <w:num w:numId="23">
    <w:abstractNumId w:val="24"/>
  </w:num>
  <w:num w:numId="24">
    <w:abstractNumId w:val="18"/>
  </w:num>
  <w:num w:numId="25">
    <w:abstractNumId w:val="7"/>
  </w:num>
  <w:num w:numId="26">
    <w:abstractNumId w:val="11"/>
  </w:num>
  <w:num w:numId="27">
    <w:abstractNumId w:val="2"/>
  </w:num>
  <w:num w:numId="28">
    <w:abstractNumId w:val="4"/>
  </w:num>
  <w:num w:numId="29">
    <w:abstractNumId w:val="21"/>
  </w:num>
  <w:num w:numId="30">
    <w:abstractNumId w:val="33"/>
  </w:num>
  <w:num w:numId="31">
    <w:abstractNumId w:val="39"/>
  </w:num>
  <w:num w:numId="32">
    <w:abstractNumId w:val="31"/>
  </w:num>
  <w:num w:numId="33">
    <w:abstractNumId w:val="17"/>
  </w:num>
  <w:num w:numId="34">
    <w:abstractNumId w:val="29"/>
  </w:num>
  <w:num w:numId="35">
    <w:abstractNumId w:val="27"/>
  </w:num>
  <w:num w:numId="36">
    <w:abstractNumId w:val="8"/>
  </w:num>
  <w:num w:numId="37">
    <w:abstractNumId w:val="32"/>
  </w:num>
  <w:num w:numId="38">
    <w:abstractNumId w:val="20"/>
  </w:num>
  <w:num w:numId="39">
    <w:abstractNumId w:val="30"/>
  </w:num>
  <w:num w:numId="40">
    <w:abstractNumId w:val="19"/>
  </w:num>
  <w:num w:numId="41">
    <w:abstractNumId w:val="34"/>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7AFE"/>
    <w:rsid w:val="001E3CB2"/>
    <w:rsid w:val="001E3E65"/>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743E"/>
    <w:rsid w:val="002819AA"/>
    <w:rsid w:val="0028213F"/>
    <w:rsid w:val="0028247A"/>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3289"/>
    <w:rsid w:val="003C4800"/>
    <w:rsid w:val="003C4D06"/>
    <w:rsid w:val="003D04C9"/>
    <w:rsid w:val="003D1C8E"/>
    <w:rsid w:val="003D46B8"/>
    <w:rsid w:val="003E1354"/>
    <w:rsid w:val="003E1502"/>
    <w:rsid w:val="003E181C"/>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0C82"/>
    <w:rsid w:val="005C1A21"/>
    <w:rsid w:val="005C51B2"/>
    <w:rsid w:val="005D22B2"/>
    <w:rsid w:val="005D2BA7"/>
    <w:rsid w:val="005D2F69"/>
    <w:rsid w:val="005D41AE"/>
    <w:rsid w:val="005D72AD"/>
    <w:rsid w:val="005D7963"/>
    <w:rsid w:val="005E2C50"/>
    <w:rsid w:val="005E4682"/>
    <w:rsid w:val="005E692D"/>
    <w:rsid w:val="005F7DCE"/>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75FAC"/>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16B"/>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66214"/>
    <w:rsid w:val="00B7298C"/>
    <w:rsid w:val="00B73A04"/>
    <w:rsid w:val="00B75C45"/>
    <w:rsid w:val="00B8095D"/>
    <w:rsid w:val="00B81622"/>
    <w:rsid w:val="00B831B3"/>
    <w:rsid w:val="00B8604A"/>
    <w:rsid w:val="00B92CC7"/>
    <w:rsid w:val="00B92CE9"/>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E731E"/>
    <w:rsid w:val="00BF358E"/>
    <w:rsid w:val="00BF3F80"/>
    <w:rsid w:val="00BF5F1D"/>
    <w:rsid w:val="00C037A6"/>
    <w:rsid w:val="00C03F8A"/>
    <w:rsid w:val="00C200D7"/>
    <w:rsid w:val="00C217A0"/>
    <w:rsid w:val="00C24A2E"/>
    <w:rsid w:val="00C25CFC"/>
    <w:rsid w:val="00C32FE1"/>
    <w:rsid w:val="00C36956"/>
    <w:rsid w:val="00C40577"/>
    <w:rsid w:val="00C405CB"/>
    <w:rsid w:val="00C432BA"/>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7D"/>
    <w:rsid w:val="00D71F81"/>
    <w:rsid w:val="00D726F9"/>
    <w:rsid w:val="00D731D5"/>
    <w:rsid w:val="00D756A9"/>
    <w:rsid w:val="00D815E1"/>
    <w:rsid w:val="00D81F8C"/>
    <w:rsid w:val="00D84579"/>
    <w:rsid w:val="00D859D5"/>
    <w:rsid w:val="00D85C5E"/>
    <w:rsid w:val="00D875E6"/>
    <w:rsid w:val="00D91E89"/>
    <w:rsid w:val="00D94D4A"/>
    <w:rsid w:val="00D95097"/>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0773"/>
    <w:rsid w:val="00F94E59"/>
    <w:rsid w:val="00FA3C18"/>
    <w:rsid w:val="00FA72F5"/>
    <w:rsid w:val="00FB1AFD"/>
    <w:rsid w:val="00FB45B2"/>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6A9C8"/>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0835B-54A5-4D22-A2C8-87624E9CC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16</Pages>
  <Words>2695</Words>
  <Characters>2695</Characters>
  <Application>Microsoft Office Word</Application>
  <DocSecurity>0</DocSecurity>
  <Lines>112</Lines>
  <Paragraphs>33</Paragraphs>
  <ScaleCrop>false</ScaleCrop>
  <Company>GWZ</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360</cp:revision>
  <dcterms:created xsi:type="dcterms:W3CDTF">2019-09-16T14:32:00Z</dcterms:created>
  <dcterms:modified xsi:type="dcterms:W3CDTF">2020-08-18T01:01:00Z</dcterms:modified>
</cp:coreProperties>
</file>