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5B9" w:rsidRPr="00826C3D" w:rsidRDefault="005825B9" w:rsidP="00826C3D">
      <w:pPr>
        <w:pStyle w:val="ab"/>
      </w:pPr>
      <w:bookmarkStart w:id="0" w:name="OLE_LINK2"/>
      <w:bookmarkStart w:id="1" w:name="OLE_LINK5"/>
      <w:r w:rsidRPr="00826C3D">
        <w:rPr>
          <w:rFonts w:hint="eastAsia"/>
        </w:rPr>
        <w:t>《張家山漢簡·二年律令》</w:t>
      </w:r>
      <w:bookmarkEnd w:id="0"/>
      <w:proofErr w:type="gramStart"/>
      <w:r w:rsidRPr="00826C3D">
        <w:rPr>
          <w:rFonts w:hint="eastAsia"/>
        </w:rPr>
        <w:t>札</w:t>
      </w:r>
      <w:proofErr w:type="gramEnd"/>
      <w:r w:rsidRPr="00826C3D">
        <w:rPr>
          <w:rFonts w:hint="eastAsia"/>
        </w:rPr>
        <w:t>記</w:t>
      </w:r>
    </w:p>
    <w:p w:rsidR="005825B9" w:rsidRPr="00826C3D" w:rsidRDefault="005825B9" w:rsidP="00826C3D">
      <w:pPr>
        <w:pStyle w:val="ab"/>
      </w:pPr>
      <w:r w:rsidRPr="00826C3D">
        <w:rPr>
          <w:rFonts w:hint="eastAsia"/>
        </w:rPr>
        <w:t>——</w:t>
      </w:r>
      <w:proofErr w:type="gramStart"/>
      <w:r w:rsidRPr="00826C3D">
        <w:rPr>
          <w:rFonts w:hint="eastAsia"/>
        </w:rPr>
        <w:t>對</w:t>
      </w:r>
      <w:proofErr w:type="gramEnd"/>
      <w:r w:rsidRPr="00826C3D">
        <w:rPr>
          <w:rFonts w:hint="eastAsia"/>
        </w:rPr>
        <w:t>“否吏及宦”句式簡文及相關問題的釋讀</w:t>
      </w:r>
    </w:p>
    <w:p w:rsidR="005825B9" w:rsidRPr="00826C3D" w:rsidRDefault="005825B9" w:rsidP="00826C3D"/>
    <w:p w:rsidR="00826C3D" w:rsidRDefault="00826C3D" w:rsidP="00826C3D">
      <w:pPr>
        <w:pStyle w:val="ac"/>
      </w:pPr>
      <w:r w:rsidRPr="00826C3D">
        <w:rPr>
          <w:rFonts w:hint="eastAsia"/>
        </w:rPr>
        <w:t>（首發）</w:t>
      </w:r>
    </w:p>
    <w:p w:rsidR="00532023" w:rsidRDefault="005825B9" w:rsidP="00826C3D">
      <w:pPr>
        <w:pStyle w:val="ac"/>
      </w:pPr>
      <w:r w:rsidRPr="00826C3D">
        <w:rPr>
          <w:rFonts w:hint="eastAsia"/>
        </w:rPr>
        <w:t>范鵬偉</w:t>
      </w:r>
    </w:p>
    <w:p w:rsidR="00826C3D" w:rsidRPr="00826C3D" w:rsidRDefault="00826C3D" w:rsidP="00826C3D">
      <w:pPr>
        <w:pStyle w:val="ac"/>
      </w:pPr>
      <w:r w:rsidRPr="00826C3D">
        <w:rPr>
          <w:rFonts w:hint="eastAsia"/>
        </w:rPr>
        <w:t>科學出版社</w:t>
      </w:r>
    </w:p>
    <w:p w:rsidR="005825B9" w:rsidRPr="00826C3D" w:rsidRDefault="005825B9" w:rsidP="00826C3D"/>
    <w:p w:rsidR="00CB7523" w:rsidRPr="00826C3D" w:rsidRDefault="005825B9" w:rsidP="00CB7523">
      <w:pPr>
        <w:pStyle w:val="aa"/>
        <w:ind w:firstLine="560"/>
      </w:pPr>
      <w:r w:rsidRPr="00826C3D">
        <w:rPr>
          <w:rFonts w:hint="eastAsia"/>
        </w:rPr>
        <w:t>張家山漢簡《二年律令》中多處出現“宦皇帝”“宦皇帝者”“宦”等詞，給漢代的皇帝制度以及職官制度的研究</w:t>
      </w:r>
      <w:proofErr w:type="gramStart"/>
      <w:r w:rsidRPr="00826C3D">
        <w:rPr>
          <w:rFonts w:hint="eastAsia"/>
        </w:rPr>
        <w:t>帶</w:t>
      </w:r>
      <w:proofErr w:type="gramEnd"/>
      <w:r w:rsidRPr="00826C3D">
        <w:rPr>
          <w:rFonts w:hint="eastAsia"/>
        </w:rPr>
        <w:t>來了源頭活水。裘錫</w:t>
      </w:r>
      <w:proofErr w:type="gramStart"/>
      <w:r w:rsidRPr="00826C3D">
        <w:rPr>
          <w:rFonts w:hint="eastAsia"/>
        </w:rPr>
        <w:t>圭</w:t>
      </w:r>
      <w:proofErr w:type="gramEnd"/>
      <w:r w:rsidRPr="00826C3D">
        <w:rPr>
          <w:rFonts w:hint="eastAsia"/>
        </w:rPr>
        <w:t>先生《說“宦皇帝”》一文指出，“宦本是為人臣僕的意思。郎官、謁者之流本是門廊近侍，有類家臣，故以‘宦’稱”。</w:t>
      </w:r>
      <w:r w:rsidR="00CB7523" w:rsidRPr="00826C3D">
        <w:rPr>
          <w:rFonts w:hint="eastAsia"/>
        </w:rPr>
        <w:endnoteReference w:id="1"/>
      </w:r>
      <w:r w:rsidR="00CB7523" w:rsidRPr="00826C3D">
        <w:rPr>
          <w:rFonts w:hint="eastAsia"/>
        </w:rPr>
        <w:t>閻步克先生《論張家山漢簡&lt;二年律令&gt;中的“宦皇帝”》一文不僅進一步研究了“宦皇帝”者的人員構成，指出其“主要包括中大夫、中郎、外郎、謁者、</w:t>
      </w:r>
      <w:proofErr w:type="gramStart"/>
      <w:r w:rsidR="00CB7523" w:rsidRPr="00826C3D">
        <w:rPr>
          <w:rFonts w:hint="eastAsia"/>
        </w:rPr>
        <w:t>執</w:t>
      </w:r>
      <w:proofErr w:type="gramEnd"/>
      <w:r w:rsidR="00CB7523" w:rsidRPr="00826C3D">
        <w:rPr>
          <w:rFonts w:hint="eastAsia"/>
        </w:rPr>
        <w:t>楯、執戟、武士、騶、太子御驂乘、太子舍人等，他們構成了一個侍臣系統。”</w:t>
      </w:r>
      <w:r w:rsidR="00CB7523" w:rsidRPr="00826C3D">
        <w:rPr>
          <w:rFonts w:hint="eastAsia"/>
        </w:rPr>
        <w:endnoteReference w:id="2"/>
      </w:r>
      <w:r w:rsidR="00CB7523" w:rsidRPr="00826C3D">
        <w:rPr>
          <w:rFonts w:hint="eastAsia"/>
        </w:rPr>
        <w:t>而且重點論述了“宦皇帝”群體與“吏”的不同。</w:t>
      </w:r>
      <w:r w:rsidR="00CB7523" w:rsidRPr="00826C3D">
        <w:rPr>
          <w:rFonts w:hint="eastAsia"/>
        </w:rPr>
        <w:endnoteReference w:id="3"/>
      </w:r>
    </w:p>
    <w:p w:rsidR="00CB7523" w:rsidRPr="00826C3D" w:rsidRDefault="00CB7523" w:rsidP="00CB7523">
      <w:pPr>
        <w:pStyle w:val="aa"/>
        <w:ind w:firstLine="560"/>
      </w:pPr>
      <w:r w:rsidRPr="00826C3D">
        <w:rPr>
          <w:rFonts w:hint="eastAsia"/>
        </w:rPr>
        <w:t>其</w:t>
      </w:r>
      <w:proofErr w:type="gramStart"/>
      <w:r w:rsidRPr="00826C3D">
        <w:rPr>
          <w:rFonts w:hint="eastAsia"/>
        </w:rPr>
        <w:t>後</w:t>
      </w:r>
      <w:proofErr w:type="gramEnd"/>
      <w:r w:rsidRPr="00826C3D">
        <w:rPr>
          <w:rFonts w:hint="eastAsia"/>
        </w:rPr>
        <w:t>又有黃怡君、孫少華等學者對部分簡文中的“宦皇帝”作過討論。黃文指出了閻文</w:t>
      </w:r>
      <w:proofErr w:type="gramStart"/>
      <w:r w:rsidRPr="00826C3D">
        <w:rPr>
          <w:rFonts w:hint="eastAsia"/>
        </w:rPr>
        <w:t>對</w:t>
      </w:r>
      <w:proofErr w:type="gramEnd"/>
      <w:r w:rsidRPr="00826C3D">
        <w:rPr>
          <w:rFonts w:hint="eastAsia"/>
        </w:rPr>
        <w:t>簡210的解讀所存在的問題，認為其中的“非吏及宦”是“非吏及非宦”，同時又認為，簡291—簡293中的“不為吏及宦皇帝者”指的是“不為吏者”與“宦皇帝者”</w:t>
      </w:r>
      <w:r w:rsidRPr="00826C3D">
        <w:rPr>
          <w:rFonts w:hint="eastAsia"/>
        </w:rPr>
        <w:endnoteReference w:id="4"/>
      </w:r>
      <w:r w:rsidRPr="00826C3D">
        <w:rPr>
          <w:rFonts w:hint="eastAsia"/>
        </w:rPr>
        <w:t>；孫文</w:t>
      </w:r>
      <w:proofErr w:type="gramStart"/>
      <w:r w:rsidRPr="00826C3D">
        <w:rPr>
          <w:rFonts w:hint="eastAsia"/>
        </w:rPr>
        <w:t>對</w:t>
      </w:r>
      <w:proofErr w:type="gramEnd"/>
      <w:r w:rsidRPr="00826C3D">
        <w:rPr>
          <w:rFonts w:hint="eastAsia"/>
        </w:rPr>
        <w:lastRenderedPageBreak/>
        <w:t>簡291—簡293中“不為吏及宦皇帝者”的斷句和理解與閻文、黃文相同。</w:t>
      </w:r>
      <w:r w:rsidRPr="00826C3D">
        <w:rPr>
          <w:rFonts w:hint="eastAsia"/>
        </w:rPr>
        <w:endnoteReference w:id="5"/>
      </w:r>
      <w:r w:rsidRPr="00826C3D">
        <w:rPr>
          <w:rFonts w:hint="eastAsia"/>
        </w:rPr>
        <w:t>上述</w:t>
      </w:r>
      <w:proofErr w:type="gramStart"/>
      <w:r w:rsidRPr="00826C3D">
        <w:rPr>
          <w:rFonts w:hint="eastAsia"/>
        </w:rPr>
        <w:t>幾</w:t>
      </w:r>
      <w:proofErr w:type="gramEnd"/>
      <w:r w:rsidRPr="00826C3D">
        <w:rPr>
          <w:rFonts w:hint="eastAsia"/>
        </w:rPr>
        <w:t>篇文章的研究主旨各有不同，但是在具體的討論中對於“非吏及宦”與“不為吏及宦皇帝者”的解讀仍有可商榷之處。本文擬在前人研究的基礎上探討《張家山漢簡·二年律令》“非吏及</w:t>
      </w:r>
      <w:proofErr w:type="gramStart"/>
      <w:r w:rsidRPr="00826C3D">
        <w:rPr>
          <w:rFonts w:hint="eastAsia"/>
        </w:rPr>
        <w:t>宦</w:t>
      </w:r>
      <w:proofErr w:type="gramEnd"/>
      <w:r w:rsidRPr="00826C3D">
        <w:rPr>
          <w:rFonts w:hint="eastAsia"/>
        </w:rPr>
        <w:t>”與“不為吏及宦皇帝者”簡文及相關問題。</w:t>
      </w:r>
    </w:p>
    <w:p w:rsidR="00CB7523" w:rsidRPr="00CB7523" w:rsidRDefault="00CB7523" w:rsidP="00CB7523">
      <w:pPr>
        <w:pStyle w:val="aa"/>
        <w:ind w:firstLine="562"/>
        <w:jc w:val="center"/>
        <w:rPr>
          <w:b/>
        </w:rPr>
      </w:pPr>
      <w:r w:rsidRPr="00CB7523">
        <w:rPr>
          <w:rFonts w:hint="eastAsia"/>
          <w:b/>
        </w:rPr>
        <w:t>一、“非吏及</w:t>
      </w:r>
      <w:proofErr w:type="gramStart"/>
      <w:r w:rsidRPr="00CB7523">
        <w:rPr>
          <w:rFonts w:hint="eastAsia"/>
          <w:b/>
        </w:rPr>
        <w:t>宦</w:t>
      </w:r>
      <w:proofErr w:type="gramEnd"/>
      <w:r w:rsidRPr="00CB7523">
        <w:rPr>
          <w:rFonts w:hint="eastAsia"/>
          <w:b/>
        </w:rPr>
        <w:t>”應指既非吏又非宦</w:t>
      </w:r>
    </w:p>
    <w:p w:rsidR="00CB7523" w:rsidRPr="00826C3D" w:rsidRDefault="00CB7523" w:rsidP="00CB7523">
      <w:pPr>
        <w:pStyle w:val="aa"/>
        <w:ind w:firstLine="560"/>
      </w:pPr>
      <w:r w:rsidRPr="00826C3D">
        <w:rPr>
          <w:rFonts w:hint="eastAsia"/>
        </w:rPr>
        <w:t>《二年律令·置吏律》載：</w:t>
      </w:r>
    </w:p>
    <w:p w:rsidR="00CB7523" w:rsidRPr="00826C3D" w:rsidRDefault="00CB7523" w:rsidP="00CB7523">
      <w:pPr>
        <w:pStyle w:val="a3"/>
        <w:spacing w:before="540" w:after="540"/>
        <w:ind w:firstLine="496"/>
      </w:pPr>
      <w:r w:rsidRPr="00826C3D">
        <w:rPr>
          <w:rFonts w:hint="eastAsia"/>
        </w:rPr>
        <w:t xml:space="preserve">    有任人以為吏，其所任不廉、不勝以免，亦免任者。其非吏及宦也，罰金四兩，戍邊二歲。（二一〇）</w:t>
      </w:r>
      <w:r w:rsidRPr="00826C3D">
        <w:rPr>
          <w:rFonts w:hint="eastAsia"/>
        </w:rPr>
        <w:endnoteReference w:id="6"/>
      </w:r>
    </w:p>
    <w:p w:rsidR="00CB7523" w:rsidRPr="00826C3D" w:rsidRDefault="00CB7523" w:rsidP="00CB7523">
      <w:pPr>
        <w:pStyle w:val="aa"/>
        <w:ind w:firstLine="560"/>
      </w:pPr>
      <w:r w:rsidRPr="00826C3D">
        <w:rPr>
          <w:rFonts w:hint="eastAsia"/>
        </w:rPr>
        <w:t>閻文</w:t>
      </w:r>
      <w:proofErr w:type="gramStart"/>
      <w:r w:rsidRPr="00826C3D">
        <w:rPr>
          <w:rFonts w:hint="eastAsia"/>
        </w:rPr>
        <w:t>對</w:t>
      </w:r>
      <w:proofErr w:type="gramEnd"/>
      <w:r w:rsidRPr="00826C3D">
        <w:rPr>
          <w:rFonts w:hint="eastAsia"/>
        </w:rPr>
        <w:t>此條的解釋存在前後矛盾之處。閻文先說：</w:t>
      </w:r>
    </w:p>
    <w:p w:rsidR="00CB7523" w:rsidRPr="00826C3D" w:rsidRDefault="00CB7523" w:rsidP="00CB7523">
      <w:pPr>
        <w:pStyle w:val="a3"/>
        <w:spacing w:before="540" w:after="540"/>
        <w:ind w:firstLine="496"/>
      </w:pPr>
      <w:r w:rsidRPr="00826C3D">
        <w:rPr>
          <w:rFonts w:hint="eastAsia"/>
        </w:rPr>
        <w:t>對任人不廉不勝者，其人若“非吏”、或者是“宦皇帝者”的話，懲罰是罰金和戍邊；相應可以推知，這人若是“吏”的話，懲罰就是“免任”了。換句話說，“亦免任者”所針對的，應該是“吏”。</w:t>
      </w:r>
      <w:r w:rsidRPr="00826C3D">
        <w:rPr>
          <w:rFonts w:hint="eastAsia"/>
        </w:rPr>
        <w:endnoteReference w:id="7"/>
      </w:r>
    </w:p>
    <w:p w:rsidR="00CB7523" w:rsidRPr="00826C3D" w:rsidRDefault="00CB7523" w:rsidP="00CB7523">
      <w:pPr>
        <w:pStyle w:val="aa"/>
        <w:ind w:firstLineChars="71" w:firstLine="199"/>
      </w:pPr>
      <w:proofErr w:type="gramStart"/>
      <w:r w:rsidRPr="00826C3D">
        <w:rPr>
          <w:rFonts w:hint="eastAsia"/>
        </w:rPr>
        <w:t>後</w:t>
      </w:r>
      <w:proofErr w:type="gramEnd"/>
      <w:r w:rsidRPr="00826C3D">
        <w:rPr>
          <w:rFonts w:hint="eastAsia"/>
        </w:rPr>
        <w:t>面又說：</w:t>
      </w:r>
    </w:p>
    <w:p w:rsidR="00CB7523" w:rsidRPr="00826C3D" w:rsidRDefault="00CB7523" w:rsidP="00CB7523">
      <w:pPr>
        <w:pStyle w:val="a3"/>
        <w:spacing w:before="540" w:after="540"/>
        <w:ind w:firstLine="496"/>
      </w:pPr>
      <w:r w:rsidRPr="00826C3D">
        <w:rPr>
          <w:rFonts w:hint="eastAsia"/>
        </w:rPr>
        <w:t>為什麼對“吏”免官而已，對“宦”者卻不僅是免官，還得罰金和戍</w:t>
      </w:r>
      <w:r w:rsidRPr="00826C3D">
        <w:rPr>
          <w:rFonts w:hint="eastAsia"/>
        </w:rPr>
        <w:lastRenderedPageBreak/>
        <w:t>邊呢？這個道理也很簡單：由前可知，人們之所以肯去“宦皇帝”，衹是為了由宿衛或侍從獲得進身資格；至於做郎官本身，那是沒多大便宜的。......這樣看來，對“宦皇帝者”中任人不善者，若衹是免官的話，不就太便宜他們了麼？一定得加上罰金和戍邊二歲，纔能構成與“吏”之“免任”同等力度的懲罰呢。同時我們看到，對“宦”與“非吏”的懲罰是相同的，</w:t>
      </w:r>
      <w:r w:rsidR="004F3972">
        <w:rPr>
          <w:rFonts w:hint="eastAsia"/>
        </w:rPr>
        <w:t>說明</w:t>
      </w:r>
      <w:r w:rsidRPr="00826C3D">
        <w:rPr>
          <w:rFonts w:hint="eastAsia"/>
        </w:rPr>
        <w:t>在時人看來，“宦”與“非吏”的待遇相近。</w:t>
      </w:r>
      <w:r w:rsidRPr="00826C3D">
        <w:rPr>
          <w:rFonts w:hint="eastAsia"/>
        </w:rPr>
        <w:endnoteReference w:id="8"/>
      </w:r>
    </w:p>
    <w:p w:rsidR="00CB7523" w:rsidRPr="00826C3D" w:rsidRDefault="00CB7523" w:rsidP="00CB7523">
      <w:pPr>
        <w:pStyle w:val="aa"/>
        <w:ind w:firstLineChars="0" w:firstLine="0"/>
      </w:pPr>
      <w:r w:rsidRPr="00826C3D">
        <w:rPr>
          <w:rFonts w:hint="eastAsia"/>
        </w:rPr>
        <w:t>先認</w:t>
      </w:r>
      <w:proofErr w:type="gramStart"/>
      <w:r w:rsidRPr="00826C3D">
        <w:rPr>
          <w:rFonts w:hint="eastAsia"/>
        </w:rPr>
        <w:t>為</w:t>
      </w:r>
      <w:proofErr w:type="gramEnd"/>
      <w:r w:rsidRPr="00826C3D">
        <w:rPr>
          <w:rFonts w:hint="eastAsia"/>
        </w:rPr>
        <w:t>對“非吏”和“宦皇帝者”的懲罰是罰金和戍邊，“免任”針對的是“吏”；</w:t>
      </w:r>
      <w:proofErr w:type="gramStart"/>
      <w:r w:rsidRPr="00826C3D">
        <w:rPr>
          <w:rFonts w:hint="eastAsia"/>
        </w:rPr>
        <w:t>後</w:t>
      </w:r>
      <w:proofErr w:type="gramEnd"/>
      <w:r w:rsidRPr="00826C3D">
        <w:rPr>
          <w:rFonts w:hint="eastAsia"/>
        </w:rPr>
        <w:t>又認為對“宦皇帝者”不僅是免官，還得罰金和戍邊。</w:t>
      </w:r>
    </w:p>
    <w:p w:rsidR="00CB7523" w:rsidRPr="00826C3D" w:rsidRDefault="00CB7523" w:rsidP="00CB7523">
      <w:pPr>
        <w:pStyle w:val="aa"/>
        <w:ind w:firstLine="560"/>
      </w:pPr>
      <w:r w:rsidRPr="00826C3D">
        <w:rPr>
          <w:rFonts w:hint="eastAsia"/>
        </w:rPr>
        <w:t>閻文解讀的問題，除了前述的矛盾之外，還在</w:t>
      </w:r>
      <w:proofErr w:type="gramStart"/>
      <w:r w:rsidRPr="00826C3D">
        <w:rPr>
          <w:rFonts w:hint="eastAsia"/>
        </w:rPr>
        <w:t>於</w:t>
      </w:r>
      <w:proofErr w:type="gramEnd"/>
      <w:r w:rsidRPr="00826C3D">
        <w:rPr>
          <w:rFonts w:hint="eastAsia"/>
        </w:rPr>
        <w:t>：如果</w:t>
      </w:r>
      <w:proofErr w:type="gramStart"/>
      <w:r w:rsidRPr="00826C3D">
        <w:rPr>
          <w:rFonts w:hint="eastAsia"/>
        </w:rPr>
        <w:t>對</w:t>
      </w:r>
      <w:proofErr w:type="gramEnd"/>
      <w:r w:rsidRPr="00826C3D">
        <w:rPr>
          <w:rFonts w:hint="eastAsia"/>
        </w:rPr>
        <w:t>“宦皇帝者”來說，“之所以肯去‘宦皇帝’，衹是為了由宿衛或侍從獲得進身資格”，那麼“免任”應該纔是最致命的懲罰，這一懲罰將直接斷送這些人“獲得進身資格”的基礎，並不是“太便宜”。而且，如果“宦皇帝者”如閻文</w:t>
      </w:r>
      <w:proofErr w:type="gramStart"/>
      <w:r w:rsidRPr="00826C3D">
        <w:rPr>
          <w:rFonts w:hint="eastAsia"/>
        </w:rPr>
        <w:t>後</w:t>
      </w:r>
      <w:proofErr w:type="gramEnd"/>
      <w:r w:rsidRPr="00826C3D">
        <w:rPr>
          <w:rFonts w:hint="eastAsia"/>
        </w:rPr>
        <w:t>來的解讀那樣“不僅是免官，還得罰金和戍邊”，那麼，依據簡文的行文順序，“非吏”者的懲罰也就變成了</w:t>
      </w:r>
      <w:proofErr w:type="gramStart"/>
      <w:r w:rsidRPr="00826C3D">
        <w:rPr>
          <w:rFonts w:hint="eastAsia"/>
        </w:rPr>
        <w:t>既免任</w:t>
      </w:r>
      <w:proofErr w:type="gramEnd"/>
      <w:r w:rsidRPr="00826C3D">
        <w:rPr>
          <w:rFonts w:hint="eastAsia"/>
        </w:rPr>
        <w:t>又罰金、戍邊，可是，對“非吏”而言，本就無職任，</w:t>
      </w:r>
      <w:proofErr w:type="gramStart"/>
      <w:r w:rsidRPr="00826C3D">
        <w:rPr>
          <w:rFonts w:hint="eastAsia"/>
        </w:rPr>
        <w:t>若要免任</w:t>
      </w:r>
      <w:proofErr w:type="gramEnd"/>
      <w:r w:rsidRPr="00826C3D">
        <w:rPr>
          <w:rFonts w:hint="eastAsia"/>
        </w:rPr>
        <w:t>的話，</w:t>
      </w:r>
      <w:proofErr w:type="gramStart"/>
      <w:r w:rsidRPr="00826C3D">
        <w:rPr>
          <w:rFonts w:hint="eastAsia"/>
        </w:rPr>
        <w:t>免何任</w:t>
      </w:r>
      <w:proofErr w:type="gramEnd"/>
      <w:r w:rsidRPr="00826C3D">
        <w:rPr>
          <w:rFonts w:hint="eastAsia"/>
        </w:rPr>
        <w:t>呢？</w:t>
      </w:r>
    </w:p>
    <w:p w:rsidR="00CB7523" w:rsidRPr="00826C3D" w:rsidRDefault="00CB7523" w:rsidP="00CB7523">
      <w:pPr>
        <w:pStyle w:val="aa"/>
        <w:ind w:firstLine="560"/>
      </w:pPr>
      <w:r w:rsidRPr="00826C3D">
        <w:rPr>
          <w:rFonts w:hint="eastAsia"/>
        </w:rPr>
        <w:t>歸根結底，是閻文</w:t>
      </w:r>
      <w:proofErr w:type="gramStart"/>
      <w:r w:rsidRPr="00826C3D">
        <w:rPr>
          <w:rFonts w:hint="eastAsia"/>
        </w:rPr>
        <w:t>對</w:t>
      </w:r>
      <w:proofErr w:type="gramEnd"/>
      <w:r w:rsidRPr="00826C3D">
        <w:rPr>
          <w:rFonts w:hint="eastAsia"/>
        </w:rPr>
        <w:t>簡文“非吏及宦”的解讀出現了失誤。簡文</w:t>
      </w:r>
      <w:proofErr w:type="gramStart"/>
      <w:r w:rsidRPr="00826C3D">
        <w:rPr>
          <w:rFonts w:hint="eastAsia"/>
        </w:rPr>
        <w:t>後</w:t>
      </w:r>
      <w:proofErr w:type="gramEnd"/>
      <w:r w:rsidRPr="00826C3D">
        <w:rPr>
          <w:rFonts w:hint="eastAsia"/>
        </w:rPr>
        <w:t>一句應該斷為：其非“吏及</w:t>
      </w:r>
      <w:proofErr w:type="gramStart"/>
      <w:r w:rsidRPr="00826C3D">
        <w:rPr>
          <w:rFonts w:hint="eastAsia"/>
        </w:rPr>
        <w:t>宦</w:t>
      </w:r>
      <w:proofErr w:type="gramEnd"/>
      <w:r w:rsidRPr="00826C3D">
        <w:rPr>
          <w:rFonts w:hint="eastAsia"/>
        </w:rPr>
        <w:t>也”，罰金四兩，戍邊二歲。“非‘吏</w:t>
      </w:r>
      <w:r w:rsidRPr="00826C3D">
        <w:rPr>
          <w:rFonts w:hint="eastAsia"/>
        </w:rPr>
        <w:lastRenderedPageBreak/>
        <w:t>及宦’”指的是“既非吏又非</w:t>
      </w:r>
      <w:proofErr w:type="gramStart"/>
      <w:r w:rsidRPr="00826C3D">
        <w:rPr>
          <w:rFonts w:hint="eastAsia"/>
        </w:rPr>
        <w:t>宦</w:t>
      </w:r>
      <w:proofErr w:type="gramEnd"/>
      <w:r w:rsidRPr="00826C3D">
        <w:rPr>
          <w:rFonts w:hint="eastAsia"/>
        </w:rPr>
        <w:t>（皇帝者）”。即</w:t>
      </w:r>
      <w:proofErr w:type="gramStart"/>
      <w:r w:rsidRPr="00826C3D">
        <w:rPr>
          <w:rFonts w:hint="eastAsia"/>
        </w:rPr>
        <w:t>對</w:t>
      </w:r>
      <w:proofErr w:type="gramEnd"/>
      <w:r w:rsidRPr="00826C3D">
        <w:rPr>
          <w:rFonts w:hint="eastAsia"/>
        </w:rPr>
        <w:t>既不是吏又不是宦皇帝者的人，懲罰是罰金四兩外加戍邊兩歲。黃</w:t>
      </w:r>
      <w:proofErr w:type="gramStart"/>
      <w:r w:rsidRPr="00826C3D">
        <w:rPr>
          <w:rFonts w:hint="eastAsia"/>
        </w:rPr>
        <w:t>怡</w:t>
      </w:r>
      <w:proofErr w:type="gramEnd"/>
      <w:r w:rsidRPr="00826C3D">
        <w:rPr>
          <w:rFonts w:hint="eastAsia"/>
        </w:rPr>
        <w:t>君《再論張家山漢簡&lt;二年律令·置吏律&gt;簡210的“非吏及宦”》也持此種觀點。</w:t>
      </w:r>
      <w:r w:rsidRPr="00826C3D">
        <w:rPr>
          <w:rFonts w:hint="eastAsia"/>
        </w:rPr>
        <w:endnoteReference w:id="9"/>
      </w:r>
      <w:r w:rsidRPr="00826C3D">
        <w:rPr>
          <w:rFonts w:hint="eastAsia"/>
        </w:rPr>
        <w:t>由</w:t>
      </w:r>
      <w:proofErr w:type="gramStart"/>
      <w:r w:rsidRPr="00826C3D">
        <w:rPr>
          <w:rFonts w:hint="eastAsia"/>
        </w:rPr>
        <w:t>於</w:t>
      </w:r>
      <w:proofErr w:type="gramEnd"/>
      <w:r w:rsidRPr="00826C3D">
        <w:rPr>
          <w:rFonts w:hint="eastAsia"/>
        </w:rPr>
        <w:t>這些人既“非吏”又“非宦皇帝者”，因此他們無職任可免，衹能是罰金加戍邊。與此相</w:t>
      </w:r>
      <w:proofErr w:type="gramStart"/>
      <w:r w:rsidRPr="00826C3D">
        <w:rPr>
          <w:rFonts w:hint="eastAsia"/>
        </w:rPr>
        <w:t>對</w:t>
      </w:r>
      <w:proofErr w:type="gramEnd"/>
      <w:r w:rsidRPr="00826C3D">
        <w:rPr>
          <w:rFonts w:hint="eastAsia"/>
        </w:rPr>
        <w:t>，簡文前一句“有任人以為吏，其所任不廉、不勝以免，亦免任者。”所對應的應該也包括了“吏”和“宦皇帝者”在內。這</w:t>
      </w:r>
      <w:proofErr w:type="gramStart"/>
      <w:r w:rsidRPr="00826C3D">
        <w:rPr>
          <w:rFonts w:hint="eastAsia"/>
        </w:rPr>
        <w:t>樣</w:t>
      </w:r>
      <w:proofErr w:type="gramEnd"/>
      <w:r w:rsidRPr="00826C3D">
        <w:rPr>
          <w:rFonts w:hint="eastAsia"/>
        </w:rPr>
        <w:t>，《二年律令·置吏律》這條簡文，針對的其實是兩類人群：有職任者和無職任者。所任不廉、不</w:t>
      </w:r>
      <w:proofErr w:type="gramStart"/>
      <w:r w:rsidRPr="00826C3D">
        <w:rPr>
          <w:rFonts w:hint="eastAsia"/>
        </w:rPr>
        <w:t>勝</w:t>
      </w:r>
      <w:proofErr w:type="gramEnd"/>
      <w:r w:rsidRPr="00826C3D">
        <w:rPr>
          <w:rFonts w:hint="eastAsia"/>
        </w:rPr>
        <w:t>而被免，置吏者也要承擔連帶責任。置吏者有職任，則免職任；無職任，則罰金、</w:t>
      </w:r>
      <w:proofErr w:type="gramStart"/>
      <w:r w:rsidRPr="00826C3D">
        <w:rPr>
          <w:rFonts w:hint="eastAsia"/>
        </w:rPr>
        <w:t>戍</w:t>
      </w:r>
      <w:proofErr w:type="gramEnd"/>
      <w:r w:rsidRPr="00826C3D">
        <w:rPr>
          <w:rFonts w:hint="eastAsia"/>
        </w:rPr>
        <w:t>邊。我們</w:t>
      </w:r>
      <w:proofErr w:type="gramStart"/>
      <w:r w:rsidRPr="00826C3D">
        <w:rPr>
          <w:rFonts w:hint="eastAsia"/>
        </w:rPr>
        <w:t>從</w:t>
      </w:r>
      <w:proofErr w:type="gramEnd"/>
      <w:r w:rsidRPr="00826C3D">
        <w:rPr>
          <w:rFonts w:hint="eastAsia"/>
        </w:rPr>
        <w:t>傳世史料的記載中也能找到類似的證據。</w:t>
      </w:r>
    </w:p>
    <w:p w:rsidR="00CB7523" w:rsidRPr="00826C3D" w:rsidRDefault="00CB7523" w:rsidP="00CB7523">
      <w:pPr>
        <w:pStyle w:val="aa"/>
        <w:ind w:firstLine="560"/>
      </w:pPr>
      <w:r w:rsidRPr="00826C3D">
        <w:rPr>
          <w:rFonts w:hint="eastAsia"/>
        </w:rPr>
        <w:t>《漢書·何武傳》載：“</w:t>
      </w:r>
      <w:proofErr w:type="gramStart"/>
      <w:r w:rsidRPr="00826C3D">
        <w:rPr>
          <w:rFonts w:hint="eastAsia"/>
        </w:rPr>
        <w:t>徙</w:t>
      </w:r>
      <w:proofErr w:type="gramEnd"/>
      <w:r w:rsidRPr="00826C3D">
        <w:rPr>
          <w:rFonts w:hint="eastAsia"/>
        </w:rPr>
        <w:t>京兆尹。二歲，坐舉方正所舉者召見槃辟雅拜，有司以為詭衆虛偽。武坐左遷楚內史。”</w:t>
      </w:r>
      <w:r w:rsidRPr="00826C3D">
        <w:rPr>
          <w:rFonts w:hint="eastAsia"/>
        </w:rPr>
        <w:endnoteReference w:id="10"/>
      </w:r>
      <w:r w:rsidRPr="00826C3D">
        <w:rPr>
          <w:rFonts w:hint="eastAsia"/>
        </w:rPr>
        <w:t>何武作為京兆尹，舉人不賢，要</w:t>
      </w:r>
      <w:proofErr w:type="gramStart"/>
      <w:r w:rsidRPr="00826C3D">
        <w:rPr>
          <w:rFonts w:hint="eastAsia"/>
        </w:rPr>
        <w:t>受坐</w:t>
      </w:r>
      <w:proofErr w:type="gramEnd"/>
      <w:r w:rsidRPr="00826C3D">
        <w:rPr>
          <w:rFonts w:hint="eastAsia"/>
        </w:rPr>
        <w:t>左遷。《漢書·蕭何傳》載：“（蕭</w:t>
      </w:r>
      <w:proofErr w:type="gramStart"/>
      <w:r w:rsidRPr="00826C3D">
        <w:rPr>
          <w:rFonts w:hint="eastAsia"/>
        </w:rPr>
        <w:t>壽</w:t>
      </w:r>
      <w:proofErr w:type="gramEnd"/>
      <w:r w:rsidRPr="00826C3D">
        <w:rPr>
          <w:rFonts w:hint="eastAsia"/>
        </w:rPr>
        <w:t>成）</w:t>
      </w:r>
      <w:r w:rsidRPr="00826C3D">
        <w:t>坐為太常犧牲瘦免</w:t>
      </w:r>
      <w:r w:rsidRPr="00826C3D">
        <w:rPr>
          <w:rFonts w:hint="eastAsia"/>
        </w:rPr>
        <w:t>。”</w:t>
      </w:r>
      <w:r w:rsidRPr="00826C3D">
        <w:rPr>
          <w:rFonts w:hint="eastAsia"/>
        </w:rPr>
        <w:endnoteReference w:id="11"/>
      </w:r>
      <w:r w:rsidRPr="00826C3D">
        <w:rPr>
          <w:rFonts w:hint="eastAsia"/>
        </w:rPr>
        <w:t>禮儀使用的犧牲較瘦，主要責任當然不在長官太常，而在辦理具體事務的太常僚屬，此條應該可以和“置吏不勝任”的罪名類比。《漢書·杜業傳》載：“</w:t>
      </w:r>
      <w:proofErr w:type="gramStart"/>
      <w:r w:rsidRPr="00826C3D">
        <w:rPr>
          <w:rFonts w:hint="eastAsia"/>
        </w:rPr>
        <w:t>會</w:t>
      </w:r>
      <w:proofErr w:type="gramEnd"/>
      <w:r w:rsidRPr="00826C3D">
        <w:rPr>
          <w:rFonts w:hint="eastAsia"/>
        </w:rPr>
        <w:t>司隸奏業為太常選舉不實，業坐免官，複就國。”</w:t>
      </w:r>
      <w:r w:rsidRPr="00826C3D">
        <w:rPr>
          <w:rFonts w:hint="eastAsia"/>
        </w:rPr>
        <w:endnoteReference w:id="12"/>
      </w:r>
      <w:r w:rsidRPr="00826C3D">
        <w:rPr>
          <w:rFonts w:hint="eastAsia"/>
        </w:rPr>
        <w:t>太常選舉不實，懲罰也是免官。</w:t>
      </w:r>
    </w:p>
    <w:p w:rsidR="00CB7523" w:rsidRPr="00826C3D" w:rsidRDefault="00CB7523" w:rsidP="00CB7523">
      <w:pPr>
        <w:pStyle w:val="aa"/>
        <w:ind w:firstLine="560"/>
      </w:pPr>
      <w:r w:rsidRPr="00826C3D">
        <w:rPr>
          <w:rFonts w:hint="eastAsia"/>
        </w:rPr>
        <w:t>我們再</w:t>
      </w:r>
      <w:proofErr w:type="gramStart"/>
      <w:r w:rsidRPr="00826C3D">
        <w:rPr>
          <w:rFonts w:hint="eastAsia"/>
        </w:rPr>
        <w:t>來</w:t>
      </w:r>
      <w:proofErr w:type="gramEnd"/>
      <w:r w:rsidRPr="00826C3D">
        <w:rPr>
          <w:rFonts w:hint="eastAsia"/>
        </w:rPr>
        <w:t>看兩條處罰案例，作為旁證。《漢書·景帝紀》中載：</w:t>
      </w:r>
    </w:p>
    <w:p w:rsidR="00CB7523" w:rsidRPr="00826C3D" w:rsidRDefault="00CB7523" w:rsidP="00CB7523">
      <w:pPr>
        <w:pStyle w:val="a3"/>
        <w:spacing w:before="540" w:after="540"/>
        <w:ind w:firstLine="496"/>
      </w:pPr>
      <w:r w:rsidRPr="00826C3D">
        <w:rPr>
          <w:rFonts w:hint="eastAsia"/>
        </w:rPr>
        <w:lastRenderedPageBreak/>
        <w:t>吏遷徙免罷，受其故官屬所將監治送財物，</w:t>
      </w:r>
      <w:bookmarkStart w:id="4" w:name="baidusnap3"/>
      <w:bookmarkEnd w:id="4"/>
      <w:r w:rsidRPr="00826C3D">
        <w:rPr>
          <w:rFonts w:hint="eastAsia"/>
        </w:rPr>
        <w:t>奪爵為士伍</w:t>
      </w:r>
      <w:bookmarkStart w:id="5" w:name="baidusnap7"/>
      <w:bookmarkEnd w:id="5"/>
      <w:r w:rsidRPr="00826C3D">
        <w:rPr>
          <w:rFonts w:hint="eastAsia"/>
        </w:rPr>
        <w:t>。免之。無爵，罰金二斤。令沒入所受。</w:t>
      </w:r>
      <w:r w:rsidRPr="00826C3D">
        <w:rPr>
          <w:rFonts w:hint="eastAsia"/>
        </w:rPr>
        <w:endnoteReference w:id="13"/>
      </w:r>
    </w:p>
    <w:p w:rsidR="00CB7523" w:rsidRPr="00826C3D" w:rsidRDefault="00CB7523" w:rsidP="00CB7523">
      <w:pPr>
        <w:pStyle w:val="aa"/>
        <w:ind w:firstLine="560"/>
      </w:pPr>
      <w:r w:rsidRPr="00826C3D">
        <w:rPr>
          <w:rFonts w:hint="eastAsia"/>
        </w:rPr>
        <w:t>吏在遷、</w:t>
      </w:r>
      <w:proofErr w:type="gramStart"/>
      <w:r w:rsidRPr="00826C3D">
        <w:rPr>
          <w:rFonts w:hint="eastAsia"/>
        </w:rPr>
        <w:t>徙</w:t>
      </w:r>
      <w:proofErr w:type="gramEnd"/>
      <w:r w:rsidRPr="00826C3D">
        <w:rPr>
          <w:rFonts w:hint="eastAsia"/>
        </w:rPr>
        <w:t>、免、罷時接受故官屬財物而犯法，所處的懲罰主要有“奪爵”“免之”“罰金”“沒入所受”。遷、</w:t>
      </w:r>
      <w:proofErr w:type="gramStart"/>
      <w:r w:rsidRPr="00826C3D">
        <w:rPr>
          <w:rFonts w:hint="eastAsia"/>
        </w:rPr>
        <w:t>徙</w:t>
      </w:r>
      <w:proofErr w:type="gramEnd"/>
      <w:r w:rsidRPr="00826C3D">
        <w:rPr>
          <w:rFonts w:hint="eastAsia"/>
        </w:rPr>
        <w:t>、免、罷的吏在爵位方面可分為有爵與無爵兩種情況；在職</w:t>
      </w:r>
      <w:proofErr w:type="gramStart"/>
      <w:r w:rsidRPr="00826C3D">
        <w:rPr>
          <w:rFonts w:hint="eastAsia"/>
        </w:rPr>
        <w:t>任方面</w:t>
      </w:r>
      <w:proofErr w:type="gramEnd"/>
      <w:r w:rsidRPr="00826C3D">
        <w:rPr>
          <w:rFonts w:hint="eastAsia"/>
        </w:rPr>
        <w:t>也可分為有職和無職兩種情況，因為免、罷的吏肯定沒有職任，但遷、徙的吏可能還有職任。最</w:t>
      </w:r>
      <w:proofErr w:type="gramStart"/>
      <w:r w:rsidRPr="00826C3D">
        <w:rPr>
          <w:rFonts w:hint="eastAsia"/>
        </w:rPr>
        <w:t>後</w:t>
      </w:r>
      <w:proofErr w:type="gramEnd"/>
      <w:r w:rsidRPr="00826C3D">
        <w:rPr>
          <w:rFonts w:hint="eastAsia"/>
        </w:rPr>
        <w:t>一句“沒入所受”應該是不管有爵無爵、有職無職都要罰沒的，因此這條懲罰是針對各種情況的，它反映出這些懲罰是遞進地執行。首先，“奪爵”是針</w:t>
      </w:r>
      <w:proofErr w:type="gramStart"/>
      <w:r w:rsidRPr="00826C3D">
        <w:rPr>
          <w:rFonts w:hint="eastAsia"/>
        </w:rPr>
        <w:t>對</w:t>
      </w:r>
      <w:proofErr w:type="gramEnd"/>
      <w:r w:rsidRPr="00826C3D">
        <w:rPr>
          <w:rFonts w:hint="eastAsia"/>
        </w:rPr>
        <w:t>爵位的處罰，有爵者要被奪爵。其次，“免之”是針</w:t>
      </w:r>
      <w:proofErr w:type="gramStart"/>
      <w:r w:rsidRPr="00826C3D">
        <w:rPr>
          <w:rFonts w:hint="eastAsia"/>
        </w:rPr>
        <w:t>對</w:t>
      </w:r>
      <w:proofErr w:type="gramEnd"/>
      <w:r w:rsidRPr="00826C3D">
        <w:rPr>
          <w:rFonts w:hint="eastAsia"/>
        </w:rPr>
        <w:t>職任的處罰。《漢書》“免之”</w:t>
      </w:r>
      <w:proofErr w:type="gramStart"/>
      <w:r w:rsidRPr="00826C3D">
        <w:rPr>
          <w:rFonts w:hint="eastAsia"/>
        </w:rPr>
        <w:t>後</w:t>
      </w:r>
      <w:proofErr w:type="gramEnd"/>
      <w:r w:rsidRPr="00826C3D">
        <w:rPr>
          <w:rFonts w:hint="eastAsia"/>
        </w:rPr>
        <w:t>有注：“李奇曰：‘有爵者奪之，使為士伍，有位者免官也。’師古曰：‘此說非也。謂奪其爵，令為士伍，又免其官職，即今律所謂除名也。謂之士伍者，言從士卒之伍也。’”</w:t>
      </w:r>
      <w:r w:rsidRPr="00826C3D">
        <w:rPr>
          <w:rFonts w:hint="eastAsia"/>
        </w:rPr>
        <w:endnoteReference w:id="14"/>
      </w:r>
      <w:r w:rsidRPr="00826C3D">
        <w:rPr>
          <w:rFonts w:hint="eastAsia"/>
        </w:rPr>
        <w:t>李奇沒有交待“奪爵”和“免之”是選</w:t>
      </w:r>
      <w:proofErr w:type="gramStart"/>
      <w:r w:rsidRPr="00826C3D">
        <w:rPr>
          <w:rFonts w:hint="eastAsia"/>
        </w:rPr>
        <w:t>擇</w:t>
      </w:r>
      <w:proofErr w:type="gramEnd"/>
      <w:r w:rsidRPr="00826C3D">
        <w:rPr>
          <w:rFonts w:hint="eastAsia"/>
        </w:rPr>
        <w:t>性執行還是同時執行，相較而言，顏師古的解釋更加合理。因</w:t>
      </w:r>
      <w:proofErr w:type="gramStart"/>
      <w:r w:rsidRPr="00826C3D">
        <w:rPr>
          <w:rFonts w:hint="eastAsia"/>
        </w:rPr>
        <w:t>為</w:t>
      </w:r>
      <w:proofErr w:type="gramEnd"/>
      <w:r w:rsidRPr="00826C3D">
        <w:rPr>
          <w:rFonts w:hint="eastAsia"/>
        </w:rPr>
        <w:t>被“免”、被“罷”的吏已無職任，但“遷”“徙”的吏可能還有職在身，所以對“遷、徙、免、罷”吏的懲罰應該就是有爵奪爵且有職免職。“免之”是繼“奪爵”而起的針</w:t>
      </w:r>
      <w:proofErr w:type="gramStart"/>
      <w:r w:rsidRPr="00826C3D">
        <w:rPr>
          <w:rFonts w:hint="eastAsia"/>
        </w:rPr>
        <w:t>對</w:t>
      </w:r>
      <w:proofErr w:type="gramEnd"/>
      <w:r w:rsidRPr="00826C3D">
        <w:rPr>
          <w:rFonts w:hint="eastAsia"/>
        </w:rPr>
        <w:t>有職任者的處罰。最</w:t>
      </w:r>
      <w:proofErr w:type="gramStart"/>
      <w:r w:rsidRPr="00826C3D">
        <w:rPr>
          <w:rFonts w:hint="eastAsia"/>
        </w:rPr>
        <w:t>後</w:t>
      </w:r>
      <w:proofErr w:type="gramEnd"/>
      <w:r w:rsidRPr="00826C3D">
        <w:rPr>
          <w:rFonts w:hint="eastAsia"/>
        </w:rPr>
        <w:t>，“無爵”的情況又是繼前面兩種情況而起的“無爵無職”的情況，這種情況下，對他沒有什麼可以罰的了，</w:t>
      </w:r>
      <w:r w:rsidRPr="00826C3D">
        <w:rPr>
          <w:rFonts w:hint="eastAsia"/>
        </w:rPr>
        <w:lastRenderedPageBreak/>
        <w:t>纔罰金二斤。</w:t>
      </w:r>
    </w:p>
    <w:p w:rsidR="00CB7523" w:rsidRPr="00826C3D" w:rsidRDefault="00CB7523" w:rsidP="00CB7523">
      <w:pPr>
        <w:pStyle w:val="aa"/>
        <w:ind w:firstLine="560"/>
      </w:pPr>
      <w:r w:rsidRPr="00826C3D">
        <w:rPr>
          <w:rFonts w:hint="eastAsia"/>
        </w:rPr>
        <w:t>《漢書·衡山王傳》中的記載也能證實上面的推</w:t>
      </w:r>
      <w:proofErr w:type="gramStart"/>
      <w:r w:rsidRPr="00826C3D">
        <w:rPr>
          <w:rFonts w:hint="eastAsia"/>
        </w:rPr>
        <w:t>斷</w:t>
      </w:r>
      <w:proofErr w:type="gramEnd"/>
      <w:r w:rsidRPr="00826C3D">
        <w:rPr>
          <w:rFonts w:hint="eastAsia"/>
        </w:rPr>
        <w:t>。《衡山王傳》載：</w:t>
      </w:r>
    </w:p>
    <w:p w:rsidR="00CB7523" w:rsidRPr="00826C3D" w:rsidRDefault="00CB7523" w:rsidP="00CB7523">
      <w:pPr>
        <w:pStyle w:val="a3"/>
        <w:spacing w:before="540" w:after="540"/>
        <w:ind w:firstLine="496"/>
      </w:pPr>
      <w:r w:rsidRPr="00826C3D">
        <w:rPr>
          <w:rFonts w:hint="eastAsia"/>
        </w:rPr>
        <w:t>衡山王賜，淮南王弟，當坐收。有司請逮捕衡山王......膠西王端議曰：“安廢法度，行邪辟，有詐偽心，以亂天下，營惑百姓，背畔宗廟，妄作妖言......當伏法。論國吏二百石以上及比者，宗室近幸臣不在法中者，不能相教，皆當免，削爵為士伍，毋得官為吏。其非吏，它贖死金二斤八兩。”</w:t>
      </w:r>
      <w:r w:rsidRPr="00826C3D">
        <w:rPr>
          <w:rFonts w:hint="eastAsia"/>
        </w:rPr>
        <w:endnoteReference w:id="15"/>
      </w:r>
    </w:p>
    <w:p w:rsidR="00CB7523" w:rsidRPr="00826C3D" w:rsidRDefault="00CB7523" w:rsidP="00CB7523">
      <w:pPr>
        <w:pStyle w:val="aa"/>
        <w:ind w:firstLine="560"/>
      </w:pPr>
      <w:r w:rsidRPr="00826C3D">
        <w:rPr>
          <w:rFonts w:hint="eastAsia"/>
        </w:rPr>
        <w:t>這裏的表述就很明確了。首先，“吏二百石以上及比者”“宗室近幸臣不在法中者”皆當免，削</w:t>
      </w:r>
      <w:proofErr w:type="gramStart"/>
      <w:r w:rsidRPr="00826C3D">
        <w:rPr>
          <w:rFonts w:hint="eastAsia"/>
        </w:rPr>
        <w:t>爵</w:t>
      </w:r>
      <w:proofErr w:type="gramEnd"/>
      <w:r w:rsidRPr="00826C3D">
        <w:rPr>
          <w:rFonts w:hint="eastAsia"/>
        </w:rPr>
        <w:t>為士伍，毋得官為吏。這裏“吏”和“近幸臣”是並列的，處罰是被免。其次，“其非吏，它贖死金二斤八</w:t>
      </w:r>
      <w:proofErr w:type="gramStart"/>
      <w:r w:rsidRPr="00826C3D">
        <w:rPr>
          <w:rFonts w:hint="eastAsia"/>
        </w:rPr>
        <w:t>兩</w:t>
      </w:r>
      <w:proofErr w:type="gramEnd"/>
      <w:r w:rsidRPr="00826C3D">
        <w:rPr>
          <w:rFonts w:hint="eastAsia"/>
        </w:rPr>
        <w:t>”。這個“它”，</w:t>
      </w:r>
      <w:proofErr w:type="gramStart"/>
      <w:r w:rsidRPr="00826C3D">
        <w:rPr>
          <w:rFonts w:hint="eastAsia"/>
        </w:rPr>
        <w:t>蘇林注曰</w:t>
      </w:r>
      <w:proofErr w:type="gramEnd"/>
      <w:r w:rsidRPr="00826C3D">
        <w:rPr>
          <w:rFonts w:hint="eastAsia"/>
        </w:rPr>
        <w:t>：“非吏故曰它。”顏師古注曰“</w:t>
      </w:r>
      <w:proofErr w:type="gramStart"/>
      <w:r w:rsidRPr="00826C3D">
        <w:rPr>
          <w:rFonts w:hint="eastAsia"/>
        </w:rPr>
        <w:t>為</w:t>
      </w:r>
      <w:proofErr w:type="gramEnd"/>
      <w:r w:rsidRPr="00826C3D">
        <w:rPr>
          <w:rFonts w:hint="eastAsia"/>
        </w:rPr>
        <w:t>近幸之人，非吏人者。”</w:t>
      </w:r>
      <w:r w:rsidRPr="00826C3D">
        <w:rPr>
          <w:rFonts w:hint="eastAsia"/>
        </w:rPr>
        <w:endnoteReference w:id="16"/>
      </w:r>
      <w:r w:rsidRPr="00826C3D">
        <w:rPr>
          <w:rFonts w:hint="eastAsia"/>
        </w:rPr>
        <w:t>蘇林的注沒有得其要旨，顏師古的注則一語中的。“它”</w:t>
      </w:r>
      <w:proofErr w:type="gramStart"/>
      <w:r w:rsidRPr="00826C3D">
        <w:rPr>
          <w:rFonts w:hint="eastAsia"/>
        </w:rPr>
        <w:t>應</w:t>
      </w:r>
      <w:proofErr w:type="gramEnd"/>
      <w:r w:rsidRPr="00826C3D">
        <w:rPr>
          <w:rFonts w:hint="eastAsia"/>
        </w:rPr>
        <w:t>該就是上文所說的“宗室近幸臣”。賈誼在《新書·等齊》中舉了很多例子</w:t>
      </w:r>
      <w:proofErr w:type="gramStart"/>
      <w:r w:rsidRPr="00826C3D">
        <w:rPr>
          <w:rFonts w:hint="eastAsia"/>
        </w:rPr>
        <w:t>來</w:t>
      </w:r>
      <w:proofErr w:type="gramEnd"/>
      <w:r w:rsidRPr="00826C3D">
        <w:rPr>
          <w:rFonts w:hint="eastAsia"/>
        </w:rPr>
        <w:t>論證諸侯</w:t>
      </w:r>
      <w:proofErr w:type="gramStart"/>
      <w:r w:rsidRPr="00826C3D">
        <w:rPr>
          <w:rFonts w:hint="eastAsia"/>
        </w:rPr>
        <w:t>王往</w:t>
      </w:r>
      <w:proofErr w:type="gramEnd"/>
      <w:r w:rsidRPr="00826C3D">
        <w:rPr>
          <w:rFonts w:hint="eastAsia"/>
        </w:rPr>
        <w:t>往比擬皇帝。例如：“諸侯王所在之宮衛，織履蹲夷，以皇帝所在宮法論之；郎中、謁者受謁取告， 以官皇帝之法予之；事諸侯王或不廉潔平端，以事皇帝之法罪之。曰一用</w:t>
      </w:r>
      <w:r w:rsidRPr="00826C3D">
        <w:rPr>
          <w:rFonts w:hint="eastAsia"/>
        </w:rPr>
        <w:lastRenderedPageBreak/>
        <w:t>漢法， 事諸侯王乃事皇帝也。”</w:t>
      </w:r>
      <w:r w:rsidRPr="00826C3D">
        <w:rPr>
          <w:rFonts w:hint="eastAsia"/>
        </w:rPr>
        <w:endnoteReference w:id="17"/>
      </w:r>
      <w:r w:rsidRPr="00826C3D">
        <w:rPr>
          <w:rFonts w:hint="eastAsia"/>
        </w:rPr>
        <w:t>王的近幸之人正是可以比擬“宦皇帝者”的群體。由</w:t>
      </w:r>
      <w:proofErr w:type="gramStart"/>
      <w:r w:rsidRPr="00826C3D">
        <w:rPr>
          <w:rFonts w:hint="eastAsia"/>
        </w:rPr>
        <w:t>於</w:t>
      </w:r>
      <w:proofErr w:type="gramEnd"/>
      <w:r w:rsidRPr="00826C3D">
        <w:rPr>
          <w:rFonts w:hint="eastAsia"/>
        </w:rPr>
        <w:t>前面已經將“吏”和“近幸臣”處以免任。所以</w:t>
      </w:r>
      <w:proofErr w:type="gramStart"/>
      <w:r w:rsidRPr="00826C3D">
        <w:rPr>
          <w:rFonts w:hint="eastAsia"/>
        </w:rPr>
        <w:t>後</w:t>
      </w:r>
      <w:proofErr w:type="gramEnd"/>
      <w:r w:rsidRPr="00826C3D">
        <w:rPr>
          <w:rFonts w:hint="eastAsia"/>
        </w:rPr>
        <w:t>面“其非吏，它贖死金二斤八兩。”就應該是“非‘吏、它’贖死金二斤八兩。”即“既非吏又非它（近幸臣）”者，處罰是贖死金。這和《二年律令》簡文的行文就高度類似了。</w:t>
      </w:r>
    </w:p>
    <w:p w:rsidR="00CB7523" w:rsidRPr="00826C3D" w:rsidRDefault="00CB7523" w:rsidP="00CB7523">
      <w:pPr>
        <w:pStyle w:val="aa"/>
        <w:ind w:firstLine="560"/>
      </w:pPr>
      <w:r w:rsidRPr="00826C3D">
        <w:rPr>
          <w:rFonts w:hint="eastAsia"/>
        </w:rPr>
        <w:t>綜上所述，在律文、詔</w:t>
      </w:r>
      <w:proofErr w:type="gramStart"/>
      <w:r w:rsidRPr="00826C3D">
        <w:rPr>
          <w:rFonts w:hint="eastAsia"/>
        </w:rPr>
        <w:t>書</w:t>
      </w:r>
      <w:proofErr w:type="gramEnd"/>
      <w:r w:rsidRPr="00826C3D">
        <w:rPr>
          <w:rFonts w:hint="eastAsia"/>
        </w:rPr>
        <w:t>、官僚廷議中，犯法的“吏”與“宦皇帝者（近幸）”是一個懲處標準，而“既非吏又非宦皇帝者（非近幸）”的人是一個懲處標準。也就證明了</w:t>
      </w:r>
      <w:proofErr w:type="gramStart"/>
      <w:r w:rsidRPr="00826C3D">
        <w:rPr>
          <w:rFonts w:hint="eastAsia"/>
        </w:rPr>
        <w:t>將</w:t>
      </w:r>
      <w:proofErr w:type="gramEnd"/>
      <w:r w:rsidRPr="00826C3D">
        <w:rPr>
          <w:rFonts w:hint="eastAsia"/>
        </w:rPr>
        <w:t>《二年律令·置吏律》簡210解讀為“有任人以為吏，其所任不廉、不勝以免，亦免任者。其非‘吏及宦’也，罰金四兩，戍邊二歲。”是正確的。</w:t>
      </w:r>
    </w:p>
    <w:p w:rsidR="00CB7523" w:rsidRPr="00CB7523" w:rsidRDefault="00CB7523" w:rsidP="00CB7523">
      <w:pPr>
        <w:pStyle w:val="aa"/>
        <w:ind w:firstLine="562"/>
        <w:jc w:val="center"/>
        <w:rPr>
          <w:b/>
        </w:rPr>
      </w:pPr>
      <w:r w:rsidRPr="00CB7523">
        <w:rPr>
          <w:rFonts w:hint="eastAsia"/>
          <w:b/>
        </w:rPr>
        <w:t>二、“不</w:t>
      </w:r>
      <w:proofErr w:type="gramStart"/>
      <w:r w:rsidRPr="00CB7523">
        <w:rPr>
          <w:rFonts w:hint="eastAsia"/>
          <w:b/>
        </w:rPr>
        <w:t>為</w:t>
      </w:r>
      <w:proofErr w:type="gramEnd"/>
      <w:r w:rsidRPr="00CB7523">
        <w:rPr>
          <w:rFonts w:hint="eastAsia"/>
          <w:b/>
        </w:rPr>
        <w:t>吏及宦皇帝者”應指既不為吏又不為宦皇帝者</w:t>
      </w:r>
    </w:p>
    <w:p w:rsidR="00CB7523" w:rsidRPr="00826C3D" w:rsidRDefault="00CB7523" w:rsidP="00CB7523">
      <w:pPr>
        <w:pStyle w:val="aa"/>
        <w:ind w:firstLine="560"/>
      </w:pPr>
      <w:r w:rsidRPr="00826C3D">
        <w:rPr>
          <w:rFonts w:hint="eastAsia"/>
        </w:rPr>
        <w:t>《二年律令·賜律》載：</w:t>
      </w:r>
    </w:p>
    <w:p w:rsidR="00CB7523" w:rsidRPr="00CB7523" w:rsidRDefault="00CB7523" w:rsidP="00CB7523">
      <w:pPr>
        <w:pStyle w:val="a3"/>
        <w:spacing w:before="540" w:after="540"/>
        <w:ind w:leftChars="200" w:left="480" w:firstLineChars="0" w:firstLine="0"/>
      </w:pPr>
      <w:r w:rsidRPr="00826C3D">
        <w:rPr>
          <w:rFonts w:hint="eastAsia"/>
        </w:rPr>
        <w:t xml:space="preserve">    </w:t>
      </w:r>
      <w:r w:rsidRPr="00CB7523">
        <w:rPr>
          <w:rFonts w:hint="eastAsia"/>
        </w:rPr>
        <w:t>賜不為吏及宦皇帝者，關內侯以上比二千石，卿比千石，五大夫比八百石，公乘比六百石，公大夫、官大夫比五百（二九一）石，大夫比三百石，不更比有秩，簪裊比斗食，上造、公士比佐史。毋爵者，飯一斗、肉五斤、酒大半斗、醬少半升。（二九二）司寇、徒隸，飯一斗，肉三斤，酒少半斗，鹽廿分升一。（二九三）</w:t>
      </w:r>
      <w:r w:rsidRPr="00CB7523">
        <w:rPr>
          <w:rStyle w:val="a5"/>
          <w:rFonts w:hint="eastAsia"/>
          <w:vertAlign w:val="baseline"/>
        </w:rPr>
        <w:endnoteReference w:id="18"/>
      </w:r>
    </w:p>
    <w:p w:rsidR="00CB7523" w:rsidRPr="00826C3D" w:rsidRDefault="00CB7523" w:rsidP="00CB7523">
      <w:pPr>
        <w:pStyle w:val="aa"/>
        <w:ind w:firstLine="560"/>
      </w:pPr>
      <w:r w:rsidRPr="00826C3D">
        <w:rPr>
          <w:rFonts w:hint="eastAsia"/>
        </w:rPr>
        <w:lastRenderedPageBreak/>
        <w:t>閻文在論述“吏”有祿</w:t>
      </w:r>
      <w:proofErr w:type="gramStart"/>
      <w:r w:rsidRPr="00826C3D">
        <w:rPr>
          <w:rFonts w:hint="eastAsia"/>
        </w:rPr>
        <w:t>秩</w:t>
      </w:r>
      <w:proofErr w:type="gramEnd"/>
      <w:r w:rsidRPr="00826C3D">
        <w:rPr>
          <w:rFonts w:hint="eastAsia"/>
        </w:rPr>
        <w:t>而“宦皇帝者”無祿秩時說：“在上文中，‘不為吏及宦皇帝者’以</w:t>
      </w:r>
      <w:proofErr w:type="gramStart"/>
      <w:r w:rsidRPr="00826C3D">
        <w:rPr>
          <w:rFonts w:hint="eastAsia"/>
        </w:rPr>
        <w:t>爵</w:t>
      </w:r>
      <w:proofErr w:type="gramEnd"/>
      <w:r w:rsidRPr="00826C3D">
        <w:rPr>
          <w:rFonts w:hint="eastAsia"/>
        </w:rPr>
        <w:t>為比。‘不為吏者’當然無秩，讓他們以爵為比是很好理解的；可‘宦皇帝者’顯然也是官兒，他們的賜物，為什麼依照爵位而不是依照於祿秩呢？這就回到前面的論點上了：這些‘宦皇帝者’沒有祿秩，按慣例是依照爵位。把‘宦皇帝者’跟‘不為吏’者做同等考慮，可見‘宦皇帝者’跟‘不為吏’相近，不被朝廷視之為‘吏’。”</w:t>
      </w:r>
      <w:r w:rsidRPr="00826C3D">
        <w:rPr>
          <w:rFonts w:hint="eastAsia"/>
        </w:rPr>
        <w:endnoteReference w:id="19"/>
      </w:r>
      <w:r w:rsidRPr="00826C3D">
        <w:rPr>
          <w:rFonts w:hint="eastAsia"/>
        </w:rPr>
        <w:t>黃怡君《再論張家山漢簡&lt;二年律令·置吏律&gt;簡210的“非吏及宦”》一文也認為簡291—簡293中的“賜不為吏及宦皇帝者”句法與簡210“非吏及宦”的句法不同，指的是“不為吏者”與“宦皇帝者”。孫少華《“宦皇帝”與漢初諸子文學的“母題共性”》也作如此認識。</w:t>
      </w:r>
      <w:r w:rsidRPr="00826C3D">
        <w:rPr>
          <w:rFonts w:hint="eastAsia"/>
        </w:rPr>
        <w:endnoteReference w:id="20"/>
      </w:r>
      <w:r w:rsidRPr="00826C3D">
        <w:rPr>
          <w:rFonts w:hint="eastAsia"/>
        </w:rPr>
        <w:t>黃文還</w:t>
      </w:r>
      <w:proofErr w:type="gramStart"/>
      <w:r w:rsidRPr="00826C3D">
        <w:rPr>
          <w:rFonts w:hint="eastAsia"/>
        </w:rPr>
        <w:t>參</w:t>
      </w:r>
      <w:proofErr w:type="gramEnd"/>
      <w:r w:rsidRPr="00826C3D">
        <w:rPr>
          <w:rFonts w:hint="eastAsia"/>
        </w:rPr>
        <w:t>考《賜律》簡294“吏官庳（卑）而爵高，以宦皇帝者爵比賜之。”認為“若簡291-293指的是‘不為吏及不為宦皇帝者’，就不能與簡294說的某些吏‘以宦皇帝者爵比賜之’相對照了。”</w:t>
      </w:r>
      <w:r w:rsidRPr="00826C3D">
        <w:rPr>
          <w:rFonts w:hint="eastAsia"/>
        </w:rPr>
        <w:endnoteReference w:id="21"/>
      </w:r>
    </w:p>
    <w:p w:rsidR="00CB7523" w:rsidRPr="00826C3D" w:rsidRDefault="00CB7523" w:rsidP="00CB7523">
      <w:pPr>
        <w:pStyle w:val="aa"/>
        <w:ind w:firstLine="560"/>
      </w:pPr>
      <w:r w:rsidRPr="00826C3D">
        <w:rPr>
          <w:rFonts w:hint="eastAsia"/>
        </w:rPr>
        <w:t>此條所賜</w:t>
      </w:r>
      <w:proofErr w:type="gramStart"/>
      <w:r w:rsidRPr="00826C3D">
        <w:rPr>
          <w:rFonts w:hint="eastAsia"/>
        </w:rPr>
        <w:t>為</w:t>
      </w:r>
      <w:proofErr w:type="gramEnd"/>
      <w:r w:rsidRPr="00826C3D">
        <w:rPr>
          <w:rFonts w:hint="eastAsia"/>
        </w:rPr>
        <w:t>何我們不得而知。由</w:t>
      </w:r>
      <w:proofErr w:type="gramStart"/>
      <w:r w:rsidRPr="00826C3D">
        <w:rPr>
          <w:rFonts w:hint="eastAsia"/>
        </w:rPr>
        <w:t>於</w:t>
      </w:r>
      <w:proofErr w:type="gramEnd"/>
      <w:r w:rsidRPr="00826C3D">
        <w:rPr>
          <w:rFonts w:hint="eastAsia"/>
        </w:rPr>
        <w:t>閻文主要在論述“宦皇帝者”與“吏”的不同，因而在解讀時，將“‘宦皇帝者’跟‘不為吏’者做同等考慮”，但此句的解讀值得再討論。依照閻文的理解，“不為吏”者與“宦皇帝者”都是按照爵位</w:t>
      </w:r>
      <w:proofErr w:type="gramStart"/>
      <w:r w:rsidRPr="00826C3D">
        <w:rPr>
          <w:rFonts w:hint="eastAsia"/>
        </w:rPr>
        <w:t>來</w:t>
      </w:r>
      <w:proofErr w:type="gramEnd"/>
      <w:r w:rsidRPr="00826C3D">
        <w:rPr>
          <w:rFonts w:hint="eastAsia"/>
        </w:rPr>
        <w:t>賜賞的。“不為吏”者沒有職任無</w:t>
      </w:r>
      <w:r w:rsidRPr="00826C3D">
        <w:rPr>
          <w:rFonts w:hint="eastAsia"/>
        </w:rPr>
        <w:lastRenderedPageBreak/>
        <w:t>法區分，因而以爵位賜賞可以理解。但是，“宦皇帝者”有具體的職任，除了爵位序列外，還可以有其他的序列等級可用</w:t>
      </w:r>
      <w:proofErr w:type="gramStart"/>
      <w:r w:rsidRPr="00826C3D">
        <w:rPr>
          <w:rFonts w:hint="eastAsia"/>
        </w:rPr>
        <w:t>來</w:t>
      </w:r>
      <w:proofErr w:type="gramEnd"/>
      <w:r w:rsidRPr="00826C3D">
        <w:rPr>
          <w:rFonts w:hint="eastAsia"/>
        </w:rPr>
        <w:t>作賜賞的劃分標準。我們看《惠帝紀》詔</w:t>
      </w:r>
      <w:proofErr w:type="gramStart"/>
      <w:r w:rsidRPr="00826C3D">
        <w:rPr>
          <w:rFonts w:hint="eastAsia"/>
        </w:rPr>
        <w:t>書</w:t>
      </w:r>
      <w:proofErr w:type="gramEnd"/>
      <w:r w:rsidRPr="00826C3D">
        <w:rPr>
          <w:rFonts w:hint="eastAsia"/>
        </w:rPr>
        <w:t>中，在賜賞時對於閻文所認定的“宦皇帝者”就是按職任賜賞的：</w:t>
      </w:r>
    </w:p>
    <w:p w:rsidR="00CB7523" w:rsidRPr="00826C3D" w:rsidRDefault="00CB7523" w:rsidP="00CB7523">
      <w:pPr>
        <w:pStyle w:val="a3"/>
        <w:spacing w:before="540" w:after="540"/>
        <w:ind w:leftChars="200" w:left="604" w:hangingChars="50" w:hanging="124"/>
      </w:pPr>
      <w:r w:rsidRPr="00826C3D">
        <w:rPr>
          <w:rFonts w:hint="eastAsia"/>
        </w:rPr>
        <w:t xml:space="preserve">    太子即皇帝位，尊皇后曰皇太后。賜民爵一級。中郎、郎中滿六歲爵三級，四歲二級。外郎滿六歲二級。中郎不滿一歲一級。外郎不滿二歲賜錢萬。宦官尚食比郎中。謁者、執循、執戟、武士、騶比外郎。太子御驂乘賜爵五大夫，舍人滿五歲二級。</w:t>
      </w:r>
      <w:r w:rsidRPr="00826C3D">
        <w:rPr>
          <w:rFonts w:hint="eastAsia"/>
        </w:rPr>
        <w:endnoteReference w:id="22"/>
      </w:r>
    </w:p>
    <w:p w:rsidR="00CB7523" w:rsidRPr="00826C3D" w:rsidRDefault="00CB7523" w:rsidP="00CB7523">
      <w:pPr>
        <w:pStyle w:val="aa"/>
        <w:ind w:firstLine="560"/>
      </w:pPr>
      <w:r w:rsidRPr="00826C3D">
        <w:rPr>
          <w:rFonts w:hint="eastAsia"/>
        </w:rPr>
        <w:t>黃文實際上繼承了閻文的認識。其文提出的“若簡291-293指的是‘不為吏及不為宦皇帝者’，就不能與簡294說的某些</w:t>
      </w:r>
      <w:proofErr w:type="gramStart"/>
      <w:r w:rsidRPr="00826C3D">
        <w:rPr>
          <w:rFonts w:hint="eastAsia"/>
        </w:rPr>
        <w:t>吏</w:t>
      </w:r>
      <w:proofErr w:type="gramEnd"/>
      <w:r w:rsidRPr="00826C3D">
        <w:rPr>
          <w:rFonts w:hint="eastAsia"/>
        </w:rPr>
        <w:t>‘以宦皇帝者爵比賜之’相對照了。”</w:t>
      </w:r>
      <w:r w:rsidRPr="00826C3D">
        <w:rPr>
          <w:rFonts w:hint="eastAsia"/>
        </w:rPr>
        <w:endnoteReference w:id="23"/>
      </w:r>
      <w:r w:rsidRPr="00826C3D">
        <w:rPr>
          <w:rFonts w:hint="eastAsia"/>
        </w:rPr>
        <w:t>的反向假設正好暴露了其問題。我們也可反向假設一下：如果按黃文的理解，簡291—簡293是在說“不為吏”與“宦皇帝者”按</w:t>
      </w:r>
      <w:proofErr w:type="gramStart"/>
      <w:r w:rsidRPr="00826C3D">
        <w:rPr>
          <w:rFonts w:hint="eastAsia"/>
        </w:rPr>
        <w:t>爵</w:t>
      </w:r>
      <w:proofErr w:type="gramEnd"/>
      <w:r w:rsidRPr="00826C3D">
        <w:rPr>
          <w:rFonts w:hint="eastAsia"/>
        </w:rPr>
        <w:t>級</w:t>
      </w:r>
      <w:proofErr w:type="gramStart"/>
      <w:r w:rsidRPr="00826C3D">
        <w:rPr>
          <w:rFonts w:hint="eastAsia"/>
        </w:rPr>
        <w:t>如何如</w:t>
      </w:r>
      <w:proofErr w:type="gramEnd"/>
      <w:r w:rsidRPr="00826C3D">
        <w:rPr>
          <w:rFonts w:hint="eastAsia"/>
        </w:rPr>
        <w:t>何賞賜，那麼簡294中“官卑而爵高”的吏比照“宦皇帝者”爵位受賜，就等同於比照“不為吏（非吏）”的爵受賜，這就產生了矛盾——“吏”比“不為吏（非吏）”，從而導致“官卑而爵高”的吏、“不為吏（非吏）”、“宦皇帝者”成了一個標準，那上述簡文作各種劃分還有什麼必要呢？</w:t>
      </w:r>
    </w:p>
    <w:p w:rsidR="00CB7523" w:rsidRPr="00826C3D" w:rsidRDefault="00CB7523" w:rsidP="00CB7523">
      <w:pPr>
        <w:pStyle w:val="aa"/>
        <w:ind w:firstLine="560"/>
      </w:pPr>
      <w:r w:rsidRPr="00826C3D">
        <w:rPr>
          <w:rFonts w:hint="eastAsia"/>
        </w:rPr>
        <w:lastRenderedPageBreak/>
        <w:t>如果我們</w:t>
      </w:r>
      <w:proofErr w:type="gramStart"/>
      <w:r w:rsidRPr="00826C3D">
        <w:rPr>
          <w:rFonts w:hint="eastAsia"/>
        </w:rPr>
        <w:t>將</w:t>
      </w:r>
      <w:proofErr w:type="gramEnd"/>
      <w:r w:rsidRPr="00826C3D">
        <w:rPr>
          <w:rFonts w:hint="eastAsia"/>
        </w:rPr>
        <w:t>“賜不為吏及宦皇帝者”重新斷句為：賜不</w:t>
      </w:r>
      <w:proofErr w:type="gramStart"/>
      <w:r w:rsidRPr="00826C3D">
        <w:rPr>
          <w:rFonts w:hint="eastAsia"/>
        </w:rPr>
        <w:t>為</w:t>
      </w:r>
      <w:proofErr w:type="gramEnd"/>
      <w:r w:rsidRPr="00826C3D">
        <w:rPr>
          <w:rFonts w:hint="eastAsia"/>
        </w:rPr>
        <w:t>“吏及宦皇帝者”。即賜的</w:t>
      </w:r>
      <w:proofErr w:type="gramStart"/>
      <w:r w:rsidRPr="00826C3D">
        <w:rPr>
          <w:rFonts w:hint="eastAsia"/>
        </w:rPr>
        <w:t>對</w:t>
      </w:r>
      <w:proofErr w:type="gramEnd"/>
      <w:r w:rsidRPr="00826C3D">
        <w:rPr>
          <w:rFonts w:hint="eastAsia"/>
        </w:rPr>
        <w:t>象是“既不為吏又不為宦皇帝者”的群體。否定詞“不為”</w:t>
      </w:r>
      <w:proofErr w:type="gramStart"/>
      <w:r w:rsidRPr="00826C3D">
        <w:rPr>
          <w:rFonts w:hint="eastAsia"/>
        </w:rPr>
        <w:t>後</w:t>
      </w:r>
      <w:proofErr w:type="gramEnd"/>
      <w:r w:rsidRPr="00826C3D">
        <w:rPr>
          <w:rFonts w:hint="eastAsia"/>
        </w:rPr>
        <w:t>停頓，將“吏”與“宦皇帝者”等同，而不是如閻文、黃文那樣將“不為吏”與“宦皇帝者”等同，那麼對簡文的解釋似乎就更加合理了。</w:t>
      </w:r>
      <w:proofErr w:type="gramStart"/>
      <w:r w:rsidRPr="00826C3D">
        <w:rPr>
          <w:rFonts w:hint="eastAsia"/>
        </w:rPr>
        <w:t>將</w:t>
      </w:r>
      <w:proofErr w:type="gramEnd"/>
      <w:r w:rsidRPr="00826C3D">
        <w:rPr>
          <w:rFonts w:hint="eastAsia"/>
        </w:rPr>
        <w:t>“吏”與“宦皇帝者”等同的例子在《二年律令》中還可以找到。如《二年律令·戶律》載：“欲益買田宅，不比其宅者，勿許。</w:t>
      </w:r>
      <w:proofErr w:type="gramStart"/>
      <w:r w:rsidRPr="00826C3D">
        <w:rPr>
          <w:rFonts w:hint="eastAsia"/>
        </w:rPr>
        <w:t>為</w:t>
      </w:r>
      <w:proofErr w:type="gramEnd"/>
      <w:r w:rsidRPr="00826C3D">
        <w:rPr>
          <w:rFonts w:hint="eastAsia"/>
        </w:rPr>
        <w:t>吏及宦皇帝，得買舍室。（三二〇）”</w:t>
      </w:r>
      <w:r w:rsidRPr="00826C3D">
        <w:rPr>
          <w:rFonts w:hint="eastAsia"/>
        </w:rPr>
        <w:endnoteReference w:id="24"/>
      </w:r>
      <w:r w:rsidRPr="00826C3D">
        <w:rPr>
          <w:rFonts w:hint="eastAsia"/>
        </w:rPr>
        <w:t>及《徭律》“吏及宦皇帝者不（四一一）與給傳送。......（四一二）”</w:t>
      </w:r>
      <w:r w:rsidRPr="00826C3D">
        <w:rPr>
          <w:rFonts w:hint="eastAsia"/>
        </w:rPr>
        <w:endnoteReference w:id="25"/>
      </w:r>
      <w:r w:rsidRPr="00826C3D">
        <w:rPr>
          <w:rFonts w:hint="eastAsia"/>
        </w:rPr>
        <w:t>等。《惠帝紀》詔</w:t>
      </w:r>
      <w:proofErr w:type="gramStart"/>
      <w:r w:rsidRPr="00826C3D">
        <w:rPr>
          <w:rFonts w:hint="eastAsia"/>
        </w:rPr>
        <w:t>書</w:t>
      </w:r>
      <w:proofErr w:type="gramEnd"/>
      <w:r w:rsidRPr="00826C3D">
        <w:rPr>
          <w:rFonts w:hint="eastAsia"/>
        </w:rPr>
        <w:t>中也有“爵五大夫、吏六百石以上及宦皇帝而知名者有罪當盜械者，皆頌系。”</w:t>
      </w:r>
      <w:r w:rsidRPr="00826C3D">
        <w:rPr>
          <w:rFonts w:hint="eastAsia"/>
        </w:rPr>
        <w:endnoteReference w:id="26"/>
      </w:r>
      <w:r w:rsidRPr="00826C3D">
        <w:rPr>
          <w:rFonts w:hint="eastAsia"/>
        </w:rPr>
        <w:t>的記載。</w:t>
      </w:r>
    </w:p>
    <w:p w:rsidR="00CB7523" w:rsidRPr="00826C3D" w:rsidRDefault="00CB7523" w:rsidP="00CB7523">
      <w:pPr>
        <w:pStyle w:val="aa"/>
        <w:ind w:firstLine="560"/>
      </w:pPr>
      <w:r w:rsidRPr="00826C3D">
        <w:rPr>
          <w:rFonts w:hint="eastAsia"/>
        </w:rPr>
        <w:t>這</w:t>
      </w:r>
      <w:proofErr w:type="gramStart"/>
      <w:r w:rsidRPr="00826C3D">
        <w:rPr>
          <w:rFonts w:hint="eastAsia"/>
        </w:rPr>
        <w:t>樣</w:t>
      </w:r>
      <w:proofErr w:type="gramEnd"/>
      <w:r w:rsidRPr="00826C3D">
        <w:rPr>
          <w:rFonts w:hint="eastAsia"/>
        </w:rPr>
        <w:t>，《二年律令·賜律》此條的賜賞對象就“變”成了“不為‘吏及宦皇帝者’”。</w:t>
      </w:r>
      <w:proofErr w:type="gramStart"/>
      <w:r w:rsidRPr="00826C3D">
        <w:rPr>
          <w:rFonts w:hint="eastAsia"/>
        </w:rPr>
        <w:t>參</w:t>
      </w:r>
      <w:proofErr w:type="gramEnd"/>
      <w:r w:rsidRPr="00826C3D">
        <w:rPr>
          <w:rFonts w:hint="eastAsia"/>
        </w:rPr>
        <w:t>看後文所列舉的二十等爵中的爵級，由於這些人既不是“吏”又不是“宦皇帝者”，共同的特徵是“有爵無職”，因而無法按照職級來賜賞，衹好以爵級為依據來劃定賜賞等級。相反，“吏”與“宦皇帝者”，他們除了爵位等級外，還可以以其他序列等級</w:t>
      </w:r>
      <w:proofErr w:type="gramStart"/>
      <w:r w:rsidRPr="00826C3D">
        <w:rPr>
          <w:rFonts w:hint="eastAsia"/>
        </w:rPr>
        <w:t>來</w:t>
      </w:r>
      <w:proofErr w:type="gramEnd"/>
      <w:r w:rsidRPr="00826C3D">
        <w:rPr>
          <w:rFonts w:hint="eastAsia"/>
        </w:rPr>
        <w:t>賜賞（比如《惠帝紀》詔書中的具體職任），所以就不是必須以爵級來受賜了。而當吏的官卑而</w:t>
      </w:r>
      <w:proofErr w:type="gramStart"/>
      <w:r w:rsidRPr="00826C3D">
        <w:rPr>
          <w:rFonts w:hint="eastAsia"/>
        </w:rPr>
        <w:t>爵</w:t>
      </w:r>
      <w:proofErr w:type="gramEnd"/>
      <w:r w:rsidRPr="00826C3D">
        <w:rPr>
          <w:rFonts w:hint="eastAsia"/>
        </w:rPr>
        <w:t>高時，按官受賜顯然“吃虧”，所以允許按爵比照“宦皇帝者”的爵位來受賜，為什麼這樣操作？下文</w:t>
      </w:r>
      <w:r w:rsidRPr="00826C3D">
        <w:rPr>
          <w:rFonts w:hint="eastAsia"/>
        </w:rPr>
        <w:lastRenderedPageBreak/>
        <w:t>便作論述。</w:t>
      </w:r>
    </w:p>
    <w:p w:rsidR="00CB7523" w:rsidRPr="00CB7523" w:rsidRDefault="00CB7523" w:rsidP="00CB7523">
      <w:pPr>
        <w:pStyle w:val="aa"/>
        <w:ind w:firstLine="562"/>
        <w:jc w:val="center"/>
        <w:rPr>
          <w:b/>
        </w:rPr>
      </w:pPr>
      <w:r w:rsidRPr="00CB7523">
        <w:rPr>
          <w:rFonts w:hint="eastAsia"/>
          <w:b/>
        </w:rPr>
        <w:t>三、“吏官卑而</w:t>
      </w:r>
      <w:proofErr w:type="gramStart"/>
      <w:r w:rsidRPr="00CB7523">
        <w:rPr>
          <w:rFonts w:hint="eastAsia"/>
          <w:b/>
        </w:rPr>
        <w:t>爵</w:t>
      </w:r>
      <w:proofErr w:type="gramEnd"/>
      <w:r w:rsidRPr="00CB7523">
        <w:rPr>
          <w:rFonts w:hint="eastAsia"/>
          <w:b/>
        </w:rPr>
        <w:t>高，以宦皇帝者爵比賜之”是對官卑爵高的吏的優待</w:t>
      </w:r>
    </w:p>
    <w:p w:rsidR="00CB7523" w:rsidRPr="00826C3D" w:rsidRDefault="00CB7523" w:rsidP="00CB7523">
      <w:pPr>
        <w:pStyle w:val="aa"/>
        <w:ind w:firstLine="560"/>
      </w:pPr>
      <w:r w:rsidRPr="00826C3D">
        <w:rPr>
          <w:rFonts w:hint="eastAsia"/>
        </w:rPr>
        <w:t xml:space="preserve">  《二年律令·賜律》載：</w:t>
      </w:r>
    </w:p>
    <w:p w:rsidR="00CB7523" w:rsidRPr="00826C3D" w:rsidRDefault="00CB7523" w:rsidP="00CB7523">
      <w:pPr>
        <w:pStyle w:val="a3"/>
        <w:spacing w:before="540" w:after="540"/>
        <w:ind w:firstLine="496"/>
      </w:pPr>
      <w:r w:rsidRPr="00826C3D">
        <w:rPr>
          <w:rFonts w:hint="eastAsia"/>
        </w:rPr>
        <w:t xml:space="preserve">    吏官庳（卑）而爵高，以宦皇帝者爵比賜之。（二九四）</w:t>
      </w:r>
      <w:r w:rsidRPr="00826C3D">
        <w:rPr>
          <w:rFonts w:hint="eastAsia"/>
        </w:rPr>
        <w:endnoteReference w:id="27"/>
      </w:r>
    </w:p>
    <w:p w:rsidR="00CB7523" w:rsidRPr="00826C3D" w:rsidRDefault="00CB7523" w:rsidP="00CB7523">
      <w:pPr>
        <w:pStyle w:val="aa"/>
        <w:ind w:firstLine="560"/>
      </w:pPr>
      <w:r w:rsidRPr="00CB7523">
        <w:rPr>
          <w:rStyle w:val="Char3"/>
          <w:rFonts w:hint="eastAsia"/>
        </w:rPr>
        <w:t>閻文認</w:t>
      </w:r>
      <w:proofErr w:type="gramStart"/>
      <w:r w:rsidRPr="00CB7523">
        <w:rPr>
          <w:rStyle w:val="Char3"/>
          <w:rFonts w:hint="eastAsia"/>
        </w:rPr>
        <w:t>為</w:t>
      </w:r>
      <w:proofErr w:type="gramEnd"/>
      <w:r w:rsidRPr="00826C3D">
        <w:rPr>
          <w:rFonts w:hint="eastAsia"/>
        </w:rPr>
        <w:t>：</w:t>
      </w:r>
    </w:p>
    <w:p w:rsidR="00CB7523" w:rsidRPr="00826C3D" w:rsidRDefault="00CB7523" w:rsidP="00CB7523">
      <w:pPr>
        <w:pStyle w:val="a3"/>
        <w:spacing w:before="540" w:after="540"/>
        <w:ind w:firstLine="496"/>
      </w:pPr>
      <w:r w:rsidRPr="00826C3D">
        <w:rPr>
          <w:rFonts w:hint="eastAsia"/>
        </w:rPr>
        <w:t>無論如何都能看到，在“吏官卑而爵高”的情況下，朝廷允許“吏”根據自己的爵位，比於“宦皇帝者”之依爵賞賜等差，卻不是比於“宦皇帝者”之祿秩等差。這再度</w:t>
      </w:r>
      <w:r w:rsidR="004F3972">
        <w:rPr>
          <w:rFonts w:hint="eastAsia"/>
        </w:rPr>
        <w:t>說明</w:t>
      </w:r>
      <w:r w:rsidRPr="00826C3D">
        <w:rPr>
          <w:rFonts w:hint="eastAsia"/>
        </w:rPr>
        <w:t>，“宦皇帝者”有爵而無秩，所以想比其祿秩也沒法兒比。這種“以宦皇帝者爵比賜之”的制度，我想有時會成為一種“秩—爵—秩”的繞彎子“比”法，也就是說，先由“吏”之爵比於“宦皇帝者”之爵；再由此爵、秩相比之法，“比”於某級之秩。比方說吧，有一位三百石之“吏”擁有五大夫之爵，那麼他受賜時應先比於“宦皇帝者”中的五大夫，再遵循《賜律》“賜不為吏及宦皇帝者……五大夫比八百石”的條文，按八百石受賜——又“比”回到“秩”這邊兒來了。</w:t>
      </w:r>
      <w:r w:rsidRPr="00826C3D">
        <w:rPr>
          <w:rFonts w:hint="eastAsia"/>
        </w:rPr>
        <w:endnoteReference w:id="28"/>
      </w:r>
    </w:p>
    <w:p w:rsidR="00CB7523" w:rsidRPr="00826C3D" w:rsidRDefault="00CB7523" w:rsidP="00CB7523">
      <w:pPr>
        <w:pStyle w:val="aa"/>
        <w:ind w:firstLine="560"/>
      </w:pPr>
      <w:r w:rsidRPr="00826C3D">
        <w:rPr>
          <w:rFonts w:hint="eastAsia"/>
        </w:rPr>
        <w:lastRenderedPageBreak/>
        <w:t>如上所論“賜不</w:t>
      </w:r>
      <w:proofErr w:type="gramStart"/>
      <w:r w:rsidRPr="00826C3D">
        <w:rPr>
          <w:rFonts w:hint="eastAsia"/>
        </w:rPr>
        <w:t>為</w:t>
      </w:r>
      <w:proofErr w:type="gramEnd"/>
      <w:r w:rsidRPr="00826C3D">
        <w:rPr>
          <w:rFonts w:hint="eastAsia"/>
        </w:rPr>
        <w:t>吏及宦皇帝者”指的是“賜既不為吏又不為宦皇帝者”，所以閻文比方中的“再遵循《賜律》‘賜不為吏及宦皇帝者……五大夫比八百石’的條文，按八百石受賜——又‘比’回到‘秩’這邊兒來了。”是有問題的。不過這</w:t>
      </w:r>
      <w:proofErr w:type="gramStart"/>
      <w:r w:rsidRPr="00826C3D">
        <w:rPr>
          <w:rFonts w:hint="eastAsia"/>
        </w:rPr>
        <w:t>不</w:t>
      </w:r>
      <w:proofErr w:type="gramEnd"/>
      <w:r w:rsidRPr="00826C3D">
        <w:rPr>
          <w:rFonts w:hint="eastAsia"/>
        </w:rPr>
        <w:t>影響閻文上面關於“宦皇帝者”無祿秩的論述。由於閻文旨在論述“宦皇帝者無祿秩”，所以其解讀是，允許“吏”根據自己的爵位比於“宦皇帝者”之爵來受賞賜，而不是比於“宦皇帝者”之祿秩等差來受賞賜，</w:t>
      </w:r>
      <w:r w:rsidR="004F3972">
        <w:rPr>
          <w:rFonts w:hint="eastAsia"/>
        </w:rPr>
        <w:t>說明</w:t>
      </w:r>
      <w:bookmarkStart w:id="7" w:name="_GoBack"/>
      <w:bookmarkEnd w:id="7"/>
      <w:r w:rsidRPr="00826C3D">
        <w:rPr>
          <w:rFonts w:hint="eastAsia"/>
        </w:rPr>
        <w:t>的是“宦皇帝者”有爵而無秩。</w:t>
      </w:r>
    </w:p>
    <w:p w:rsidR="00CB7523" w:rsidRPr="00826C3D" w:rsidRDefault="00CB7523" w:rsidP="00CB7523">
      <w:pPr>
        <w:pStyle w:val="aa"/>
        <w:ind w:firstLine="560"/>
      </w:pPr>
      <w:r w:rsidRPr="00826C3D">
        <w:rPr>
          <w:rFonts w:hint="eastAsia"/>
        </w:rPr>
        <w:t>此條還可在閻文基礎上作另外的解讀。在“吏官卑而</w:t>
      </w:r>
      <w:proofErr w:type="gramStart"/>
      <w:r w:rsidRPr="00826C3D">
        <w:rPr>
          <w:rFonts w:hint="eastAsia"/>
        </w:rPr>
        <w:t>爵</w:t>
      </w:r>
      <w:proofErr w:type="gramEnd"/>
      <w:r w:rsidRPr="00826C3D">
        <w:rPr>
          <w:rFonts w:hint="eastAsia"/>
        </w:rPr>
        <w:t>高”的情況下，由於官卑所以祿秩低，按這個低祿秩受賜顯然“吃虧”，這時候國家允許這些人以高爵位來比照同等爵位的“宦皇帝者”從而提高受賜標準，然後受賜。也就是說，假設</w:t>
      </w:r>
      <w:proofErr w:type="gramStart"/>
      <w:r w:rsidRPr="00826C3D">
        <w:rPr>
          <w:rFonts w:hint="eastAsia"/>
        </w:rPr>
        <w:t>一</w:t>
      </w:r>
      <w:proofErr w:type="gramEnd"/>
      <w:r w:rsidRPr="00826C3D">
        <w:rPr>
          <w:rFonts w:hint="eastAsia"/>
        </w:rPr>
        <w:t>個五大夫爵的低職吏，他可以按照一個五大夫爵的“宦皇帝者”的標準來受賜。簡文這裏衹有“爵—爵”的比照，按爵位序列</w:t>
      </w:r>
      <w:proofErr w:type="gramStart"/>
      <w:r w:rsidRPr="00826C3D">
        <w:rPr>
          <w:rFonts w:hint="eastAsia"/>
        </w:rPr>
        <w:t>來</w:t>
      </w:r>
      <w:proofErr w:type="gramEnd"/>
      <w:r w:rsidRPr="00826C3D">
        <w:rPr>
          <w:rFonts w:hint="eastAsia"/>
        </w:rPr>
        <w:t>比照，拋開律文的規定，那麼“官卑而爵高”的</w:t>
      </w:r>
      <w:proofErr w:type="gramStart"/>
      <w:r w:rsidRPr="00826C3D">
        <w:rPr>
          <w:rFonts w:hint="eastAsia"/>
        </w:rPr>
        <w:t>吏可</w:t>
      </w:r>
      <w:proofErr w:type="gramEnd"/>
      <w:r w:rsidRPr="00826C3D">
        <w:rPr>
          <w:rFonts w:hint="eastAsia"/>
        </w:rPr>
        <w:t>以比擬的其實有三種人：</w:t>
      </w:r>
      <w:r w:rsidRPr="00826C3D">
        <w:t>①</w:t>
      </w:r>
      <w:proofErr w:type="gramStart"/>
      <w:r w:rsidRPr="00826C3D">
        <w:rPr>
          <w:rFonts w:hint="eastAsia"/>
        </w:rPr>
        <w:t>擁</w:t>
      </w:r>
      <w:proofErr w:type="gramEnd"/>
      <w:r w:rsidRPr="00826C3D">
        <w:rPr>
          <w:rFonts w:hint="eastAsia"/>
        </w:rPr>
        <w:t>有同樣爵位的“官高”的“吏”；</w:t>
      </w:r>
      <w:r w:rsidRPr="00826C3D">
        <w:t>②</w:t>
      </w:r>
      <w:proofErr w:type="gramStart"/>
      <w:r w:rsidRPr="00826C3D">
        <w:rPr>
          <w:rFonts w:hint="eastAsia"/>
        </w:rPr>
        <w:t>擁</w:t>
      </w:r>
      <w:proofErr w:type="gramEnd"/>
      <w:r w:rsidRPr="00826C3D">
        <w:rPr>
          <w:rFonts w:hint="eastAsia"/>
        </w:rPr>
        <w:t>有同等爵位的無職任群體（如前文所述的“既非吏又非宦皇帝者”）；</w:t>
      </w:r>
      <w:r w:rsidRPr="00826C3D">
        <w:t>③</w:t>
      </w:r>
      <w:proofErr w:type="gramStart"/>
      <w:r w:rsidRPr="00826C3D">
        <w:rPr>
          <w:rFonts w:hint="eastAsia"/>
        </w:rPr>
        <w:t>擁</w:t>
      </w:r>
      <w:proofErr w:type="gramEnd"/>
      <w:r w:rsidRPr="00826C3D">
        <w:rPr>
          <w:rFonts w:hint="eastAsia"/>
        </w:rPr>
        <w:t>有同等爵位的有職任的“宦皇帝者”。第一種情況下，讓</w:t>
      </w:r>
      <w:proofErr w:type="gramStart"/>
      <w:r w:rsidRPr="00826C3D">
        <w:rPr>
          <w:rFonts w:hint="eastAsia"/>
        </w:rPr>
        <w:t>一</w:t>
      </w:r>
      <w:proofErr w:type="gramEnd"/>
      <w:r w:rsidRPr="00826C3D">
        <w:rPr>
          <w:rFonts w:hint="eastAsia"/>
        </w:rPr>
        <w:t>個官卑的吏去比照官高的吏，會造成“吏”群體內部賜賞標</w:t>
      </w:r>
      <w:r w:rsidRPr="00826C3D">
        <w:rPr>
          <w:rFonts w:hint="eastAsia"/>
        </w:rPr>
        <w:lastRenderedPageBreak/>
        <w:t>準的矛盾與混亂，這應該是不作這樣規定的原因所在。這</w:t>
      </w:r>
      <w:proofErr w:type="gramStart"/>
      <w:r w:rsidRPr="00826C3D">
        <w:rPr>
          <w:rFonts w:hint="eastAsia"/>
        </w:rPr>
        <w:t>樣</w:t>
      </w:r>
      <w:proofErr w:type="gramEnd"/>
      <w:r w:rsidRPr="00826C3D">
        <w:rPr>
          <w:rFonts w:hint="eastAsia"/>
        </w:rPr>
        <w:t>就衹剩下後面兩種情況。由</w:t>
      </w:r>
      <w:proofErr w:type="gramStart"/>
      <w:r w:rsidRPr="00826C3D">
        <w:rPr>
          <w:rFonts w:hint="eastAsia"/>
        </w:rPr>
        <w:t>於</w:t>
      </w:r>
      <w:proofErr w:type="gramEnd"/>
      <w:r w:rsidRPr="00826C3D">
        <w:rPr>
          <w:rFonts w:hint="eastAsia"/>
        </w:rPr>
        <w:t>“宦皇帝者”是皇帝的近侍群體，地位比較特殊，所以，在“吏官卑而爵高”情況下，</w:t>
      </w:r>
      <w:proofErr w:type="gramStart"/>
      <w:r w:rsidRPr="00826C3D">
        <w:rPr>
          <w:rFonts w:hint="eastAsia"/>
        </w:rPr>
        <w:t>吏要</w:t>
      </w:r>
      <w:proofErr w:type="gramEnd"/>
      <w:r w:rsidRPr="00826C3D">
        <w:rPr>
          <w:rFonts w:hint="eastAsia"/>
        </w:rPr>
        <w:t>受賜，國家允許他以爵位來比擬同等級爵位的“宦皇帝者”的受賜標準，而不是讓他去比擬同等級爵位的無職任群體，這實際上是對“官卑而爵高”的吏的一種特殊優待。</w:t>
      </w:r>
    </w:p>
    <w:p w:rsidR="00CB7523" w:rsidRPr="00826C3D" w:rsidRDefault="00CB7523" w:rsidP="00CB7523">
      <w:pPr>
        <w:pStyle w:val="aa"/>
        <w:ind w:firstLine="560"/>
      </w:pPr>
      <w:r w:rsidRPr="00826C3D">
        <w:rPr>
          <w:rFonts w:hint="eastAsia"/>
        </w:rPr>
        <w:t>《漢書·惠帝紀》載：</w:t>
      </w:r>
    </w:p>
    <w:p w:rsidR="00CB7523" w:rsidRPr="00826C3D" w:rsidRDefault="00CB7523" w:rsidP="00CB7523">
      <w:pPr>
        <w:pStyle w:val="a3"/>
        <w:spacing w:before="540" w:after="540"/>
        <w:ind w:firstLine="496"/>
      </w:pPr>
      <w:r w:rsidRPr="00826C3D">
        <w:rPr>
          <w:rFonts w:hint="eastAsia"/>
        </w:rPr>
        <w:t xml:space="preserve"> 太子即皇帝位，尊皇后曰皇太后。賜民爵一級。中郎、郎中滿六歲爵三級，四歲二級。外郎滿六歲二級。中郎不滿一歲一級。外郎不滿二歲賜錢萬。宦官尚食比郎中。謁者、執循、執戟、武士、騶比外郎。太子御驂乘賜爵五大夫，舍人滿五歲二級。</w:t>
      </w:r>
      <w:r w:rsidRPr="00826C3D">
        <w:rPr>
          <w:rFonts w:hint="eastAsia"/>
        </w:rPr>
        <w:endnoteReference w:id="29"/>
      </w:r>
    </w:p>
    <w:p w:rsidR="00CB7523" w:rsidRPr="00826C3D" w:rsidRDefault="00CB7523" w:rsidP="00CB7523">
      <w:pPr>
        <w:pStyle w:val="aa"/>
        <w:ind w:firstLine="560"/>
      </w:pPr>
      <w:r w:rsidRPr="00826C3D">
        <w:rPr>
          <w:rFonts w:hint="eastAsia"/>
        </w:rPr>
        <w:t>《漢書·昭帝紀》載：</w:t>
      </w:r>
    </w:p>
    <w:p w:rsidR="00CB7523" w:rsidRPr="00826C3D" w:rsidRDefault="00CB7523" w:rsidP="00CB7523">
      <w:pPr>
        <w:pStyle w:val="a3"/>
        <w:spacing w:before="540" w:after="540"/>
        <w:ind w:firstLine="496"/>
      </w:pPr>
      <w:r w:rsidRPr="00826C3D">
        <w:rPr>
          <w:rFonts w:hint="eastAsia"/>
        </w:rPr>
        <w:t>二年夏四月，上自建章宮徙未央宮，大置酒。賜郎從宮帛，及宗室子錢，人二十萬。吏民獻牛酒者賜帛，人一匹。</w:t>
      </w:r>
      <w:r w:rsidRPr="00826C3D">
        <w:rPr>
          <w:rFonts w:hint="eastAsia"/>
        </w:rPr>
        <w:endnoteReference w:id="30"/>
      </w:r>
    </w:p>
    <w:p w:rsidR="00CB7523" w:rsidRPr="00826C3D" w:rsidRDefault="00CB7523" w:rsidP="00CB7523">
      <w:pPr>
        <w:pStyle w:val="aa"/>
        <w:ind w:firstLine="560"/>
      </w:pPr>
      <w:r w:rsidRPr="00826C3D">
        <w:rPr>
          <w:rFonts w:hint="eastAsia"/>
        </w:rPr>
        <w:t>“民”裏面</w:t>
      </w:r>
      <w:proofErr w:type="gramStart"/>
      <w:r w:rsidRPr="00826C3D">
        <w:rPr>
          <w:rFonts w:hint="eastAsia"/>
        </w:rPr>
        <w:t>應</w:t>
      </w:r>
      <w:proofErr w:type="gramEnd"/>
      <w:r w:rsidRPr="00826C3D">
        <w:rPr>
          <w:rFonts w:hint="eastAsia"/>
        </w:rPr>
        <w:t>該包括有“既非吏又非宦皇帝者”，相較於後文的</w:t>
      </w:r>
      <w:r w:rsidRPr="00826C3D">
        <w:rPr>
          <w:rFonts w:hint="eastAsia"/>
        </w:rPr>
        <w:lastRenderedPageBreak/>
        <w:t>近臣宦皇帝者，顯然後者的賜賞更加豐厚。假使</w:t>
      </w:r>
      <w:proofErr w:type="gramStart"/>
      <w:r w:rsidRPr="00826C3D">
        <w:rPr>
          <w:rFonts w:hint="eastAsia"/>
        </w:rPr>
        <w:t>一</w:t>
      </w:r>
      <w:proofErr w:type="gramEnd"/>
      <w:r w:rsidRPr="00826C3D">
        <w:rPr>
          <w:rFonts w:hint="eastAsia"/>
        </w:rPr>
        <w:t>個官卑爵高的吏要用爵位比照同等爵位的其他群體，在不能比照“吏”而衹能在“既非吏又非宦皇帝者”“宦皇帝者”中選擇的話，比照同等爵位的“宦皇帝者”顯然更合算。</w:t>
      </w:r>
    </w:p>
    <w:p w:rsidR="00CB7523" w:rsidRPr="00826C3D" w:rsidRDefault="00CB7523" w:rsidP="00CB7523">
      <w:pPr>
        <w:pStyle w:val="aa"/>
        <w:ind w:firstLine="560"/>
      </w:pPr>
      <w:r w:rsidRPr="00826C3D">
        <w:rPr>
          <w:rFonts w:hint="eastAsia"/>
        </w:rPr>
        <w:t>這種優</w:t>
      </w:r>
      <w:proofErr w:type="gramStart"/>
      <w:r w:rsidRPr="00826C3D">
        <w:rPr>
          <w:rFonts w:hint="eastAsia"/>
        </w:rPr>
        <w:t>待可能</w:t>
      </w:r>
      <w:proofErr w:type="gramEnd"/>
      <w:r w:rsidRPr="00826C3D">
        <w:rPr>
          <w:rFonts w:hint="eastAsia"/>
        </w:rPr>
        <w:t>不僅包括所賜物資數量，還包含賜予資格的給予上。《漢書·宣帝紀》載：</w:t>
      </w:r>
    </w:p>
    <w:p w:rsidR="00CB7523" w:rsidRPr="00826C3D" w:rsidRDefault="00CB7523" w:rsidP="00CB7523">
      <w:pPr>
        <w:pStyle w:val="a3"/>
        <w:spacing w:before="540" w:after="540"/>
        <w:ind w:firstLine="496"/>
      </w:pPr>
      <w:r w:rsidRPr="00826C3D">
        <w:rPr>
          <w:rFonts w:hint="eastAsia"/>
        </w:rPr>
        <w:t>五月，鳳皇集膠東、千乘。赦天下。賜吏二千石、諸侯相、下至中都官、宦吏、六百石爵，各有差，自左更至五大夫。賜天下人爵各一級，孝者二級，女子百戶牛、酒。租稅勿收。</w:t>
      </w:r>
      <w:r w:rsidRPr="00826C3D">
        <w:rPr>
          <w:rFonts w:hint="eastAsia"/>
        </w:rPr>
        <w:endnoteReference w:id="31"/>
      </w:r>
    </w:p>
    <w:p w:rsidR="005825B9" w:rsidRPr="00826C3D" w:rsidRDefault="005825B9" w:rsidP="00CB7523">
      <w:pPr>
        <w:pStyle w:val="aa"/>
        <w:ind w:firstLine="560"/>
      </w:pPr>
      <w:r w:rsidRPr="00826C3D">
        <w:rPr>
          <w:rFonts w:hint="eastAsia"/>
        </w:rPr>
        <w:t>如果拋開這條賜令中所賜</w:t>
      </w:r>
      <w:proofErr w:type="gramStart"/>
      <w:r w:rsidRPr="00826C3D">
        <w:rPr>
          <w:rFonts w:hint="eastAsia"/>
        </w:rPr>
        <w:t>為</w:t>
      </w:r>
      <w:proofErr w:type="gramEnd"/>
      <w:r w:rsidRPr="00826C3D">
        <w:rPr>
          <w:rFonts w:hint="eastAsia"/>
        </w:rPr>
        <w:t>爵位的限制，假設有一個五百石的吏，那麼根據這條賜令，他可能衹能享受到“天下人”的待遇；但如果他官卑而</w:t>
      </w:r>
      <w:proofErr w:type="gramStart"/>
      <w:r w:rsidRPr="00826C3D">
        <w:rPr>
          <w:rFonts w:hint="eastAsia"/>
        </w:rPr>
        <w:t>爵</w:t>
      </w:r>
      <w:proofErr w:type="gramEnd"/>
      <w:r w:rsidRPr="00826C3D">
        <w:rPr>
          <w:rFonts w:hint="eastAsia"/>
        </w:rPr>
        <w:t>高，國家可能就允許他比照“宦皇帝者”，那麼他就可能躋身於“宦”的行列享受同等的待遇。</w:t>
      </w:r>
    </w:p>
    <w:p w:rsidR="005825B9" w:rsidRPr="00826C3D" w:rsidRDefault="005825B9" w:rsidP="00CB7523">
      <w:pPr>
        <w:pStyle w:val="aa"/>
        <w:ind w:firstLine="560"/>
      </w:pPr>
      <w:r w:rsidRPr="00826C3D">
        <w:rPr>
          <w:rFonts w:hint="eastAsia"/>
        </w:rPr>
        <w:t>綜上，筆者以</w:t>
      </w:r>
      <w:proofErr w:type="gramStart"/>
      <w:r w:rsidRPr="00826C3D">
        <w:rPr>
          <w:rFonts w:hint="eastAsia"/>
        </w:rPr>
        <w:t>為</w:t>
      </w:r>
      <w:proofErr w:type="gramEnd"/>
      <w:r w:rsidRPr="00826C3D">
        <w:rPr>
          <w:rFonts w:hint="eastAsia"/>
        </w:rPr>
        <w:t>這就是《二年律令·賜律》這條規定的用意所在——給他們一個“吏”以外的標準作參考，而且這個標準相對而言是在優待這</w:t>
      </w:r>
      <w:proofErr w:type="gramStart"/>
      <w:r w:rsidRPr="00826C3D">
        <w:rPr>
          <w:rFonts w:hint="eastAsia"/>
        </w:rPr>
        <w:t>些官卑</w:t>
      </w:r>
      <w:proofErr w:type="gramEnd"/>
      <w:r w:rsidRPr="00826C3D">
        <w:rPr>
          <w:rFonts w:hint="eastAsia"/>
        </w:rPr>
        <w:t>爵高的吏。</w:t>
      </w:r>
    </w:p>
    <w:p w:rsidR="005825B9" w:rsidRPr="00826C3D" w:rsidRDefault="005825B9" w:rsidP="00826C3D"/>
    <w:bookmarkEnd w:id="1"/>
    <w:p w:rsidR="005825B9" w:rsidRPr="00826C3D" w:rsidRDefault="005825B9" w:rsidP="00826C3D"/>
    <w:sectPr w:rsidR="005825B9" w:rsidRPr="00826C3D">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652" w:rsidRDefault="007E2652" w:rsidP="00CB0024">
      <w:r>
        <w:separator/>
      </w:r>
    </w:p>
  </w:endnote>
  <w:endnote w:type="continuationSeparator" w:id="0">
    <w:p w:rsidR="007E2652" w:rsidRDefault="007E2652" w:rsidP="00CB0024">
      <w:r>
        <w:continuationSeparator/>
      </w:r>
    </w:p>
  </w:endnote>
  <w:endnote w:id="1">
    <w:p w:rsidR="00CB7523" w:rsidRPr="00CB7523" w:rsidRDefault="00CB7523" w:rsidP="00CB7523">
      <w:r w:rsidRPr="00CB7523">
        <w:endnoteRef/>
      </w:r>
      <w:r w:rsidRPr="00CB7523">
        <w:t xml:space="preserve"> </w:t>
      </w:r>
      <w:r w:rsidRPr="00CB7523">
        <w:rPr>
          <w:rFonts w:hint="eastAsia"/>
        </w:rPr>
        <w:t>裘錫圭：《說“宦皇帝”》，《古代文史研究新探》，南京：江蘇古籍出版社，1992年，第152—153頁。</w:t>
      </w:r>
    </w:p>
  </w:endnote>
  <w:endnote w:id="2">
    <w:p w:rsidR="00CB7523" w:rsidRPr="00CB7523" w:rsidRDefault="00CB7523" w:rsidP="00CB7523">
      <w:r w:rsidRPr="00CB7523">
        <w:endnoteRef/>
      </w:r>
      <w:r w:rsidRPr="00CB7523">
        <w:t xml:space="preserve"> </w:t>
      </w:r>
      <w:r w:rsidRPr="00CB7523">
        <w:rPr>
          <w:rFonts w:hint="eastAsia"/>
        </w:rPr>
        <w:t>閻步克：《論張家山漢簡&lt;二年律令&gt;中的“宦皇帝”》，《中國史研究》2003年第3期，第</w:t>
      </w:r>
      <w:r w:rsidRPr="00CB7523">
        <w:t xml:space="preserve"> </w:t>
      </w:r>
      <w:r w:rsidRPr="00CB7523">
        <w:rPr>
          <w:rFonts w:hint="eastAsia"/>
        </w:rPr>
        <w:t>81頁。</w:t>
      </w:r>
    </w:p>
  </w:endnote>
  <w:endnote w:id="3">
    <w:p w:rsidR="00CB7523" w:rsidRPr="00CB7523" w:rsidRDefault="00CB7523" w:rsidP="00CB7523">
      <w:r w:rsidRPr="00CB7523">
        <w:endnoteRef/>
      </w:r>
      <w:r w:rsidRPr="00CB7523">
        <w:t xml:space="preserve"> </w:t>
      </w:r>
      <w:r w:rsidRPr="00CB7523">
        <w:rPr>
          <w:rFonts w:hint="eastAsia"/>
        </w:rPr>
        <w:t>閻步克：《論張家山漢簡&lt;二年律令&gt;中的“宦皇帝”》，《中國史研究》2003年第3期。</w:t>
      </w:r>
    </w:p>
  </w:endnote>
  <w:endnote w:id="4">
    <w:p w:rsidR="00CB7523" w:rsidRPr="00CB7523" w:rsidRDefault="00CB7523" w:rsidP="00CB7523">
      <w:r w:rsidRPr="00CB7523">
        <w:endnoteRef/>
      </w:r>
      <w:r w:rsidRPr="00CB7523">
        <w:t xml:space="preserve"> </w:t>
      </w:r>
      <w:r w:rsidRPr="00CB7523">
        <w:rPr>
          <w:rFonts w:hint="eastAsia"/>
        </w:rPr>
        <w:t>黃</w:t>
      </w:r>
      <w:r w:rsidRPr="00CB7523">
        <w:rPr>
          <w:rFonts w:hint="eastAsia"/>
        </w:rPr>
        <w:t>怡君：《再論張家山漢簡&lt;二年律令·置吏律&gt;簡210的“非吏及宦”》，武漢大學簡帛研究中心“簡帛”網，</w:t>
      </w:r>
      <w:bookmarkStart w:id="2" w:name="OLE_LINK4"/>
      <w:r w:rsidRPr="00CB7523">
        <w:rPr>
          <w:rFonts w:hint="eastAsia"/>
        </w:rPr>
        <w:t>http://www.bsm.org.cn/show_article.php?id=1286</w:t>
      </w:r>
      <w:bookmarkEnd w:id="2"/>
      <w:r w:rsidRPr="00CB7523">
        <w:rPr>
          <w:rFonts w:hint="eastAsia"/>
        </w:rPr>
        <w:t>。</w:t>
      </w:r>
    </w:p>
  </w:endnote>
  <w:endnote w:id="5">
    <w:p w:rsidR="00CB7523" w:rsidRPr="00CB7523" w:rsidRDefault="00CB7523" w:rsidP="00CB7523">
      <w:r w:rsidRPr="00CB7523">
        <w:endnoteRef/>
      </w:r>
      <w:r w:rsidRPr="00CB7523">
        <w:t xml:space="preserve">  </w:t>
      </w:r>
      <w:r w:rsidRPr="00CB7523">
        <w:rPr>
          <w:rFonts w:hint="eastAsia"/>
        </w:rPr>
        <w:t>孫少華：《“宦皇帝”與漢初諸子文學的“母題共性”》，《中山大學學報（社會科學版）》2011年第1期，第39—48頁。</w:t>
      </w:r>
    </w:p>
  </w:endnote>
  <w:endnote w:id="6">
    <w:p w:rsidR="00CB7523" w:rsidRPr="00CB7523" w:rsidRDefault="00CB7523" w:rsidP="00CB7523">
      <w:r w:rsidRPr="00CB7523">
        <w:endnoteRef/>
      </w:r>
      <w:r w:rsidRPr="00CB7523">
        <w:t xml:space="preserve"> </w:t>
      </w:r>
      <w:r w:rsidRPr="00CB7523">
        <w:rPr>
          <w:rFonts w:hint="eastAsia"/>
        </w:rPr>
        <w:t>張家山二四七號漢墓竹簡整理小組：《張家山漢墓竹簡（二四七號墓）》（釋文修訂本），北京：文物出版社，2006年，第36頁。</w:t>
      </w:r>
    </w:p>
  </w:endnote>
  <w:endnote w:id="7">
    <w:p w:rsidR="00CB7523" w:rsidRPr="00CB7523" w:rsidRDefault="00CB7523" w:rsidP="00CB7523">
      <w:r w:rsidRPr="00CB7523">
        <w:endnoteRef/>
      </w:r>
      <w:r w:rsidRPr="00CB7523">
        <w:t xml:space="preserve"> </w:t>
      </w:r>
      <w:r w:rsidRPr="00CB7523">
        <w:rPr>
          <w:rFonts w:hint="eastAsia"/>
        </w:rPr>
        <w:t>閻步克：《論張家山漢簡&lt;二年律令&gt;中的“宦皇帝”》，《中國史研究》2003年第3期，第</w:t>
      </w:r>
      <w:r w:rsidRPr="00CB7523">
        <w:t xml:space="preserve"> </w:t>
      </w:r>
      <w:r w:rsidRPr="00CB7523">
        <w:rPr>
          <w:rFonts w:hint="eastAsia"/>
        </w:rPr>
        <w:t>83頁。</w:t>
      </w:r>
    </w:p>
  </w:endnote>
  <w:endnote w:id="8">
    <w:p w:rsidR="00CB7523" w:rsidRPr="00CB7523" w:rsidRDefault="00CB7523" w:rsidP="00CB7523">
      <w:r w:rsidRPr="00CB7523">
        <w:endnoteRef/>
      </w:r>
      <w:r w:rsidRPr="00CB7523">
        <w:t xml:space="preserve"> </w:t>
      </w:r>
      <w:r w:rsidRPr="00CB7523">
        <w:rPr>
          <w:rFonts w:hint="eastAsia"/>
        </w:rPr>
        <w:t>閻步克：《論張家山漢簡&lt;二年律令&gt;中的“宦皇帝”》，《中國史研究》2003年第3期，第83—84頁。</w:t>
      </w:r>
    </w:p>
  </w:endnote>
  <w:endnote w:id="9">
    <w:p w:rsidR="00CB7523" w:rsidRPr="00CB7523" w:rsidRDefault="00CB7523" w:rsidP="00CB7523">
      <w:r w:rsidRPr="00CB7523">
        <w:endnoteRef/>
      </w:r>
      <w:r w:rsidRPr="00CB7523">
        <w:t xml:space="preserve"> </w:t>
      </w:r>
      <w:r w:rsidRPr="00CB7523">
        <w:rPr>
          <w:rFonts w:hint="eastAsia"/>
        </w:rPr>
        <w:t>黃</w:t>
      </w:r>
      <w:r w:rsidRPr="00CB7523">
        <w:rPr>
          <w:rFonts w:hint="eastAsia"/>
        </w:rPr>
        <w:t>怡君：《再論張家山漢簡&lt;二年律令·置吏律&gt;簡210的“非吏及宦”》，武漢大學簡帛研究中心“簡帛”網，http://www.bsm.org.cn/show_article.php?id=1286。本文將從其他方面再作證明。黃文“‘非吏’有時候包含‘宦皇帝者’在內”的解讀及其對《漢書·淮南衡山濟北王傳》中顏師古的注的理解也有值得商榷的地方。</w:t>
      </w:r>
    </w:p>
  </w:endnote>
  <w:endnote w:id="10">
    <w:p w:rsidR="00CB7523" w:rsidRPr="00CB7523" w:rsidRDefault="00CB7523" w:rsidP="00CB7523">
      <w:r w:rsidRPr="00CB7523">
        <w:endnoteRef/>
      </w:r>
      <w:r w:rsidRPr="00CB7523">
        <w:t xml:space="preserve"> </w:t>
      </w:r>
      <w:r w:rsidRPr="00CB7523">
        <w:rPr>
          <w:rFonts w:hint="eastAsia"/>
        </w:rPr>
        <w:t>《漢書》卷八十六《何武傳》，北京：中華</w:t>
      </w:r>
      <w:r w:rsidRPr="00CB7523">
        <w:rPr>
          <w:rFonts w:hint="eastAsia"/>
        </w:rPr>
        <w:t>書局，1962年，第3484頁。</w:t>
      </w:r>
    </w:p>
  </w:endnote>
  <w:endnote w:id="11">
    <w:p w:rsidR="00CB7523" w:rsidRPr="00CB7523" w:rsidRDefault="00CB7523" w:rsidP="00CB7523">
      <w:r w:rsidRPr="00CB7523">
        <w:endnoteRef/>
      </w:r>
      <w:r w:rsidRPr="00CB7523">
        <w:t xml:space="preserve"> </w:t>
      </w:r>
      <w:bookmarkStart w:id="3" w:name="OLE_LINK1"/>
      <w:r w:rsidRPr="00CB7523">
        <w:rPr>
          <w:rFonts w:hint="eastAsia"/>
        </w:rPr>
        <w:t>《漢書》卷三十九《蕭何傳附蕭壽成》，北京：中華</w:t>
      </w:r>
      <w:r w:rsidRPr="00CB7523">
        <w:rPr>
          <w:rFonts w:hint="eastAsia"/>
        </w:rPr>
        <w:t>書局，1962年，第2013頁。</w:t>
      </w:r>
      <w:bookmarkEnd w:id="3"/>
    </w:p>
  </w:endnote>
  <w:endnote w:id="12">
    <w:p w:rsidR="00CB7523" w:rsidRPr="00CB7523" w:rsidRDefault="00CB7523" w:rsidP="00CB7523">
      <w:r w:rsidRPr="00CB7523">
        <w:endnoteRef/>
      </w:r>
      <w:r w:rsidRPr="00CB7523">
        <w:t xml:space="preserve"> </w:t>
      </w:r>
      <w:r w:rsidRPr="00CB7523">
        <w:rPr>
          <w:rFonts w:hint="eastAsia"/>
        </w:rPr>
        <w:t>《漢書》卷六十《杜周傳附杜業》，北京：中華</w:t>
      </w:r>
      <w:r w:rsidRPr="00CB7523">
        <w:rPr>
          <w:rFonts w:hint="eastAsia"/>
        </w:rPr>
        <w:t>書局，1962年，第2682頁。</w:t>
      </w:r>
    </w:p>
  </w:endnote>
  <w:endnote w:id="13">
    <w:p w:rsidR="00CB7523" w:rsidRPr="00CB7523" w:rsidRDefault="00CB7523" w:rsidP="00CB7523">
      <w:r w:rsidRPr="00CB7523">
        <w:endnoteRef/>
      </w:r>
      <w:r w:rsidRPr="00CB7523">
        <w:t xml:space="preserve"> </w:t>
      </w:r>
      <w:r w:rsidRPr="00CB7523">
        <w:rPr>
          <w:rFonts w:hint="eastAsia"/>
        </w:rPr>
        <w:t>《漢書》卷五《景帝紀》，北京：中華</w:t>
      </w:r>
      <w:r w:rsidRPr="00CB7523">
        <w:rPr>
          <w:rFonts w:hint="eastAsia"/>
        </w:rPr>
        <w:t>書局，1962年，第140頁。“奪爵為士伍。免之。無爵，罰金二斤。令沒入所受。”原標點為“奪爵為士伍，免之。無爵，罰金二斤，令沒入所受。”此處筆者作了改動，原因見正文。</w:t>
      </w:r>
    </w:p>
  </w:endnote>
  <w:endnote w:id="14">
    <w:p w:rsidR="00CB7523" w:rsidRPr="00CB7523" w:rsidRDefault="00CB7523" w:rsidP="00CB7523">
      <w:r w:rsidRPr="00CB7523">
        <w:endnoteRef/>
      </w:r>
      <w:r w:rsidRPr="00CB7523">
        <w:t xml:space="preserve"> </w:t>
      </w:r>
      <w:r w:rsidRPr="00CB7523">
        <w:rPr>
          <w:rFonts w:hint="eastAsia"/>
        </w:rPr>
        <w:t>《漢書》卷五《景帝紀》，北京：中華</w:t>
      </w:r>
      <w:r w:rsidRPr="00CB7523">
        <w:rPr>
          <w:rFonts w:hint="eastAsia"/>
        </w:rPr>
        <w:t>書局，1962年，第141頁。</w:t>
      </w:r>
    </w:p>
  </w:endnote>
  <w:endnote w:id="15">
    <w:p w:rsidR="00CB7523" w:rsidRPr="00CB7523" w:rsidRDefault="00CB7523" w:rsidP="00CB7523">
      <w:r w:rsidRPr="00CB7523">
        <w:endnoteRef/>
      </w:r>
      <w:r w:rsidRPr="00CB7523">
        <w:t xml:space="preserve"> </w:t>
      </w:r>
      <w:r w:rsidRPr="00CB7523">
        <w:rPr>
          <w:rFonts w:hint="eastAsia"/>
        </w:rPr>
        <w:t>《漢書》卷四十四《淮南衡山濟北王傳》，北京：中華</w:t>
      </w:r>
      <w:r w:rsidRPr="00CB7523">
        <w:rPr>
          <w:rFonts w:hint="eastAsia"/>
        </w:rPr>
        <w:t>書局，1962年，第2152頁。</w:t>
      </w:r>
    </w:p>
  </w:endnote>
  <w:endnote w:id="16">
    <w:p w:rsidR="00CB7523" w:rsidRPr="00CB7523" w:rsidRDefault="00CB7523" w:rsidP="00CB7523">
      <w:r w:rsidRPr="00CB7523">
        <w:endnoteRef/>
      </w:r>
      <w:r w:rsidRPr="00CB7523">
        <w:t xml:space="preserve"> </w:t>
      </w:r>
      <w:r w:rsidRPr="00CB7523">
        <w:rPr>
          <w:rFonts w:hint="eastAsia"/>
        </w:rPr>
        <w:t>《漢書》卷四十四《淮南衡山濟北王傳》，北京：中華</w:t>
      </w:r>
      <w:r w:rsidRPr="00CB7523">
        <w:rPr>
          <w:rFonts w:hint="eastAsia"/>
        </w:rPr>
        <w:t>書局，1962年，第2153頁。</w:t>
      </w:r>
    </w:p>
  </w:endnote>
  <w:endnote w:id="17">
    <w:p w:rsidR="00CB7523" w:rsidRPr="00CB7523" w:rsidRDefault="00CB7523" w:rsidP="00CB7523">
      <w:r w:rsidRPr="00CB7523">
        <w:endnoteRef/>
      </w:r>
      <w:r w:rsidRPr="00CB7523">
        <w:t xml:space="preserve"> </w:t>
      </w:r>
      <w:r w:rsidRPr="00CB7523">
        <w:rPr>
          <w:rFonts w:hint="eastAsia"/>
        </w:rPr>
        <w:t>（漢）賈誼撰，閻振益、鈡夏校注：《新書校注》卷</w:t>
      </w:r>
      <w:r w:rsidRPr="00CB7523">
        <w:rPr>
          <w:rFonts w:hint="eastAsia"/>
        </w:rPr>
        <w:t>一，“等齊”，北京：中華書局，2000年，第46頁。</w:t>
      </w:r>
    </w:p>
  </w:endnote>
  <w:endnote w:id="18">
    <w:p w:rsidR="00CB7523" w:rsidRPr="00CB7523" w:rsidRDefault="00CB7523" w:rsidP="00CB7523">
      <w:r w:rsidRPr="00CB7523">
        <w:endnoteRef/>
      </w:r>
      <w:r w:rsidRPr="00CB7523">
        <w:t xml:space="preserve"> </w:t>
      </w:r>
      <w:r w:rsidRPr="00CB7523">
        <w:rPr>
          <w:rFonts w:hint="eastAsia"/>
        </w:rPr>
        <w:t>張家山二四七號漢墓竹簡整理小組：《張家山漢墓竹簡（二四七號墓）》（釋文修訂本），北京：文物出版社，2006年，第49頁。</w:t>
      </w:r>
    </w:p>
  </w:endnote>
  <w:endnote w:id="19">
    <w:p w:rsidR="00CB7523" w:rsidRPr="00CB7523" w:rsidRDefault="00CB7523" w:rsidP="00CB7523">
      <w:r w:rsidRPr="00CB7523">
        <w:endnoteRef/>
      </w:r>
      <w:bookmarkStart w:id="6" w:name="OLE_LINK3"/>
      <w:r w:rsidRPr="00CB7523">
        <w:rPr>
          <w:rFonts w:hint="eastAsia"/>
        </w:rPr>
        <w:t xml:space="preserve"> 閻步克：《論張家山漢簡&lt;二年律令&gt;中的“宦皇帝”》，《中國史研究》2003年第3期，第</w:t>
      </w:r>
      <w:r w:rsidRPr="00CB7523">
        <w:t xml:space="preserve"> </w:t>
      </w:r>
      <w:r w:rsidRPr="00CB7523">
        <w:rPr>
          <w:rFonts w:hint="eastAsia"/>
        </w:rPr>
        <w:t>81頁。</w:t>
      </w:r>
      <w:bookmarkEnd w:id="6"/>
    </w:p>
  </w:endnote>
  <w:endnote w:id="20">
    <w:p w:rsidR="00CB7523" w:rsidRPr="00CB7523" w:rsidRDefault="00CB7523" w:rsidP="00CB7523">
      <w:r w:rsidRPr="00CB7523">
        <w:endnoteRef/>
      </w:r>
      <w:r w:rsidRPr="00CB7523">
        <w:t xml:space="preserve"> </w:t>
      </w:r>
      <w:r w:rsidRPr="00CB7523">
        <w:rPr>
          <w:rFonts w:hint="eastAsia"/>
        </w:rPr>
        <w:t>孫少華：《“宦皇帝”與漢初諸子文學的“母題共性”》，《中山大學學報（社會科學版）》2011年第1期，第39—48頁。</w:t>
      </w:r>
    </w:p>
  </w:endnote>
  <w:endnote w:id="21">
    <w:p w:rsidR="00CB7523" w:rsidRPr="00CB7523" w:rsidRDefault="00CB7523" w:rsidP="00CB7523">
      <w:r w:rsidRPr="00CB7523">
        <w:endnoteRef/>
      </w:r>
      <w:r w:rsidRPr="00CB7523">
        <w:t xml:space="preserve"> </w:t>
      </w:r>
      <w:r w:rsidRPr="00CB7523">
        <w:rPr>
          <w:rFonts w:hint="eastAsia"/>
        </w:rPr>
        <w:t>黃</w:t>
      </w:r>
      <w:r w:rsidRPr="00CB7523">
        <w:rPr>
          <w:rFonts w:hint="eastAsia"/>
        </w:rPr>
        <w:t>怡君：《再論張家山漢簡&lt;二年律令·置吏律&gt;簡210的“非吏及宦”》，武漢大學簡帛研究中心“簡帛”網，http://www.bsm.org.cn/show_article.php?id=1286。</w:t>
      </w:r>
    </w:p>
  </w:endnote>
  <w:endnote w:id="22">
    <w:p w:rsidR="00CB7523" w:rsidRPr="00CB7523" w:rsidRDefault="00CB7523" w:rsidP="00CB7523">
      <w:r w:rsidRPr="00CB7523">
        <w:endnoteRef/>
      </w:r>
      <w:r w:rsidRPr="00CB7523">
        <w:t xml:space="preserve"> </w:t>
      </w:r>
      <w:r w:rsidRPr="00CB7523">
        <w:rPr>
          <w:rFonts w:hint="eastAsia"/>
        </w:rPr>
        <w:t>《漢書》卷二《惠帝紀》，北京：中華</w:t>
      </w:r>
      <w:r w:rsidRPr="00CB7523">
        <w:rPr>
          <w:rFonts w:hint="eastAsia"/>
        </w:rPr>
        <w:t>書局，1962年，第85頁。</w:t>
      </w:r>
    </w:p>
  </w:endnote>
  <w:endnote w:id="23">
    <w:p w:rsidR="00CB7523" w:rsidRPr="00CB7523" w:rsidRDefault="00CB7523" w:rsidP="00CB7523">
      <w:r w:rsidRPr="00CB7523">
        <w:endnoteRef/>
      </w:r>
      <w:r w:rsidRPr="00CB7523">
        <w:t xml:space="preserve"> </w:t>
      </w:r>
      <w:r w:rsidRPr="00CB7523">
        <w:rPr>
          <w:rFonts w:hint="eastAsia"/>
        </w:rPr>
        <w:t>黃</w:t>
      </w:r>
      <w:r w:rsidRPr="00CB7523">
        <w:rPr>
          <w:rFonts w:hint="eastAsia"/>
        </w:rPr>
        <w:t>怡君：《再論張家山漢簡&lt;二年律令·置吏律&gt;簡210的“非吏及宦”》，武漢大學簡帛研究中心“簡帛”網，http://www.bsm.org.cn/show_article.php?id=1286。</w:t>
      </w:r>
    </w:p>
  </w:endnote>
  <w:endnote w:id="24">
    <w:p w:rsidR="00CB7523" w:rsidRPr="00CB7523" w:rsidRDefault="00CB7523" w:rsidP="00CB7523">
      <w:r w:rsidRPr="00CB7523">
        <w:endnoteRef/>
      </w:r>
      <w:r w:rsidRPr="00CB7523">
        <w:t xml:space="preserve"> </w:t>
      </w:r>
      <w:r w:rsidRPr="00CB7523">
        <w:rPr>
          <w:rFonts w:hint="eastAsia"/>
        </w:rPr>
        <w:t>張家山二四七號漢墓竹簡整理小組：《張家山漢墓竹簡（二四七號墓）》（釋文修訂本），北京：文物出版社，2006年，第53頁。</w:t>
      </w:r>
    </w:p>
  </w:endnote>
  <w:endnote w:id="25">
    <w:p w:rsidR="00CB7523" w:rsidRPr="00CB7523" w:rsidRDefault="00CB7523" w:rsidP="00CB7523">
      <w:r w:rsidRPr="00CB7523">
        <w:endnoteRef/>
      </w:r>
      <w:r w:rsidRPr="00CB7523">
        <w:t xml:space="preserve"> </w:t>
      </w:r>
      <w:r w:rsidRPr="00CB7523">
        <w:rPr>
          <w:rFonts w:hint="eastAsia"/>
        </w:rPr>
        <w:t>張家山二四七號漢墓竹簡整理小組：《張家山漢墓竹簡（二四七號墓）》（釋文修訂本），北京：文物出版社，2006年，第64頁。</w:t>
      </w:r>
    </w:p>
  </w:endnote>
  <w:endnote w:id="26">
    <w:p w:rsidR="00CB7523" w:rsidRPr="00CB7523" w:rsidRDefault="00CB7523" w:rsidP="00CB7523">
      <w:r w:rsidRPr="00CB7523">
        <w:endnoteRef/>
      </w:r>
      <w:r w:rsidRPr="00CB7523">
        <w:t xml:space="preserve"> </w:t>
      </w:r>
      <w:r w:rsidRPr="00CB7523">
        <w:rPr>
          <w:rFonts w:hint="eastAsia"/>
        </w:rPr>
        <w:t>《漢書》卷二《惠帝紀》，北京：中華</w:t>
      </w:r>
      <w:r w:rsidRPr="00CB7523">
        <w:rPr>
          <w:rFonts w:hint="eastAsia"/>
        </w:rPr>
        <w:t>書局，1962年，第85頁。</w:t>
      </w:r>
    </w:p>
  </w:endnote>
  <w:endnote w:id="27">
    <w:p w:rsidR="00CB7523" w:rsidRPr="00CB7523" w:rsidRDefault="00CB7523" w:rsidP="00CB7523">
      <w:r w:rsidRPr="00CB7523">
        <w:endnoteRef/>
      </w:r>
      <w:r w:rsidRPr="00CB7523">
        <w:t xml:space="preserve"> </w:t>
      </w:r>
      <w:r w:rsidRPr="00CB7523">
        <w:rPr>
          <w:rFonts w:hint="eastAsia"/>
        </w:rPr>
        <w:t>張家山二四七號漢墓竹簡整理小組：《張家山漢墓竹簡（二四七號墓）》（釋文修訂本），北京：文物出版社，2006年，第49頁。</w:t>
      </w:r>
    </w:p>
  </w:endnote>
  <w:endnote w:id="28">
    <w:p w:rsidR="00CB7523" w:rsidRPr="00CB7523" w:rsidRDefault="00CB7523" w:rsidP="00CB7523">
      <w:r w:rsidRPr="00CB7523">
        <w:endnoteRef/>
      </w:r>
      <w:r w:rsidRPr="00CB7523">
        <w:t xml:space="preserve"> </w:t>
      </w:r>
      <w:r w:rsidRPr="00CB7523">
        <w:rPr>
          <w:rFonts w:hint="eastAsia"/>
        </w:rPr>
        <w:t>閻步克：《論張家山漢簡&lt;二年律令&gt;中的“宦皇帝”》，《中國史研究》2003年第3期，第82頁。</w:t>
      </w:r>
    </w:p>
  </w:endnote>
  <w:endnote w:id="29">
    <w:p w:rsidR="00CB7523" w:rsidRPr="00CB7523" w:rsidRDefault="00CB7523" w:rsidP="00CB7523">
      <w:r w:rsidRPr="00CB7523">
        <w:endnoteRef/>
      </w:r>
      <w:r w:rsidRPr="00CB7523">
        <w:t xml:space="preserve"> </w:t>
      </w:r>
      <w:r w:rsidRPr="00CB7523">
        <w:rPr>
          <w:rFonts w:hint="eastAsia"/>
        </w:rPr>
        <w:t>《漢書》卷二《惠帝紀》，北京：中華</w:t>
      </w:r>
      <w:r w:rsidRPr="00CB7523">
        <w:rPr>
          <w:rFonts w:hint="eastAsia"/>
        </w:rPr>
        <w:t>書局，1962年，第85頁。</w:t>
      </w:r>
    </w:p>
  </w:endnote>
  <w:endnote w:id="30">
    <w:p w:rsidR="00CB7523" w:rsidRPr="00CB7523" w:rsidRDefault="00CB7523" w:rsidP="00CB7523">
      <w:r w:rsidRPr="00CB7523">
        <w:endnoteRef/>
      </w:r>
      <w:r w:rsidRPr="00CB7523">
        <w:t xml:space="preserve"> </w:t>
      </w:r>
      <w:r w:rsidRPr="00CB7523">
        <w:rPr>
          <w:rFonts w:hint="eastAsia"/>
        </w:rPr>
        <w:t>《漢書》卷七《昭帝紀》，北京：中華</w:t>
      </w:r>
      <w:r w:rsidRPr="00CB7523">
        <w:rPr>
          <w:rFonts w:hint="eastAsia"/>
        </w:rPr>
        <w:t>書局，1962年，第228頁。</w:t>
      </w:r>
    </w:p>
  </w:endnote>
  <w:endnote w:id="31">
    <w:p w:rsidR="00CB7523" w:rsidRDefault="00CB7523" w:rsidP="00CB7523">
      <w:r w:rsidRPr="00CB7523">
        <w:endnoteRef/>
      </w:r>
      <w:r w:rsidRPr="00CB7523">
        <w:t xml:space="preserve"> </w:t>
      </w:r>
      <w:r w:rsidRPr="00CB7523">
        <w:rPr>
          <w:rFonts w:hint="eastAsia"/>
        </w:rPr>
        <w:t>《漢書》卷八《宣帝紀》，北京：中華</w:t>
      </w:r>
      <w:r w:rsidRPr="00CB7523">
        <w:rPr>
          <w:rFonts w:hint="eastAsia"/>
        </w:rPr>
        <w:t>書局，1962年，第242頁。</w:t>
      </w:r>
    </w:p>
    <w:p w:rsidR="00CB7523" w:rsidRDefault="00CB7523" w:rsidP="00CB7523"/>
    <w:p w:rsidR="00CB7523" w:rsidRDefault="00CB7523" w:rsidP="00CB7523"/>
    <w:p w:rsidR="00CB7523" w:rsidRPr="00826C3D" w:rsidRDefault="00CB7523" w:rsidP="00CB7523">
      <w:r w:rsidRPr="00826C3D">
        <w:rPr>
          <w:rFonts w:hint="eastAsia"/>
        </w:rPr>
        <w:t>编按：本文表述有改动，现将修订稿重新发布，请读者留意。</w:t>
      </w:r>
    </w:p>
    <w:p w:rsidR="00CB7523" w:rsidRDefault="00CB7523" w:rsidP="00CB7523">
      <w:pPr>
        <w:jc w:val="right"/>
      </w:pPr>
      <w:r w:rsidRPr="00826C3D">
        <w:rPr>
          <w:rFonts w:hint="eastAsia"/>
        </w:rPr>
        <w:t>                                                201</w:t>
      </w:r>
      <w:r>
        <w:t>9</w:t>
      </w:r>
      <w:r w:rsidRPr="00826C3D">
        <w:rPr>
          <w:rFonts w:hint="eastAsia"/>
        </w:rPr>
        <w:t>年1</w:t>
      </w:r>
      <w:r>
        <w:t>0</w:t>
      </w:r>
      <w:r w:rsidRPr="00826C3D">
        <w:rPr>
          <w:rFonts w:hint="eastAsia"/>
        </w:rPr>
        <w:t>月2</w:t>
      </w:r>
      <w:r>
        <w:t>3</w:t>
      </w:r>
      <w:r w:rsidRPr="00826C3D">
        <w:rPr>
          <w:rFonts w:hint="eastAsia"/>
        </w:rPr>
        <w:t>日</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Arial Unicode MS"/>
    <w:charset w:val="88"/>
    <w:family w:val="modern"/>
    <w:pitch w:val="fixed"/>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宋体-18030">
    <w:altName w:val="宋体"/>
    <w:charset w:val="86"/>
    <w:family w:val="modern"/>
    <w:pitch w:val="fixed"/>
    <w:sig w:usb0="00000000" w:usb1="880F3C78" w:usb2="000A005E"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E34747">
      <w:rPr>
        <w:sz w:val="18"/>
        <w:szCs w:val="18"/>
      </w:rPr>
      <w:t>9</w:t>
    </w:r>
    <w:r w:rsidRPr="00C01B1F">
      <w:rPr>
        <w:rFonts w:hint="eastAsia"/>
        <w:sz w:val="18"/>
        <w:szCs w:val="18"/>
      </w:rPr>
      <w:t>年</w:t>
    </w:r>
    <w:r w:rsidR="006108D1">
      <w:rPr>
        <w:sz w:val="18"/>
        <w:szCs w:val="18"/>
      </w:rPr>
      <w:t>3</w:t>
    </w:r>
    <w:r w:rsidRPr="00C01B1F">
      <w:rPr>
        <w:rFonts w:hint="eastAsia"/>
        <w:sz w:val="18"/>
        <w:szCs w:val="18"/>
      </w:rPr>
      <w:t>月</w:t>
    </w:r>
    <w:r w:rsidR="006108D1">
      <w:rPr>
        <w:sz w:val="18"/>
        <w:szCs w:val="18"/>
      </w:rPr>
      <w:t>3</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sidR="00E34747">
      <w:rPr>
        <w:sz w:val="18"/>
        <w:szCs w:val="18"/>
      </w:rPr>
      <w:t>9</w:t>
    </w:r>
    <w:r w:rsidRPr="00C01B1F">
      <w:rPr>
        <w:rFonts w:hint="eastAsia"/>
        <w:sz w:val="18"/>
        <w:szCs w:val="18"/>
      </w:rPr>
      <w:t>年</w:t>
    </w:r>
    <w:r w:rsidR="006108D1">
      <w:rPr>
        <w:sz w:val="18"/>
        <w:szCs w:val="18"/>
      </w:rPr>
      <w:t>3</w:t>
    </w:r>
    <w:r w:rsidRPr="00C01B1F">
      <w:rPr>
        <w:rFonts w:hint="eastAsia"/>
        <w:sz w:val="18"/>
        <w:szCs w:val="18"/>
      </w:rPr>
      <w:t>月</w:t>
    </w:r>
    <w:r w:rsidR="006108D1">
      <w:rPr>
        <w:sz w:val="18"/>
        <w:szCs w:val="18"/>
      </w:rPr>
      <w:t>4</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652" w:rsidRDefault="007E2652" w:rsidP="00CB0024">
      <w:r>
        <w:separator/>
      </w:r>
    </w:p>
  </w:footnote>
  <w:footnote w:type="continuationSeparator" w:id="0">
    <w:p w:rsidR="007E2652" w:rsidRDefault="007E2652"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18778C">
      <w:t>gwz.fudan.edu.cn/Web/Show/</w:t>
    </w:r>
    <w:r w:rsidR="00E34747">
      <w:t>4</w:t>
    </w:r>
    <w:r w:rsidR="006108D1">
      <w:t>393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75pt;height:50.25pt;visibility:visible" o:bullet="t">
        <v:imagedata r:id="rId1" o:title=""/>
      </v:shape>
    </w:pict>
  </w:numPicBullet>
  <w:numPicBullet w:numPicBulletId="1">
    <w:pict>
      <v:shape id="_x0000_i1029" type="#_x0000_t75" style="width:21.75pt;height:29.2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9F15BEC"/>
    <w:multiLevelType w:val="multilevel"/>
    <w:tmpl w:val="5D8E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130CCF"/>
    <w:multiLevelType w:val="multilevel"/>
    <w:tmpl w:val="29D0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9" w15:restartNumberingAfterBreak="0">
    <w:nsid w:val="5A707373"/>
    <w:multiLevelType w:val="singleLevel"/>
    <w:tmpl w:val="5A707373"/>
    <w:lvl w:ilvl="0">
      <w:start w:val="1"/>
      <w:numFmt w:val="chineseCounting"/>
      <w:suff w:val="nothing"/>
      <w:lvlText w:val="第%1，"/>
      <w:lvlJc w:val="left"/>
    </w:lvl>
  </w:abstractNum>
  <w:abstractNum w:abstractNumId="10" w15:restartNumberingAfterBreak="0">
    <w:nsid w:val="5B8304D7"/>
    <w:multiLevelType w:val="multilevel"/>
    <w:tmpl w:val="DB3C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12"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735732D1"/>
    <w:multiLevelType w:val="hybridMultilevel"/>
    <w:tmpl w:val="1E3ADE1C"/>
    <w:lvl w:ilvl="0" w:tplc="373ECBAC">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3"/>
  </w:num>
  <w:num w:numId="2">
    <w:abstractNumId w:val="12"/>
  </w:num>
  <w:num w:numId="3">
    <w:abstractNumId w:val="4"/>
  </w:num>
  <w:num w:numId="4">
    <w:abstractNumId w:val="8"/>
  </w:num>
  <w:num w:numId="5">
    <w:abstractNumId w:val="2"/>
  </w:num>
  <w:num w:numId="6">
    <w:abstractNumId w:val="9"/>
  </w:num>
  <w:num w:numId="7">
    <w:abstractNumId w:val="5"/>
  </w:num>
  <w:num w:numId="8">
    <w:abstractNumId w:val="1"/>
    <w:lvlOverride w:ilvl="0">
      <w:startOverride w:val="1"/>
    </w:lvlOverride>
  </w:num>
  <w:num w:numId="9">
    <w:abstractNumId w:val="0"/>
    <w:lvlOverride w:ilvl="0">
      <w:startOverride w:val="1"/>
    </w:lvlOverride>
  </w:num>
  <w:num w:numId="10">
    <w:abstractNumId w:val="11"/>
  </w:num>
  <w:num w:numId="11">
    <w:abstractNumId w:val="10"/>
  </w:num>
  <w:num w:numId="12">
    <w:abstractNumId w:val="7"/>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433AC"/>
    <w:rsid w:val="00156D70"/>
    <w:rsid w:val="001641C2"/>
    <w:rsid w:val="00167A7A"/>
    <w:rsid w:val="001801DC"/>
    <w:rsid w:val="00186B10"/>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11416"/>
    <w:rsid w:val="00214C6F"/>
    <w:rsid w:val="00216AB7"/>
    <w:rsid w:val="002211DE"/>
    <w:rsid w:val="00231125"/>
    <w:rsid w:val="002346A0"/>
    <w:rsid w:val="00237037"/>
    <w:rsid w:val="002372F1"/>
    <w:rsid w:val="00240D78"/>
    <w:rsid w:val="00240EAB"/>
    <w:rsid w:val="00243FD0"/>
    <w:rsid w:val="0024748E"/>
    <w:rsid w:val="0025043C"/>
    <w:rsid w:val="00251A6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4F8F"/>
    <w:rsid w:val="003914E2"/>
    <w:rsid w:val="00394082"/>
    <w:rsid w:val="00395D81"/>
    <w:rsid w:val="003A0D1A"/>
    <w:rsid w:val="003C03D2"/>
    <w:rsid w:val="003C12E0"/>
    <w:rsid w:val="003C3289"/>
    <w:rsid w:val="003C4800"/>
    <w:rsid w:val="003C4D06"/>
    <w:rsid w:val="003D46B8"/>
    <w:rsid w:val="003E1354"/>
    <w:rsid w:val="003E1502"/>
    <w:rsid w:val="003E1E5C"/>
    <w:rsid w:val="003F604F"/>
    <w:rsid w:val="00403C1D"/>
    <w:rsid w:val="0040573D"/>
    <w:rsid w:val="004127DD"/>
    <w:rsid w:val="00420CE9"/>
    <w:rsid w:val="00421E35"/>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0AC9"/>
    <w:rsid w:val="004D1FA3"/>
    <w:rsid w:val="004D4D7E"/>
    <w:rsid w:val="004E0A07"/>
    <w:rsid w:val="004E6E8E"/>
    <w:rsid w:val="004F244C"/>
    <w:rsid w:val="004F3972"/>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023"/>
    <w:rsid w:val="0053295D"/>
    <w:rsid w:val="0053723F"/>
    <w:rsid w:val="00542D51"/>
    <w:rsid w:val="005444A2"/>
    <w:rsid w:val="00546876"/>
    <w:rsid w:val="00550387"/>
    <w:rsid w:val="00560EBB"/>
    <w:rsid w:val="00564069"/>
    <w:rsid w:val="00570DB1"/>
    <w:rsid w:val="00570E9F"/>
    <w:rsid w:val="005755E3"/>
    <w:rsid w:val="005816FB"/>
    <w:rsid w:val="005825B9"/>
    <w:rsid w:val="00584AEE"/>
    <w:rsid w:val="00586B2B"/>
    <w:rsid w:val="005935F3"/>
    <w:rsid w:val="00594347"/>
    <w:rsid w:val="0059627F"/>
    <w:rsid w:val="005A2D63"/>
    <w:rsid w:val="005A3011"/>
    <w:rsid w:val="005A419C"/>
    <w:rsid w:val="005B29BC"/>
    <w:rsid w:val="005B69A6"/>
    <w:rsid w:val="005C1A21"/>
    <w:rsid w:val="005C51B2"/>
    <w:rsid w:val="005C733C"/>
    <w:rsid w:val="005D22B2"/>
    <w:rsid w:val="005D2F69"/>
    <w:rsid w:val="005D72AD"/>
    <w:rsid w:val="005E2C50"/>
    <w:rsid w:val="0060101E"/>
    <w:rsid w:val="00602939"/>
    <w:rsid w:val="006108D1"/>
    <w:rsid w:val="00610E9E"/>
    <w:rsid w:val="006166C7"/>
    <w:rsid w:val="00620A4F"/>
    <w:rsid w:val="00620F72"/>
    <w:rsid w:val="00623408"/>
    <w:rsid w:val="006245DA"/>
    <w:rsid w:val="0062642B"/>
    <w:rsid w:val="0063183B"/>
    <w:rsid w:val="0063231F"/>
    <w:rsid w:val="00634446"/>
    <w:rsid w:val="00634CBD"/>
    <w:rsid w:val="00635FA4"/>
    <w:rsid w:val="00640B39"/>
    <w:rsid w:val="00641EAB"/>
    <w:rsid w:val="00644E3F"/>
    <w:rsid w:val="00650E61"/>
    <w:rsid w:val="0065256A"/>
    <w:rsid w:val="006608CE"/>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1FC"/>
    <w:rsid w:val="007204C1"/>
    <w:rsid w:val="007317E0"/>
    <w:rsid w:val="0073487E"/>
    <w:rsid w:val="00740478"/>
    <w:rsid w:val="00742DDD"/>
    <w:rsid w:val="0075360F"/>
    <w:rsid w:val="0076174E"/>
    <w:rsid w:val="007624D3"/>
    <w:rsid w:val="007708C6"/>
    <w:rsid w:val="00771D41"/>
    <w:rsid w:val="007721C4"/>
    <w:rsid w:val="0077379F"/>
    <w:rsid w:val="00773918"/>
    <w:rsid w:val="007810E0"/>
    <w:rsid w:val="007A2E1B"/>
    <w:rsid w:val="007A345A"/>
    <w:rsid w:val="007B0257"/>
    <w:rsid w:val="007B1A80"/>
    <w:rsid w:val="007B2FB0"/>
    <w:rsid w:val="007C14EC"/>
    <w:rsid w:val="007C4028"/>
    <w:rsid w:val="007C6D48"/>
    <w:rsid w:val="007D5FCD"/>
    <w:rsid w:val="007D776B"/>
    <w:rsid w:val="007E2652"/>
    <w:rsid w:val="007F5695"/>
    <w:rsid w:val="0080242C"/>
    <w:rsid w:val="00805018"/>
    <w:rsid w:val="008114A2"/>
    <w:rsid w:val="00813ADC"/>
    <w:rsid w:val="008145F2"/>
    <w:rsid w:val="00817E4A"/>
    <w:rsid w:val="00823499"/>
    <w:rsid w:val="00824C88"/>
    <w:rsid w:val="00826C3D"/>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5B97"/>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4E"/>
    <w:rsid w:val="008F65AF"/>
    <w:rsid w:val="00903942"/>
    <w:rsid w:val="00904443"/>
    <w:rsid w:val="00905A67"/>
    <w:rsid w:val="0091798A"/>
    <w:rsid w:val="00920906"/>
    <w:rsid w:val="009218A9"/>
    <w:rsid w:val="00923D4F"/>
    <w:rsid w:val="009263C8"/>
    <w:rsid w:val="00933EFE"/>
    <w:rsid w:val="00941801"/>
    <w:rsid w:val="00941B6B"/>
    <w:rsid w:val="009429E7"/>
    <w:rsid w:val="0094400E"/>
    <w:rsid w:val="0094677C"/>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03A"/>
    <w:rsid w:val="00994CD0"/>
    <w:rsid w:val="00995DB3"/>
    <w:rsid w:val="009A0FAD"/>
    <w:rsid w:val="009A389D"/>
    <w:rsid w:val="009A3D9F"/>
    <w:rsid w:val="009A569F"/>
    <w:rsid w:val="009A75E4"/>
    <w:rsid w:val="009C4773"/>
    <w:rsid w:val="009C5916"/>
    <w:rsid w:val="009C7D0F"/>
    <w:rsid w:val="009E12C0"/>
    <w:rsid w:val="009E1F4B"/>
    <w:rsid w:val="009E50C6"/>
    <w:rsid w:val="009E63D4"/>
    <w:rsid w:val="009F4D40"/>
    <w:rsid w:val="009F600C"/>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B5CAE"/>
    <w:rsid w:val="00AC4C6A"/>
    <w:rsid w:val="00AD0F5C"/>
    <w:rsid w:val="00AD369B"/>
    <w:rsid w:val="00AD48AD"/>
    <w:rsid w:val="00AD56E1"/>
    <w:rsid w:val="00AD6BFC"/>
    <w:rsid w:val="00AD7B0D"/>
    <w:rsid w:val="00AD7E86"/>
    <w:rsid w:val="00AE20DF"/>
    <w:rsid w:val="00AE29A7"/>
    <w:rsid w:val="00AF246E"/>
    <w:rsid w:val="00AF479D"/>
    <w:rsid w:val="00AF504A"/>
    <w:rsid w:val="00AF635B"/>
    <w:rsid w:val="00AF75C8"/>
    <w:rsid w:val="00B00EE9"/>
    <w:rsid w:val="00B02996"/>
    <w:rsid w:val="00B030E6"/>
    <w:rsid w:val="00B059FD"/>
    <w:rsid w:val="00B07332"/>
    <w:rsid w:val="00B20E51"/>
    <w:rsid w:val="00B23528"/>
    <w:rsid w:val="00B27C68"/>
    <w:rsid w:val="00B31DEE"/>
    <w:rsid w:val="00B34DD8"/>
    <w:rsid w:val="00B43721"/>
    <w:rsid w:val="00B4571E"/>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C4F57"/>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B0024"/>
    <w:rsid w:val="00CB3F3F"/>
    <w:rsid w:val="00CB7523"/>
    <w:rsid w:val="00CB77D0"/>
    <w:rsid w:val="00CC33AB"/>
    <w:rsid w:val="00CC54E6"/>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7620F"/>
    <w:rsid w:val="00D77405"/>
    <w:rsid w:val="00D8341A"/>
    <w:rsid w:val="00D84579"/>
    <w:rsid w:val="00D859D5"/>
    <w:rsid w:val="00D85C5E"/>
    <w:rsid w:val="00D875E6"/>
    <w:rsid w:val="00D91E89"/>
    <w:rsid w:val="00D94D4A"/>
    <w:rsid w:val="00D97E7A"/>
    <w:rsid w:val="00DA1546"/>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DF42E0"/>
    <w:rsid w:val="00E01E6C"/>
    <w:rsid w:val="00E03B22"/>
    <w:rsid w:val="00E0700B"/>
    <w:rsid w:val="00E2021E"/>
    <w:rsid w:val="00E2162E"/>
    <w:rsid w:val="00E22FF6"/>
    <w:rsid w:val="00E27BC2"/>
    <w:rsid w:val="00E330F9"/>
    <w:rsid w:val="00E34747"/>
    <w:rsid w:val="00E3579F"/>
    <w:rsid w:val="00E37814"/>
    <w:rsid w:val="00E415C5"/>
    <w:rsid w:val="00E53B98"/>
    <w:rsid w:val="00E74B97"/>
    <w:rsid w:val="00E768A0"/>
    <w:rsid w:val="00E8091B"/>
    <w:rsid w:val="00E84361"/>
    <w:rsid w:val="00E84A0C"/>
    <w:rsid w:val="00E90438"/>
    <w:rsid w:val="00E91058"/>
    <w:rsid w:val="00EA236B"/>
    <w:rsid w:val="00EA3753"/>
    <w:rsid w:val="00EA5B6D"/>
    <w:rsid w:val="00EA7776"/>
    <w:rsid w:val="00EB330F"/>
    <w:rsid w:val="00EB36AF"/>
    <w:rsid w:val="00EB7229"/>
    <w:rsid w:val="00EC15D3"/>
    <w:rsid w:val="00EC60F9"/>
    <w:rsid w:val="00ED01D0"/>
    <w:rsid w:val="00ED2E6F"/>
    <w:rsid w:val="00ED4220"/>
    <w:rsid w:val="00ED7DB3"/>
    <w:rsid w:val="00EE0568"/>
    <w:rsid w:val="00EE05FC"/>
    <w:rsid w:val="00EE4B8A"/>
    <w:rsid w:val="00EE528D"/>
    <w:rsid w:val="00EE617F"/>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72F5"/>
    <w:rsid w:val="00FB45B2"/>
    <w:rsid w:val="00FC4A76"/>
    <w:rsid w:val="00FD3E77"/>
    <w:rsid w:val="00FD71AB"/>
    <w:rsid w:val="00FE080D"/>
    <w:rsid w:val="00FE11EF"/>
    <w:rsid w:val="00FE20AC"/>
    <w:rsid w:val="00FF6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A89D5B"/>
  <w14:defaultImageDpi w14:val="32767"/>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脚注文本 Char1 Char,脚注文本 Char Char Char, Char Char Char Char, Char Char Char1,脚注文本 Char Char Char Char Char Char1,Char Char2"/>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character" w:customStyle="1" w:styleId="aff6">
    <w:name w:val="反切"/>
    <w:rsid w:val="007624D3"/>
    <w:rPr>
      <w:rFonts w:ascii="宋体" w:eastAsia="宋体-方正超大字符集" w:hAnsi="宋体"/>
      <w:noProof/>
      <w:color w:val="800000"/>
      <w:sz w:val="15"/>
      <w:szCs w:val="15"/>
    </w:rPr>
  </w:style>
  <w:style w:type="character" w:customStyle="1" w:styleId="aff7">
    <w:name w:val="夹注二"/>
    <w:rsid w:val="007624D3"/>
    <w:rPr>
      <w:rFonts w:ascii="Times New Roman" w:eastAsia="宋体-方正超大字符集" w:hAnsi="Times New Roman"/>
      <w:dstrike w:val="0"/>
      <w:color w:val="FF6600"/>
      <w:spacing w:val="0"/>
      <w:w w:val="100"/>
      <w:kern w:val="15"/>
      <w:position w:val="0"/>
      <w:sz w:val="15"/>
      <w:szCs w:val="15"/>
    </w:rPr>
  </w:style>
  <w:style w:type="character" w:customStyle="1" w:styleId="aff8">
    <w:name w:val="校记"/>
    <w:rsid w:val="007624D3"/>
    <w:rPr>
      <w:rFonts w:ascii="宋体" w:eastAsia="宋体-方正超大字符集" w:hAnsi="宋体"/>
      <w:color w:val="339933"/>
      <w:kern w:val="15"/>
      <w:sz w:val="15"/>
      <w:szCs w:val="15"/>
    </w:rPr>
  </w:style>
  <w:style w:type="character" w:customStyle="1" w:styleId="17">
    <w:name w:val="新造字1"/>
    <w:rsid w:val="007624D3"/>
    <w:rPr>
      <w:rFonts w:eastAsia="幼圆"/>
      <w:color w:val="3366FF"/>
      <w:kern w:val="0"/>
      <w:position w:val="-1"/>
    </w:rPr>
  </w:style>
  <w:style w:type="character" w:customStyle="1" w:styleId="postfont20">
    <w:name w:val="postfont20"/>
    <w:basedOn w:val="a0"/>
    <w:rsid w:val="007624D3"/>
  </w:style>
  <w:style w:type="paragraph" w:customStyle="1" w:styleId="aff9">
    <w:name w:val="列舉字形"/>
    <w:basedOn w:val="a"/>
    <w:next w:val="a"/>
    <w:autoRedefine/>
    <w:qFormat/>
    <w:rsid w:val="007624D3"/>
    <w:pPr>
      <w:ind w:leftChars="200" w:left="200" w:firstLineChars="200" w:firstLine="200"/>
      <w:textAlignment w:val="center"/>
    </w:pPr>
    <w:rPr>
      <w:rFonts w:ascii="宋体-方正超大字符集" w:eastAsia="宋体-方正超大字符集" w:hAnsi="宋体-18030" w:cs="宋体-18030"/>
      <w:noProof/>
      <w:color w:val="000000"/>
      <w:kern w:val="0"/>
      <w:szCs w:val="28"/>
      <w:lang w:val="zh-CN"/>
    </w:rPr>
  </w:style>
  <w:style w:type="paragraph" w:customStyle="1" w:styleId="p0">
    <w:name w:val="p0"/>
    <w:basedOn w:val="a"/>
    <w:rsid w:val="007624D3"/>
    <w:pPr>
      <w:widowControl/>
    </w:pPr>
    <w:rPr>
      <w:rFonts w:cs="宋体"/>
      <w:kern w:val="0"/>
      <w:sz w:val="21"/>
      <w:szCs w:val="21"/>
    </w:rPr>
  </w:style>
  <w:style w:type="character" w:customStyle="1" w:styleId="150">
    <w:name w:val="15"/>
    <w:rsid w:val="007624D3"/>
    <w:rPr>
      <w:rFonts w:ascii="Times New Roman" w:hAnsi="Times New Roman" w:cs="Times New Roman" w:hint="default"/>
      <w:vertAlign w:val="superscript"/>
    </w:rPr>
  </w:style>
  <w:style w:type="character" w:customStyle="1" w:styleId="Char6">
    <w:name w:val="页眉 Char"/>
    <w:rsid w:val="007624D3"/>
    <w:rPr>
      <w:rFonts w:ascii="Calibri" w:hAnsi="Calibri" w:cs="宋体"/>
      <w:sz w:val="18"/>
      <w:szCs w:val="18"/>
    </w:rPr>
  </w:style>
  <w:style w:type="character" w:customStyle="1" w:styleId="Char7">
    <w:name w:val="页脚 Char"/>
    <w:uiPriority w:val="99"/>
    <w:rsid w:val="007624D3"/>
    <w:rPr>
      <w:rFonts w:ascii="宋体" w:hAnsi="宋体" w:cs="宋体"/>
      <w:sz w:val="18"/>
      <w:szCs w:val="18"/>
    </w:rPr>
  </w:style>
  <w:style w:type="paragraph" w:styleId="affa">
    <w:name w:val="Plain Text"/>
    <w:basedOn w:val="a"/>
    <w:link w:val="18"/>
    <w:rsid w:val="007624D3"/>
    <w:rPr>
      <w:rFonts w:hAnsi="Courier New"/>
      <w:kern w:val="0"/>
      <w:sz w:val="21"/>
      <w:szCs w:val="21"/>
      <w:lang w:val="x-none" w:eastAsia="x-none"/>
    </w:rPr>
  </w:style>
  <w:style w:type="character" w:customStyle="1" w:styleId="affb">
    <w:name w:val="纯文本 字符"/>
    <w:basedOn w:val="a0"/>
    <w:uiPriority w:val="99"/>
    <w:semiHidden/>
    <w:rsid w:val="007624D3"/>
    <w:rPr>
      <w:rFonts w:asciiTheme="minorEastAsia" w:eastAsiaTheme="minorEastAsia" w:hAnsi="Courier New" w:cs="Courier New"/>
      <w:kern w:val="2"/>
      <w:sz w:val="24"/>
      <w:szCs w:val="22"/>
    </w:rPr>
  </w:style>
  <w:style w:type="character" w:customStyle="1" w:styleId="18">
    <w:name w:val="纯文本 字符1"/>
    <w:link w:val="affa"/>
    <w:rsid w:val="007624D3"/>
    <w:rPr>
      <w:rFonts w:ascii="宋体" w:hAnsi="Courier New"/>
      <w:sz w:val="21"/>
      <w:szCs w:val="21"/>
      <w:lang w:val="x-none" w:eastAsia="x-none"/>
    </w:rPr>
  </w:style>
  <w:style w:type="paragraph" w:styleId="affc">
    <w:name w:val="Document Map"/>
    <w:basedOn w:val="a"/>
    <w:link w:val="19"/>
    <w:semiHidden/>
    <w:rsid w:val="007624D3"/>
    <w:pPr>
      <w:shd w:val="clear" w:color="auto" w:fill="000080"/>
    </w:pPr>
    <w:rPr>
      <w:rFonts w:cs="宋体"/>
      <w:sz w:val="21"/>
      <w:szCs w:val="21"/>
    </w:rPr>
  </w:style>
  <w:style w:type="character" w:customStyle="1" w:styleId="affd">
    <w:name w:val="文档结构图 字符"/>
    <w:basedOn w:val="a0"/>
    <w:uiPriority w:val="99"/>
    <w:semiHidden/>
    <w:rsid w:val="007624D3"/>
    <w:rPr>
      <w:rFonts w:ascii="Microsoft YaHei UI" w:eastAsia="Microsoft YaHei UI" w:hAnsi="宋体"/>
      <w:kern w:val="2"/>
      <w:sz w:val="18"/>
      <w:szCs w:val="18"/>
    </w:rPr>
  </w:style>
  <w:style w:type="character" w:customStyle="1" w:styleId="Char8">
    <w:name w:val="日期 Char"/>
    <w:rsid w:val="007624D3"/>
    <w:rPr>
      <w:rFonts w:ascii="宋体" w:hAnsi="宋体" w:cs="宋体"/>
      <w:kern w:val="2"/>
      <w:sz w:val="21"/>
      <w:szCs w:val="21"/>
    </w:rPr>
  </w:style>
  <w:style w:type="character" w:customStyle="1" w:styleId="19">
    <w:name w:val="文档结构图 字符1"/>
    <w:link w:val="affc"/>
    <w:semiHidden/>
    <w:rsid w:val="007624D3"/>
    <w:rPr>
      <w:rFonts w:ascii="宋体" w:hAnsi="宋体" w:cs="宋体"/>
      <w:kern w:val="2"/>
      <w:sz w:val="21"/>
      <w:szCs w:val="21"/>
      <w:shd w:val="clear" w:color="auto" w:fill="000080"/>
    </w:rPr>
  </w:style>
  <w:style w:type="paragraph" w:customStyle="1" w:styleId="1a">
    <w:name w:val="正文1"/>
    <w:rsid w:val="007624D3"/>
    <w:pPr>
      <w:widowControl w:val="0"/>
      <w:jc w:val="both"/>
    </w:pPr>
    <w:rPr>
      <w:rFonts w:ascii="宋体" w:hAnsi="宋体" w:cs="宋体"/>
      <w:kern w:val="2"/>
      <w:sz w:val="21"/>
      <w:szCs w:val="21"/>
    </w:rPr>
  </w:style>
  <w:style w:type="character" w:customStyle="1" w:styleId="jauthordizhi1">
    <w:name w:val="j_author_dizhi1"/>
    <w:rsid w:val="007624D3"/>
    <w:rPr>
      <w:rFonts w:ascii="Verdana" w:hAnsi="Verdana" w:hint="default"/>
      <w:b w:val="0"/>
      <w:b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890610027">
      <w:bodyDiv w:val="1"/>
      <w:marLeft w:val="0"/>
      <w:marRight w:val="0"/>
      <w:marTop w:val="0"/>
      <w:marBottom w:val="0"/>
      <w:divBdr>
        <w:top w:val="none" w:sz="0" w:space="0" w:color="auto"/>
        <w:left w:val="none" w:sz="0" w:space="0" w:color="auto"/>
        <w:bottom w:val="none" w:sz="0" w:space="0" w:color="auto"/>
        <w:right w:val="none" w:sz="0" w:space="0" w:color="auto"/>
      </w:divBdr>
    </w:div>
    <w:div w:id="190705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FF7E-311B-4FFF-B59B-ABC037B0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16</Pages>
  <Words>974</Words>
  <Characters>5554</Characters>
  <Application>Microsoft Office Word</Application>
  <DocSecurity>0</DocSecurity>
  <Lines>46</Lines>
  <Paragraphs>13</Paragraphs>
  <ScaleCrop>false</ScaleCrop>
  <Company>GWZ</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244</cp:revision>
  <dcterms:created xsi:type="dcterms:W3CDTF">2018-01-27T09:07:00Z</dcterms:created>
  <dcterms:modified xsi:type="dcterms:W3CDTF">2019-10-24T14:53:00Z</dcterms:modified>
</cp:coreProperties>
</file>