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023" w:rsidRDefault="00781023" w:rsidP="00781023">
      <w:pPr>
        <w:pStyle w:val="ab"/>
        <w:rPr>
          <w:rFonts w:eastAsia="PMingLiU"/>
          <w:lang w:eastAsia="zh-TW"/>
        </w:rPr>
      </w:pPr>
      <w:bookmarkStart w:id="0" w:name="OLE_LINK1"/>
      <w:bookmarkStart w:id="1" w:name="_GoBack"/>
      <w:r w:rsidRPr="00781023">
        <w:rPr>
          <w:rFonts w:hint="eastAsia"/>
          <w:lang w:eastAsia="zh-TW"/>
        </w:rPr>
        <w:t>讀馬王堆帛書《五十二病方》札記一則</w:t>
      </w:r>
    </w:p>
    <w:p w:rsidR="00D216E9" w:rsidRPr="00D216E9" w:rsidRDefault="00D216E9" w:rsidP="00781023">
      <w:pPr>
        <w:pStyle w:val="ab"/>
        <w:rPr>
          <w:rFonts w:eastAsia="PMingLiU"/>
          <w:lang w:eastAsia="zh-TW"/>
        </w:rPr>
      </w:pPr>
    </w:p>
    <w:p w:rsidR="00D216E9" w:rsidRPr="00781023" w:rsidRDefault="00D216E9" w:rsidP="00D216E9">
      <w:pPr>
        <w:pStyle w:val="ac"/>
      </w:pPr>
      <w:r w:rsidRPr="00781023">
        <w:rPr>
          <w:rFonts w:hint="eastAsia"/>
        </w:rPr>
        <w:t>（首發）</w:t>
      </w:r>
    </w:p>
    <w:p w:rsidR="00D216E9" w:rsidRPr="00781023" w:rsidRDefault="00D216E9" w:rsidP="00D216E9">
      <w:pPr>
        <w:pStyle w:val="ac"/>
        <w:rPr>
          <w:rFonts w:eastAsia="PMingLiU"/>
        </w:rPr>
      </w:pPr>
      <w:r w:rsidRPr="00781023">
        <w:t>方</w:t>
      </w:r>
      <w:r w:rsidRPr="00781023">
        <w:rPr>
          <w:rFonts w:hint="eastAsia"/>
        </w:rPr>
        <w:t xml:space="preserve">  </w:t>
      </w:r>
      <w:r w:rsidRPr="00781023">
        <w:t>勇</w:t>
      </w:r>
    </w:p>
    <w:p w:rsidR="00781023" w:rsidRDefault="00781023" w:rsidP="00781023">
      <w:pPr>
        <w:pStyle w:val="ac"/>
        <w:rPr>
          <w:rFonts w:eastAsia="PMingLiU"/>
        </w:rPr>
      </w:pPr>
      <w:r w:rsidRPr="00781023">
        <w:rPr>
          <w:rFonts w:hint="eastAsia"/>
        </w:rPr>
        <w:t>吉林師範大學</w:t>
      </w:r>
    </w:p>
    <w:p w:rsidR="00D216E9" w:rsidRPr="00D216E9" w:rsidRDefault="00D216E9" w:rsidP="00781023">
      <w:pPr>
        <w:pStyle w:val="ac"/>
        <w:rPr>
          <w:rFonts w:eastAsia="PMingLiU"/>
        </w:rPr>
      </w:pPr>
    </w:p>
    <w:p w:rsidR="00781023" w:rsidRPr="00781023" w:rsidRDefault="00781023" w:rsidP="00D216E9">
      <w:pPr>
        <w:pStyle w:val="aa"/>
        <w:ind w:firstLine="560"/>
        <w:rPr>
          <w:lang w:eastAsia="zh-TW"/>
        </w:rPr>
      </w:pPr>
      <w:r w:rsidRPr="00781023">
        <w:rPr>
          <w:rFonts w:hint="eastAsia"/>
          <w:lang w:eastAsia="zh-TW"/>
        </w:rPr>
        <w:t>裘錫圭先生主編的《長沙馬王堆漢墓簡帛集成》（下文簡稱</w:t>
      </w:r>
      <w:r w:rsidRPr="00781023">
        <w:rPr>
          <w:lang w:eastAsia="zh-TW"/>
        </w:rPr>
        <w:t>“</w:t>
      </w:r>
      <w:r w:rsidRPr="00781023">
        <w:rPr>
          <w:rFonts w:hint="eastAsia"/>
          <w:lang w:eastAsia="zh-TW"/>
        </w:rPr>
        <w:t>《馬集》</w:t>
      </w:r>
      <w:r w:rsidRPr="00781023">
        <w:rPr>
          <w:lang w:eastAsia="zh-TW"/>
        </w:rPr>
        <w:t>”</w:t>
      </w:r>
      <w:r w:rsidRPr="00781023">
        <w:rPr>
          <w:rFonts w:hint="eastAsia"/>
          <w:lang w:eastAsia="zh-TW"/>
        </w:rPr>
        <w:t>）全面整理並完整公佈了上世紀七十年代馬王堆漢墓出土的全部簡帛資料。這次重新整理，《馬集》擇善吸收了近幾十年來學術界對於馬王堆簡帛材料研究的各種優秀成果，它是一部集大成的佳作。筆者在閱讀學習過程中，對帛書《五十二病方》中的一處釋字問題有些新的考釋意見，敬請學術界批評指正。</w:t>
      </w:r>
    </w:p>
    <w:p w:rsidR="00781023" w:rsidRPr="00781023" w:rsidRDefault="00781023" w:rsidP="00D216E9">
      <w:pPr>
        <w:pStyle w:val="aa"/>
        <w:ind w:firstLine="560"/>
        <w:rPr>
          <w:lang w:eastAsia="zh-TW"/>
        </w:rPr>
      </w:pPr>
      <w:r w:rsidRPr="00781023">
        <w:rPr>
          <w:lang w:eastAsia="zh-TW"/>
        </w:rPr>
        <w:t>馬王堆漢墓帛書</w:t>
      </w:r>
      <w:r w:rsidRPr="00781023">
        <w:rPr>
          <w:rFonts w:hint="eastAsia"/>
          <w:lang w:eastAsia="zh-TW"/>
        </w:rPr>
        <w:t>《五十二病方》治療</w:t>
      </w:r>
      <w:r w:rsidRPr="00781023">
        <w:rPr>
          <w:lang w:eastAsia="zh-TW"/>
        </w:rPr>
        <w:t>“</w:t>
      </w:r>
      <w:r w:rsidRPr="00781023">
        <w:rPr>
          <w:rFonts w:hint="eastAsia"/>
          <w:lang w:eastAsia="zh-TW"/>
        </w:rPr>
        <w:t>疣</w:t>
      </w:r>
      <w:r w:rsidRPr="00781023">
        <w:rPr>
          <w:lang w:eastAsia="zh-TW"/>
        </w:rPr>
        <w:t>”</w:t>
      </w:r>
      <w:r w:rsidRPr="00781023">
        <w:rPr>
          <w:rFonts w:hint="eastAsia"/>
          <w:lang w:eastAsia="zh-TW"/>
        </w:rPr>
        <w:t>病有如下內容</w:t>
      </w:r>
      <w:r w:rsidRPr="00781023">
        <w:rPr>
          <w:lang w:eastAsia="zh-TW"/>
        </w:rPr>
        <w:t>：</w:t>
      </w:r>
    </w:p>
    <w:p w:rsidR="00781023" w:rsidRPr="00781023" w:rsidRDefault="00781023" w:rsidP="00D216E9">
      <w:pPr>
        <w:pStyle w:val="aa"/>
        <w:ind w:firstLine="560"/>
        <w:rPr>
          <w:lang w:eastAsia="zh-TW"/>
        </w:rPr>
      </w:pPr>
      <w:r w:rsidRPr="00781023">
        <w:rPr>
          <w:lang w:eastAsia="zh-TW"/>
        </w:rPr>
        <w:t xml:space="preserve">        一，以朔日，葵莖靡（磨）又（疣）二七，言曰：“今日朔，靡（磨）又（疣）以</w:t>
      </w:r>
      <w:r w:rsidRPr="00781023">
        <w:rPr>
          <w:rFonts w:hint="eastAsia"/>
          <w:lang w:eastAsia="zh-TW"/>
        </w:rPr>
        <w:t xml:space="preserve">  </w:t>
      </w:r>
    </w:p>
    <w:p w:rsidR="00781023" w:rsidRPr="00781023" w:rsidRDefault="00781023" w:rsidP="00D216E9">
      <w:pPr>
        <w:pStyle w:val="aa"/>
        <w:ind w:firstLine="560"/>
        <w:rPr>
          <w:lang w:eastAsia="zh-TW"/>
        </w:rPr>
      </w:pPr>
      <w:r w:rsidRPr="00781023">
        <w:rPr>
          <w:lang w:eastAsia="zh-TW"/>
        </w:rPr>
        <w:t xml:space="preserve">   葵</w:t>
      </w:r>
      <w:r w:rsidRPr="00781023">
        <w:rPr>
          <w:noProof/>
        </w:rPr>
        <w:drawing>
          <wp:inline distT="0" distB="0" distL="0" distR="0" wp14:anchorId="04C43494" wp14:editId="7621CDEE">
            <wp:extent cx="113311" cy="108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3311" cy="108000"/>
                    </a:xfrm>
                    <a:prstGeom prst="rect">
                      <a:avLst/>
                    </a:prstGeom>
                    <a:noFill/>
                    <a:ln w="9525">
                      <a:noFill/>
                      <a:miter lim="800000"/>
                      <a:headEnd/>
                      <a:tailEnd/>
                    </a:ln>
                  </pic:spPr>
                </pic:pic>
              </a:graphicData>
            </a:graphic>
          </wp:inline>
        </w:drawing>
      </w:r>
      <w:r w:rsidRPr="00781023">
        <w:rPr>
          <w:lang w:eastAsia="zh-TW"/>
        </w:rPr>
        <w:t>。”有</w:t>
      </w:r>
      <w:r w:rsidRPr="00781023">
        <w:rPr>
          <w:rFonts w:hint="eastAsia"/>
          <w:lang w:eastAsia="zh-TW"/>
        </w:rPr>
        <w:t>（</w:t>
      </w:r>
      <w:r w:rsidRPr="00781023">
        <w:rPr>
          <w:lang w:eastAsia="zh-TW"/>
        </w:rPr>
        <w:t>又</w:t>
      </w:r>
      <w:r w:rsidRPr="00781023">
        <w:rPr>
          <w:rFonts w:hint="eastAsia"/>
          <w:lang w:eastAsia="zh-TW"/>
        </w:rPr>
        <w:t>）</w:t>
      </w:r>
      <w:r w:rsidRPr="00781023">
        <w:rPr>
          <w:lang w:eastAsia="zh-TW"/>
        </w:rPr>
        <w:t>以殺本若道旁</w:t>
      </w:r>
      <w:r w:rsidRPr="00781023">
        <w:rPr>
          <w:noProof/>
        </w:rPr>
        <w:drawing>
          <wp:inline distT="0" distB="0" distL="0" distR="0" wp14:anchorId="09E61E32" wp14:editId="5C212C05">
            <wp:extent cx="108000" cy="1080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08000" cy="108000"/>
                    </a:xfrm>
                    <a:prstGeom prst="rect">
                      <a:avLst/>
                    </a:prstGeom>
                    <a:noFill/>
                    <a:ln w="9525">
                      <a:noFill/>
                      <a:miter lim="800000"/>
                      <a:headEnd/>
                      <a:tailEnd/>
                    </a:ln>
                  </pic:spPr>
                </pic:pic>
              </a:graphicData>
            </a:graphic>
          </wp:inline>
        </w:drawing>
      </w:r>
      <w:r w:rsidRPr="00781023">
        <w:rPr>
          <w:lang w:eastAsia="zh-TW"/>
        </w:rPr>
        <w:t>、楬二七，投109/109澤若□下。●除日巳（已）朢（望）。110/110</w:t>
      </w:r>
      <w:r w:rsidRPr="00781023">
        <w:rPr>
          <w:rFonts w:hint="eastAsia"/>
          <w:lang w:eastAsia="zh-TW"/>
        </w:rPr>
        <w:t>【1】</w:t>
      </w:r>
    </w:p>
    <w:p w:rsidR="00781023" w:rsidRPr="00781023" w:rsidRDefault="00781023" w:rsidP="00D216E9">
      <w:pPr>
        <w:pStyle w:val="aa"/>
        <w:ind w:firstLine="560"/>
        <w:rPr>
          <w:lang w:eastAsia="zh-TW"/>
        </w:rPr>
      </w:pPr>
      <w:r w:rsidRPr="00781023">
        <w:rPr>
          <w:rFonts w:hint="eastAsia"/>
          <w:lang w:eastAsia="zh-TW"/>
        </w:rPr>
        <w:t>其中110行“若”字下面的字在《馬集》圖版中作</w:t>
      </w:r>
      <w:r w:rsidRPr="00781023">
        <w:rPr>
          <w:rFonts w:hint="eastAsia"/>
          <w:noProof/>
        </w:rPr>
        <w:drawing>
          <wp:inline distT="0" distB="0" distL="0" distR="0" wp14:anchorId="7FA29D12" wp14:editId="1C70B2E7">
            <wp:extent cx="190303" cy="194945"/>
            <wp:effectExtent l="0" t="0" r="0" b="0"/>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lum bright="-10000" contrast="30000"/>
                    </a:blip>
                    <a:srcRect/>
                    <a:stretch>
                      <a:fillRect/>
                    </a:stretch>
                  </pic:blipFill>
                  <pic:spPr bwMode="auto">
                    <a:xfrm>
                      <a:off x="0" y="0"/>
                      <a:ext cx="204311" cy="209295"/>
                    </a:xfrm>
                    <a:prstGeom prst="rect">
                      <a:avLst/>
                    </a:prstGeom>
                    <a:noFill/>
                    <a:ln w="9525">
                      <a:noFill/>
                      <a:miter lim="800000"/>
                      <a:headEnd/>
                      <a:tailEnd/>
                    </a:ln>
                  </pic:spPr>
                </pic:pic>
              </a:graphicData>
            </a:graphic>
          </wp:inline>
        </w:drawing>
      </w:r>
      <w:r w:rsidRPr="00781023">
        <w:rPr>
          <w:rFonts w:hint="eastAsia"/>
          <w:lang w:eastAsia="zh-TW"/>
        </w:rPr>
        <w:t>形；在</w:t>
      </w:r>
      <w:r w:rsidRPr="00781023">
        <w:rPr>
          <w:lang w:eastAsia="zh-TW"/>
        </w:rPr>
        <w:t>1985</w:t>
      </w:r>
      <w:r w:rsidRPr="00781023">
        <w:rPr>
          <w:rFonts w:hint="eastAsia"/>
          <w:lang w:eastAsia="zh-TW"/>
        </w:rPr>
        <w:lastRenderedPageBreak/>
        <w:t>年出版的《馬王堆漢墓帛書〔肆〕》圖版中作</w:t>
      </w:r>
      <w:r w:rsidRPr="00781023">
        <w:rPr>
          <w:noProof/>
        </w:rPr>
        <w:drawing>
          <wp:inline distT="0" distB="0" distL="0" distR="0" wp14:anchorId="2A8C0908" wp14:editId="59434BD3">
            <wp:extent cx="167728" cy="20798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176122" cy="218392"/>
                    </a:xfrm>
                    <a:prstGeom prst="rect">
                      <a:avLst/>
                    </a:prstGeom>
                  </pic:spPr>
                </pic:pic>
              </a:graphicData>
            </a:graphic>
          </wp:inline>
        </w:drawing>
      </w:r>
      <w:r w:rsidRPr="00781023">
        <w:rPr>
          <w:rFonts w:hint="eastAsia"/>
          <w:lang w:eastAsia="zh-TW"/>
        </w:rPr>
        <w:t>形，【2】整理者認爲是“淵”字，《馬集》編著者引陳劍先生（</w:t>
      </w:r>
      <w:r w:rsidRPr="00781023">
        <w:rPr>
          <w:lang w:eastAsia="zh-TW"/>
        </w:rPr>
        <w:t>2010</w:t>
      </w:r>
      <w:r w:rsidRPr="00781023">
        <w:rPr>
          <w:rFonts w:hint="eastAsia"/>
          <w:lang w:eastAsia="zh-TW"/>
        </w:rPr>
        <w:t>）意見認爲釋“淵”於形不合，且“淵下”亦不辭。我們認爲陳先生的意見正确。此字應該不是“淵”字，諸如馬王堆帛書中的“淵”字常作</w:t>
      </w:r>
      <w:r w:rsidRPr="00781023">
        <w:rPr>
          <w:noProof/>
        </w:rPr>
        <w:drawing>
          <wp:inline distT="0" distB="0" distL="0" distR="0" wp14:anchorId="05C0C847" wp14:editId="4FD0117A">
            <wp:extent cx="228600" cy="1814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52293" cy="200207"/>
                    </a:xfrm>
                    <a:prstGeom prst="rect">
                      <a:avLst/>
                    </a:prstGeom>
                  </pic:spPr>
                </pic:pic>
              </a:graphicData>
            </a:graphic>
          </wp:inline>
        </w:drawing>
      </w:r>
      <w:r w:rsidRPr="00781023">
        <w:rPr>
          <w:rFonts w:hint="eastAsia"/>
          <w:lang w:eastAsia="zh-TW"/>
        </w:rPr>
        <w:t>、</w:t>
      </w:r>
      <w:r w:rsidRPr="00781023">
        <w:rPr>
          <w:noProof/>
        </w:rPr>
        <w:drawing>
          <wp:inline distT="0" distB="0" distL="0" distR="0" wp14:anchorId="7C3B4C4F" wp14:editId="09EB6E7C">
            <wp:extent cx="255815" cy="226578"/>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278606" cy="246764"/>
                    </a:xfrm>
                    <a:prstGeom prst="rect">
                      <a:avLst/>
                    </a:prstGeom>
                  </pic:spPr>
                </pic:pic>
              </a:graphicData>
            </a:graphic>
          </wp:inline>
        </w:drawing>
      </w:r>
      <w:r w:rsidRPr="00781023">
        <w:rPr>
          <w:rFonts w:hint="eastAsia"/>
          <w:lang w:eastAsia="zh-TW"/>
        </w:rPr>
        <w:t>形，【3】可證上舉的</w:t>
      </w:r>
      <w:r w:rsidRPr="00781023">
        <w:rPr>
          <w:rFonts w:hint="eastAsia"/>
          <w:noProof/>
        </w:rPr>
        <w:drawing>
          <wp:inline distT="0" distB="0" distL="0" distR="0" wp14:anchorId="27FA4139" wp14:editId="46A4E7B2">
            <wp:extent cx="193404" cy="198120"/>
            <wp:effectExtent l="0" t="0" r="0" b="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lum bright="-10000" contrast="30000"/>
                    </a:blip>
                    <a:srcRect/>
                    <a:stretch>
                      <a:fillRect/>
                    </a:stretch>
                  </pic:blipFill>
                  <pic:spPr bwMode="auto">
                    <a:xfrm>
                      <a:off x="0" y="0"/>
                      <a:ext cx="211742" cy="216905"/>
                    </a:xfrm>
                    <a:prstGeom prst="rect">
                      <a:avLst/>
                    </a:prstGeom>
                    <a:noFill/>
                    <a:ln w="9525">
                      <a:noFill/>
                      <a:miter lim="800000"/>
                      <a:headEnd/>
                      <a:tailEnd/>
                    </a:ln>
                  </pic:spPr>
                </pic:pic>
              </a:graphicData>
            </a:graphic>
          </wp:inline>
        </w:drawing>
      </w:r>
      <w:r w:rsidRPr="00781023">
        <w:rPr>
          <w:rFonts w:hint="eastAsia"/>
          <w:lang w:eastAsia="zh-TW"/>
        </w:rPr>
        <w:t>及</w:t>
      </w:r>
      <w:r w:rsidRPr="00781023">
        <w:rPr>
          <w:noProof/>
        </w:rPr>
        <w:drawing>
          <wp:inline distT="0" distB="0" distL="0" distR="0" wp14:anchorId="3F597626" wp14:editId="66166B84">
            <wp:extent cx="168729" cy="20922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179602" cy="222708"/>
                    </a:xfrm>
                    <a:prstGeom prst="rect">
                      <a:avLst/>
                    </a:prstGeom>
                  </pic:spPr>
                </pic:pic>
              </a:graphicData>
            </a:graphic>
          </wp:inline>
        </w:drawing>
      </w:r>
      <w:r w:rsidRPr="00781023">
        <w:rPr>
          <w:rFonts w:hint="eastAsia"/>
          <w:lang w:eastAsia="zh-TW"/>
        </w:rPr>
        <w:t>形與“淵”字毫無瓜葛。</w:t>
      </w:r>
    </w:p>
    <w:p w:rsidR="00781023" w:rsidRPr="00781023" w:rsidRDefault="00781023" w:rsidP="00D216E9">
      <w:pPr>
        <w:pStyle w:val="aa"/>
        <w:ind w:firstLine="560"/>
        <w:rPr>
          <w:lang w:eastAsia="zh-TW"/>
        </w:rPr>
      </w:pPr>
      <w:r w:rsidRPr="00781023">
        <w:rPr>
          <w:rFonts w:hint="eastAsia"/>
          <w:lang w:eastAsia="zh-TW"/>
        </w:rPr>
        <w:t>此形其實應爲“稽”字，如馬王堆簡帛中的諸“稽”字常作</w:t>
      </w:r>
      <w:r w:rsidRPr="00781023">
        <w:rPr>
          <w:lang w:eastAsia="zh-TW"/>
        </w:rPr>
        <w:t xml:space="preserve"> </w:t>
      </w:r>
      <w:r w:rsidRPr="00781023">
        <w:rPr>
          <w:noProof/>
        </w:rPr>
        <w:drawing>
          <wp:inline distT="0" distB="0" distL="0" distR="0" wp14:anchorId="05278D62" wp14:editId="5967A7B1">
            <wp:extent cx="185057" cy="19027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03925" cy="209670"/>
                    </a:xfrm>
                    <a:prstGeom prst="rect">
                      <a:avLst/>
                    </a:prstGeom>
                  </pic:spPr>
                </pic:pic>
              </a:graphicData>
            </a:graphic>
          </wp:inline>
        </w:drawing>
      </w:r>
      <w:r w:rsidRPr="00781023">
        <w:rPr>
          <w:rFonts w:hint="eastAsia"/>
          <w:lang w:eastAsia="zh-TW"/>
        </w:rPr>
        <w:t>、</w:t>
      </w:r>
      <w:r w:rsidRPr="00781023">
        <w:rPr>
          <w:noProof/>
        </w:rPr>
        <w:drawing>
          <wp:inline distT="0" distB="0" distL="0" distR="0" wp14:anchorId="789908E4" wp14:editId="21F6F9A2">
            <wp:extent cx="201385" cy="19070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220611" cy="208910"/>
                    </a:xfrm>
                    <a:prstGeom prst="rect">
                      <a:avLst/>
                    </a:prstGeom>
                  </pic:spPr>
                </pic:pic>
              </a:graphicData>
            </a:graphic>
          </wp:inline>
        </w:drawing>
      </w:r>
      <w:r w:rsidRPr="00781023">
        <w:rPr>
          <w:rFonts w:hint="eastAsia"/>
          <w:lang w:eastAsia="zh-TW"/>
        </w:rPr>
        <w:t>、</w:t>
      </w:r>
      <w:r w:rsidRPr="00781023">
        <w:rPr>
          <w:noProof/>
        </w:rPr>
        <w:drawing>
          <wp:inline distT="0" distB="0" distL="0" distR="0" wp14:anchorId="1AD3776C" wp14:editId="3D992D39">
            <wp:extent cx="174171" cy="2105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88214" cy="227494"/>
                    </a:xfrm>
                    <a:prstGeom prst="rect">
                      <a:avLst/>
                    </a:prstGeom>
                  </pic:spPr>
                </pic:pic>
              </a:graphicData>
            </a:graphic>
          </wp:inline>
        </w:drawing>
      </w:r>
      <w:r w:rsidRPr="00781023">
        <w:rPr>
          <w:rFonts w:hint="eastAsia"/>
          <w:lang w:eastAsia="zh-TW"/>
        </w:rPr>
        <w:t>、</w:t>
      </w:r>
      <w:r w:rsidRPr="00781023">
        <w:rPr>
          <w:noProof/>
        </w:rPr>
        <w:drawing>
          <wp:inline distT="0" distB="0" distL="0" distR="0" wp14:anchorId="3868A605" wp14:editId="21B5DE24">
            <wp:extent cx="213074" cy="192586"/>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220113" cy="198948"/>
                    </a:xfrm>
                    <a:prstGeom prst="rect">
                      <a:avLst/>
                    </a:prstGeom>
                  </pic:spPr>
                </pic:pic>
              </a:graphicData>
            </a:graphic>
          </wp:inline>
        </w:drawing>
      </w:r>
      <w:r w:rsidRPr="00781023">
        <w:rPr>
          <w:rFonts w:hint="eastAsia"/>
          <w:lang w:eastAsia="zh-TW"/>
        </w:rPr>
        <w:t>、</w:t>
      </w:r>
      <w:r w:rsidRPr="00781023">
        <w:rPr>
          <w:noProof/>
        </w:rPr>
        <w:drawing>
          <wp:inline distT="0" distB="0" distL="0" distR="0" wp14:anchorId="5917DA20" wp14:editId="0317EFAB">
            <wp:extent cx="146957" cy="189574"/>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52444" cy="196652"/>
                    </a:xfrm>
                    <a:prstGeom prst="rect">
                      <a:avLst/>
                    </a:prstGeom>
                  </pic:spPr>
                </pic:pic>
              </a:graphicData>
            </a:graphic>
          </wp:inline>
        </w:drawing>
      </w:r>
      <w:r w:rsidRPr="00781023">
        <w:rPr>
          <w:rFonts w:hint="eastAsia"/>
          <w:lang w:eastAsia="zh-TW"/>
        </w:rPr>
        <w:t>、</w:t>
      </w:r>
      <w:r w:rsidRPr="00781023">
        <w:rPr>
          <w:noProof/>
        </w:rPr>
        <w:drawing>
          <wp:inline distT="0" distB="0" distL="0" distR="0" wp14:anchorId="48523821" wp14:editId="15402EFF">
            <wp:extent cx="224857" cy="19104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229172" cy="194710"/>
                    </a:xfrm>
                    <a:prstGeom prst="rect">
                      <a:avLst/>
                    </a:prstGeom>
                  </pic:spPr>
                </pic:pic>
              </a:graphicData>
            </a:graphic>
          </wp:inline>
        </w:drawing>
      </w:r>
      <w:r w:rsidRPr="00781023">
        <w:rPr>
          <w:rFonts w:hint="eastAsia"/>
          <w:lang w:eastAsia="zh-TW"/>
        </w:rPr>
        <w:t>、</w:t>
      </w:r>
      <w:r w:rsidRPr="00781023">
        <w:rPr>
          <w:noProof/>
        </w:rPr>
        <w:drawing>
          <wp:inline distT="0" distB="0" distL="0" distR="0" wp14:anchorId="5A57B16B" wp14:editId="713E4C54">
            <wp:extent cx="190500" cy="20002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94296" cy="204012"/>
                    </a:xfrm>
                    <a:prstGeom prst="rect">
                      <a:avLst/>
                    </a:prstGeom>
                  </pic:spPr>
                </pic:pic>
              </a:graphicData>
            </a:graphic>
          </wp:inline>
        </w:drawing>
      </w:r>
      <w:r w:rsidRPr="00781023">
        <w:rPr>
          <w:rFonts w:hint="eastAsia"/>
          <w:lang w:eastAsia="zh-TW"/>
        </w:rPr>
        <w:t>形，【4】通過觀察馬王堆簡帛中的“稽”字形可以看出，這些字形整體來說可以分爲兩類：一類是右側从攴从旨，一類是右側从又从旨形。仔細觀察</w:t>
      </w:r>
      <w:r w:rsidRPr="00781023">
        <w:rPr>
          <w:lang w:eastAsia="zh-TW"/>
        </w:rPr>
        <w:t>1985</w:t>
      </w:r>
      <w:r w:rsidRPr="00781023">
        <w:rPr>
          <w:rFonts w:hint="eastAsia"/>
          <w:lang w:eastAsia="zh-TW"/>
        </w:rPr>
        <w:t>年黑白圖版的</w:t>
      </w:r>
      <w:r w:rsidRPr="00781023">
        <w:rPr>
          <w:noProof/>
        </w:rPr>
        <w:drawing>
          <wp:inline distT="0" distB="0" distL="0" distR="0" wp14:anchorId="7E033962" wp14:editId="5CBD6301">
            <wp:extent cx="169053" cy="209626"/>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183759" cy="227862"/>
                    </a:xfrm>
                    <a:prstGeom prst="rect">
                      <a:avLst/>
                    </a:prstGeom>
                  </pic:spPr>
                </pic:pic>
              </a:graphicData>
            </a:graphic>
          </wp:inline>
        </w:drawing>
      </w:r>
      <w:r w:rsidRPr="00781023">
        <w:rPr>
          <w:rFonts w:hint="eastAsia"/>
          <w:lang w:eastAsia="zh-TW"/>
        </w:rPr>
        <w:t>形，很明顯此形左側是从“</w:t>
      </w:r>
      <w:r w:rsidRPr="00781023">
        <w:rPr>
          <w:noProof/>
        </w:rPr>
        <w:drawing>
          <wp:inline distT="0" distB="0" distL="0" distR="0" wp14:anchorId="688C07AF" wp14:editId="5F0FBB1C">
            <wp:extent cx="103680" cy="1080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biLevel thresh="75000"/>
                    </a:blip>
                    <a:stretch>
                      <a:fillRect/>
                    </a:stretch>
                  </pic:blipFill>
                  <pic:spPr>
                    <a:xfrm>
                      <a:off x="0" y="0"/>
                      <a:ext cx="103680" cy="108000"/>
                    </a:xfrm>
                    <a:prstGeom prst="rect">
                      <a:avLst/>
                    </a:prstGeom>
                  </pic:spPr>
                </pic:pic>
              </a:graphicData>
            </a:graphic>
          </wp:inline>
        </w:drawing>
      </w:r>
      <w:r w:rsidRPr="00781023">
        <w:rPr>
          <w:rFonts w:hint="eastAsia"/>
          <w:lang w:eastAsia="zh-TW"/>
        </w:rPr>
        <w:t>”形，雖然其右側字形中間部分殘泐，其上部明顯爲攴形，其下部的匕形（已殘泐）與甘形筆劃黏連，故整個字形和前一類“稽”形十分接近</w:t>
      </w:r>
      <w:r w:rsidRPr="00781023">
        <w:rPr>
          <w:lang w:eastAsia="zh-TW"/>
        </w:rPr>
        <w:t xml:space="preserve"> </w:t>
      </w:r>
      <w:r w:rsidRPr="00781023">
        <w:rPr>
          <w:rFonts w:hint="eastAsia"/>
          <w:lang w:eastAsia="zh-TW"/>
        </w:rPr>
        <w:t>，此字釋爲“稽”字最合適。</w:t>
      </w:r>
    </w:p>
    <w:p w:rsidR="00781023" w:rsidRPr="00781023" w:rsidRDefault="00781023" w:rsidP="00D216E9">
      <w:pPr>
        <w:pStyle w:val="aa"/>
        <w:ind w:firstLine="560"/>
        <w:rPr>
          <w:lang w:eastAsia="zh-TW"/>
        </w:rPr>
      </w:pPr>
      <w:r w:rsidRPr="00781023">
        <w:rPr>
          <w:rFonts w:hint="eastAsia"/>
          <w:lang w:eastAsia="zh-TW"/>
        </w:rPr>
        <w:t>上舉《五十二病方》中的“稽”字和其下文的“下”字爲一詞組，我們疑“稽”讀爲“楷”字。“楷”上古音爲溪母脂部，“稽”字爲見母脂部，二者同爲牙音，韻部相同，故可以相通。《老子》六十五章：“知此兩者亦稽式。”《釋文》：“稽，嚴、河上作楷。”按今河上本作楷。【5】《說文·木部》：“楷，木也。孔子塚葢樹之者。”《段注》曰：“《皇覽》云，塚塋中，樹以百數，皆異種。傳言弟子各持</w:t>
      </w:r>
      <w:r w:rsidRPr="00781023">
        <w:rPr>
          <w:rFonts w:hint="eastAsia"/>
          <w:lang w:eastAsia="zh-TW"/>
        </w:rPr>
        <w:lastRenderedPageBreak/>
        <w:t>其方樹來種之。按：楷亦方樹之一也。《儒行》曰：‘今世行之</w:t>
      </w:r>
      <w:r w:rsidRPr="00781023">
        <w:rPr>
          <w:lang w:eastAsia="zh-TW"/>
        </w:rPr>
        <w:t>,</w:t>
      </w:r>
      <w:r w:rsidRPr="00781023">
        <w:rPr>
          <w:rFonts w:hint="eastAsia"/>
          <w:lang w:eastAsia="zh-TW"/>
        </w:rPr>
        <w:t>後世以爲楷。’楷</w:t>
      </w:r>
      <w:r w:rsidRPr="00781023">
        <w:rPr>
          <w:lang w:eastAsia="zh-TW"/>
        </w:rPr>
        <w:t>,</w:t>
      </w:r>
      <w:r w:rsidRPr="00781023">
        <w:rPr>
          <w:rFonts w:hint="eastAsia"/>
          <w:lang w:eastAsia="zh-TW"/>
        </w:rPr>
        <w:t>法式也</w:t>
      </w:r>
      <w:r w:rsidRPr="00781023">
        <w:rPr>
          <w:lang w:eastAsia="zh-TW"/>
        </w:rPr>
        <w:t>,</w:t>
      </w:r>
      <w:r w:rsidRPr="00781023">
        <w:rPr>
          <w:rFonts w:hint="eastAsia"/>
          <w:lang w:eastAsia="zh-TW"/>
        </w:rPr>
        <w:t>楷之言稽。我稽古</w:t>
      </w:r>
      <w:r w:rsidRPr="00781023">
        <w:rPr>
          <w:lang w:eastAsia="zh-TW"/>
        </w:rPr>
        <w:t>,</w:t>
      </w:r>
      <w:r w:rsidRPr="00781023">
        <w:rPr>
          <w:rFonts w:hint="eastAsia"/>
          <w:lang w:eastAsia="zh-TW"/>
        </w:rPr>
        <w:t>而後世又於此焉稽也。</w:t>
      </w:r>
      <w:r w:rsidRPr="00781023">
        <w:rPr>
          <w:lang w:eastAsia="zh-TW"/>
        </w:rPr>
        <w:t>”</w:t>
      </w:r>
    </w:p>
    <w:p w:rsidR="00781023" w:rsidRPr="00781023" w:rsidRDefault="00781023" w:rsidP="00D216E9">
      <w:pPr>
        <w:pStyle w:val="aa"/>
        <w:ind w:firstLine="560"/>
        <w:rPr>
          <w:lang w:eastAsia="zh-TW"/>
        </w:rPr>
      </w:pPr>
      <w:r w:rsidRPr="00781023">
        <w:rPr>
          <w:rFonts w:hint="eastAsia"/>
          <w:lang w:eastAsia="zh-TW"/>
        </w:rPr>
        <w:t>據《漢語大字典》載：</w:t>
      </w:r>
    </w:p>
    <w:p w:rsidR="00781023" w:rsidRPr="00781023" w:rsidRDefault="00781023" w:rsidP="00D216E9">
      <w:pPr>
        <w:pStyle w:val="aa"/>
        <w:ind w:firstLine="560"/>
        <w:rPr>
          <w:lang w:eastAsia="zh-TW"/>
        </w:rPr>
      </w:pPr>
      <w:r w:rsidRPr="00781023">
        <w:rPr>
          <w:rFonts w:hint="eastAsia"/>
          <w:lang w:eastAsia="zh-TW"/>
        </w:rPr>
        <w:t>唐·段成式《酉陽雜俎·木篇》：“孔子墓上特多楷木。”清·劉獻廷《廣陽雜記》卷一：“楷木，即今之黃連頭樹也。楷有癭，可以爲器。”《清朝野史大觀·清人逸事·孔東塘出山異數記》：“上問楷木何所用之？尚任奏曰：‘其木可爲杖，又可爲棋，其木之癭可爲瓢，其葉可爲蔬，又可爲茶，其子榨油可爲膏燭。’”【6】</w:t>
      </w:r>
    </w:p>
    <w:p w:rsidR="00781023" w:rsidRPr="00781023" w:rsidRDefault="00781023" w:rsidP="00D216E9">
      <w:pPr>
        <w:pStyle w:val="aa"/>
        <w:ind w:firstLine="560"/>
        <w:rPr>
          <w:lang w:eastAsia="zh-TW"/>
        </w:rPr>
      </w:pPr>
      <w:r w:rsidRPr="00781023">
        <w:rPr>
          <w:rFonts w:hint="eastAsia"/>
          <w:lang w:eastAsia="zh-TW"/>
        </w:rPr>
        <w:t>由此可見，“稽”讀爲“楷”，指黃連木。又據上引《漢語大字典》記載，楷樹爲漆樹科，落葉喬木。木質黃色，堅硬，細緻，耐用，可供建築、細木工等用。嫩葉可食或代用。帛書文“稽（楷）下”當可指楷樹下。帛書中的“殺”，整理者讀爲榝，蔱，《說文》：“榝，似茱萸，出淮南。”帛書中的“</w:t>
      </w:r>
      <w:r w:rsidRPr="00781023">
        <w:rPr>
          <w:noProof/>
        </w:rPr>
        <w:drawing>
          <wp:inline distT="0" distB="0" distL="0" distR="0" wp14:anchorId="798A08A5" wp14:editId="3F7A9C3A">
            <wp:extent cx="122400" cy="122400"/>
            <wp:effectExtent l="0" t="0" r="0" b="0"/>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22400" cy="122400"/>
                    </a:xfrm>
                    <a:prstGeom prst="rect">
                      <a:avLst/>
                    </a:prstGeom>
                    <a:noFill/>
                    <a:ln w="9525">
                      <a:noFill/>
                      <a:miter lim="800000"/>
                      <a:headEnd/>
                      <a:tailEnd/>
                    </a:ln>
                  </pic:spPr>
                </pic:pic>
              </a:graphicData>
            </a:graphic>
          </wp:inline>
        </w:drawing>
      </w:r>
      <w:r w:rsidRPr="00781023">
        <w:rPr>
          <w:rFonts w:hint="eastAsia"/>
          <w:lang w:eastAsia="zh-TW"/>
        </w:rPr>
        <w:t>”，整理者讀爲“葥”，指地盧。趙有臣先生釋為“道旁</w:t>
      </w:r>
      <w:r w:rsidRPr="00781023">
        <w:rPr>
          <w:noProof/>
        </w:rPr>
        <w:drawing>
          <wp:inline distT="0" distB="0" distL="0" distR="0" wp14:anchorId="5DC82154" wp14:editId="61B37F8F">
            <wp:extent cx="122400" cy="122400"/>
            <wp:effectExtent l="0" t="0" r="0" b="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22400" cy="122400"/>
                    </a:xfrm>
                    <a:prstGeom prst="rect">
                      <a:avLst/>
                    </a:prstGeom>
                    <a:noFill/>
                    <a:ln w="9525">
                      <a:noFill/>
                      <a:miter lim="800000"/>
                      <a:headEnd/>
                      <a:tailEnd/>
                    </a:ln>
                  </pic:spPr>
                </pic:pic>
              </a:graphicData>
            </a:graphic>
          </wp:inline>
        </w:drawing>
      </w:r>
      <w:r w:rsidRPr="00781023">
        <w:rPr>
          <w:rFonts w:hint="eastAsia"/>
          <w:lang w:eastAsia="zh-TW"/>
        </w:rPr>
        <w:t>”，指車前草。【7】《馬集》編著者引陳劍先生意見認爲“</w:t>
      </w:r>
      <w:r w:rsidRPr="00781023">
        <w:rPr>
          <w:noProof/>
        </w:rPr>
        <w:drawing>
          <wp:inline distT="0" distB="0" distL="0" distR="0" wp14:anchorId="3E318E4E" wp14:editId="0E2D1BC2">
            <wp:extent cx="122400" cy="122400"/>
            <wp:effectExtent l="0" t="0" r="0" b="0"/>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22400" cy="122400"/>
                    </a:xfrm>
                    <a:prstGeom prst="rect">
                      <a:avLst/>
                    </a:prstGeom>
                    <a:noFill/>
                    <a:ln w="9525">
                      <a:noFill/>
                      <a:miter lim="800000"/>
                      <a:headEnd/>
                      <a:tailEnd/>
                    </a:ln>
                  </pic:spPr>
                </pic:pic>
              </a:graphicData>
            </a:graphic>
          </wp:inline>
        </w:drawing>
      </w:r>
      <w:r w:rsidRPr="00781023">
        <w:rPr>
          <w:rFonts w:hint="eastAsia"/>
          <w:lang w:eastAsia="zh-TW"/>
        </w:rPr>
        <w:t>”即“㡐”，“道旁</w:t>
      </w:r>
      <w:r w:rsidRPr="00781023">
        <w:rPr>
          <w:noProof/>
        </w:rPr>
        <w:drawing>
          <wp:inline distT="0" distB="0" distL="0" distR="0" wp14:anchorId="738E97A6" wp14:editId="405CA1A8">
            <wp:extent cx="118800" cy="118800"/>
            <wp:effectExtent l="0" t="0" r="0" b="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18800" cy="118800"/>
                    </a:xfrm>
                    <a:prstGeom prst="rect">
                      <a:avLst/>
                    </a:prstGeom>
                    <a:noFill/>
                    <a:ln w="9525">
                      <a:noFill/>
                      <a:miter lim="800000"/>
                      <a:headEnd/>
                      <a:tailEnd/>
                    </a:ln>
                  </pic:spPr>
                </pic:pic>
              </a:graphicData>
            </a:graphic>
          </wp:inline>
        </w:drawing>
      </w:r>
      <w:r w:rsidRPr="00781023">
        <w:rPr>
          <w:rFonts w:hint="eastAsia"/>
          <w:lang w:eastAsia="zh-TW"/>
        </w:rPr>
        <w:t>”指道旁幡幟，用作祝由方的巫術用品。“楬”，整理者原釋爲“根”，此亦爲陳劍先生改釋，指作標記用的小木椿。</w:t>
      </w:r>
    </w:p>
    <w:p w:rsidR="00781023" w:rsidRPr="00781023" w:rsidRDefault="00781023" w:rsidP="00D216E9">
      <w:pPr>
        <w:pStyle w:val="aa"/>
        <w:ind w:firstLine="560"/>
        <w:rPr>
          <w:lang w:eastAsia="zh-TW"/>
        </w:rPr>
      </w:pPr>
      <w:r w:rsidRPr="00781023">
        <w:rPr>
          <w:rFonts w:hint="eastAsia"/>
          <w:lang w:eastAsia="zh-TW"/>
        </w:rPr>
        <w:t>按，以上陳先生的改釋正確可从。帛書“有（又）以殺本若道旁</w:t>
      </w:r>
      <w:r w:rsidRPr="00781023">
        <w:rPr>
          <w:noProof/>
        </w:rPr>
        <w:lastRenderedPageBreak/>
        <w:drawing>
          <wp:inline distT="0" distB="0" distL="0" distR="0" wp14:anchorId="3CB288AB" wp14:editId="2831CB69">
            <wp:extent cx="118800" cy="118800"/>
            <wp:effectExtent l="0" t="0" r="0" b="0"/>
            <wp:docPr id="2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18800" cy="118800"/>
                    </a:xfrm>
                    <a:prstGeom prst="rect">
                      <a:avLst/>
                    </a:prstGeom>
                    <a:noFill/>
                    <a:ln w="9525">
                      <a:noFill/>
                      <a:miter lim="800000"/>
                      <a:headEnd/>
                      <a:tailEnd/>
                    </a:ln>
                  </pic:spPr>
                </pic:pic>
              </a:graphicData>
            </a:graphic>
          </wp:inline>
        </w:drawing>
      </w:r>
      <w:r w:rsidRPr="00781023">
        <w:rPr>
          <w:rFonts w:hint="eastAsia"/>
          <w:lang w:eastAsia="zh-TW"/>
        </w:rPr>
        <w:t>、楬二七，投澤若稽（楷）下。”即是指將榝根（或指靠根的莖幹）或者道旁的幡幟、作標記用的小木椿十四枚投於楷樹下。此外，據上引清·劉獻廷《廣陽雜記》記載“楷有癭，可以爲器”的内容，我們考慮古人是否在用“楷有癭”來影射人之長“疣”？這個問題值得玩味。</w:t>
      </w:r>
    </w:p>
    <w:p w:rsidR="00781023" w:rsidRPr="00781023" w:rsidRDefault="00781023" w:rsidP="00D216E9">
      <w:pPr>
        <w:pStyle w:val="aa"/>
        <w:ind w:firstLine="560"/>
        <w:rPr>
          <w:lang w:eastAsia="zh-TW"/>
        </w:rPr>
      </w:pPr>
      <w:r w:rsidRPr="00781023">
        <w:rPr>
          <w:lang w:eastAsia="zh-TW"/>
        </w:rPr>
        <w:t xml:space="preserve">    </w:t>
      </w:r>
      <w:r w:rsidRPr="00781023">
        <w:rPr>
          <w:rFonts w:hint="eastAsia"/>
          <w:lang w:eastAsia="zh-TW"/>
        </w:rPr>
        <w:t>上面將“稽”讀爲“楷”是我們考慮的第一種解釋。因爲本條帛書辭例短小，“稽下”的含義不容易確定，所以我們認爲“稽”也可能讀爲“蓍”，《說文》：“稽，畱止也。从</w:t>
      </w:r>
      <w:r w:rsidRPr="00781023">
        <w:rPr>
          <w:noProof/>
        </w:rPr>
        <w:drawing>
          <wp:inline distT="0" distB="0" distL="0" distR="0" wp14:anchorId="195532F8" wp14:editId="749113EE">
            <wp:extent cx="103680" cy="1080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biLevel thresh="75000"/>
                    </a:blip>
                    <a:stretch>
                      <a:fillRect/>
                    </a:stretch>
                  </pic:blipFill>
                  <pic:spPr>
                    <a:xfrm>
                      <a:off x="0" y="0"/>
                      <a:ext cx="103680" cy="108000"/>
                    </a:xfrm>
                    <a:prstGeom prst="rect">
                      <a:avLst/>
                    </a:prstGeom>
                  </pic:spPr>
                </pic:pic>
              </a:graphicData>
            </a:graphic>
          </wp:inline>
        </w:drawing>
      </w:r>
      <w:r w:rsidRPr="00781023">
        <w:rPr>
          <w:rFonts w:hint="eastAsia"/>
          <w:lang w:eastAsia="zh-TW"/>
        </w:rPr>
        <w:t>从尤，旨聲。”又《說文》：“蓍，蒿屬。生十歲，百莖。《易》以爲數。天子蓍九尺，諸侯七尺，大夫五尺，士三尺。从艸耆聲。”《說文》曰：“耆，老也。从老省，旨聲。”歸根結底，“稽”“蓍”“耆”皆从旨得聲 ，故可相通。因此帛書中的“稽”可讀爲“蓍”，指蓍草。“稽（蓍）下”即指蓍草之下，因“蓍草”是古代常用的占卜之物，而馬王堆醫書此方屬于巫術，所以二者可能會有一定的聯繫。这是我們考慮的第二種解釋。</w:t>
      </w:r>
    </w:p>
    <w:p w:rsidR="00781023" w:rsidRPr="00781023" w:rsidRDefault="00781023" w:rsidP="00D216E9">
      <w:pPr>
        <w:pStyle w:val="aa"/>
        <w:ind w:firstLine="560"/>
        <w:rPr>
          <w:lang w:eastAsia="zh-TW"/>
        </w:rPr>
      </w:pPr>
      <w:r w:rsidRPr="00781023">
        <w:rPr>
          <w:rFonts w:hint="eastAsia"/>
          <w:lang w:eastAsia="zh-TW"/>
        </w:rPr>
        <w:t>我們第三種解釋認爲，可以將“稽”字讀爲“榰”，指柱腳。《說文·木部》：“榰，柱砥，古用木，今以石。从木，耆聲。《易》：‘榰恒凶。’”“榰”也是从耆得聲，故“稽”讀爲“榰”亦是可从。“柱</w:t>
      </w:r>
      <w:r w:rsidRPr="00781023">
        <w:rPr>
          <w:rFonts w:hint="eastAsia"/>
          <w:lang w:eastAsia="zh-TW"/>
        </w:rPr>
        <w:lastRenderedPageBreak/>
        <w:t>砥”，《漢語大字典》引沈濤古本考：“古本作‘柱下砥’。”朱駿聲通訓定聲：“榰，柱底也……今以石，蘇俗謂之柱磉石。”</w:t>
      </w:r>
      <w:r w:rsidRPr="00781023">
        <w:rPr>
          <w:lang w:eastAsia="zh-TW"/>
        </w:rPr>
        <w:t xml:space="preserve"> </w:t>
      </w:r>
      <w:r w:rsidRPr="00781023">
        <w:rPr>
          <w:rFonts w:hint="eastAsia"/>
          <w:lang w:eastAsia="zh-TW"/>
        </w:rPr>
        <w:t>【8】故“稽（榰）下”即指柱砥之下。</w:t>
      </w:r>
    </w:p>
    <w:p w:rsidR="00781023" w:rsidRPr="00781023" w:rsidRDefault="00781023" w:rsidP="00D216E9">
      <w:pPr>
        <w:pStyle w:val="aa"/>
        <w:ind w:firstLine="560"/>
        <w:rPr>
          <w:lang w:eastAsia="zh-TW"/>
        </w:rPr>
      </w:pPr>
      <w:r w:rsidRPr="00781023">
        <w:rPr>
          <w:rFonts w:hint="eastAsia"/>
          <w:lang w:eastAsia="zh-TW"/>
        </w:rPr>
        <w:t>我們回頭看帛書中的“又（疣）”，它是由人類乳頭瘤病毒感染所引起的一種皮膚良性腫瘤。皮膚和黏膜的損傷是引起感染的主要原因。初期表現爲硬固的小丘疹，状如黍米，后大至黄豆形，呈灰黃或黃褐色等，表面粗糙角化。此病發展緩慢，可自然消退，亦可採用局部的藥物治療和手術治療。傳統醫學中稱其爲</w:t>
      </w:r>
      <w:r w:rsidRPr="00781023">
        <w:rPr>
          <w:lang w:eastAsia="zh-TW"/>
        </w:rPr>
        <w:t>“</w:t>
      </w:r>
      <w:r w:rsidRPr="00781023">
        <w:rPr>
          <w:rFonts w:hint="eastAsia"/>
          <w:lang w:eastAsia="zh-TW"/>
        </w:rPr>
        <w:t>疣目</w:t>
      </w:r>
      <w:r w:rsidRPr="00781023">
        <w:rPr>
          <w:lang w:eastAsia="zh-TW"/>
        </w:rPr>
        <w:t>”</w:t>
      </w:r>
      <w:r w:rsidRPr="00781023">
        <w:rPr>
          <w:rFonts w:hint="eastAsia"/>
          <w:lang w:eastAsia="zh-TW"/>
        </w:rPr>
        <w:t>、</w:t>
      </w:r>
      <w:r w:rsidRPr="00781023">
        <w:rPr>
          <w:lang w:eastAsia="zh-TW"/>
        </w:rPr>
        <w:t>“</w:t>
      </w:r>
      <w:r w:rsidRPr="00781023">
        <w:rPr>
          <w:rFonts w:hint="eastAsia"/>
          <w:lang w:eastAsia="zh-TW"/>
        </w:rPr>
        <w:t>千日瘡</w:t>
      </w:r>
      <w:r w:rsidRPr="00781023">
        <w:rPr>
          <w:lang w:eastAsia="zh-TW"/>
        </w:rPr>
        <w:t>”</w:t>
      </w:r>
      <w:r w:rsidRPr="00781023">
        <w:rPr>
          <w:rFonts w:hint="eastAsia"/>
          <w:lang w:eastAsia="zh-TW"/>
        </w:rPr>
        <w:t>、</w:t>
      </w:r>
      <w:r w:rsidRPr="00781023">
        <w:rPr>
          <w:lang w:eastAsia="zh-TW"/>
        </w:rPr>
        <w:t>“</w:t>
      </w:r>
      <w:r w:rsidRPr="00781023">
        <w:rPr>
          <w:rFonts w:hint="eastAsia"/>
          <w:lang w:eastAsia="zh-TW"/>
        </w:rPr>
        <w:t>枯筋箭</w:t>
      </w:r>
      <w:r w:rsidRPr="00781023">
        <w:rPr>
          <w:lang w:eastAsia="zh-TW"/>
        </w:rPr>
        <w:t>”</w:t>
      </w:r>
      <w:r w:rsidRPr="00781023">
        <w:rPr>
          <w:rFonts w:hint="eastAsia"/>
          <w:lang w:eastAsia="zh-TW"/>
        </w:rPr>
        <w:t>，俗稱</w:t>
      </w:r>
      <w:r w:rsidRPr="00781023">
        <w:rPr>
          <w:lang w:eastAsia="zh-TW"/>
        </w:rPr>
        <w:t>“</w:t>
      </w:r>
      <w:r w:rsidRPr="00781023">
        <w:rPr>
          <w:rFonts w:hint="eastAsia"/>
          <w:lang w:eastAsia="zh-TW"/>
        </w:rPr>
        <w:t>刺瘊</w:t>
      </w:r>
      <w:r w:rsidRPr="00781023">
        <w:rPr>
          <w:lang w:eastAsia="zh-TW"/>
        </w:rPr>
        <w:t>”</w:t>
      </w:r>
      <w:r w:rsidRPr="00781023">
        <w:rPr>
          <w:rFonts w:hint="eastAsia"/>
          <w:lang w:eastAsia="zh-TW"/>
        </w:rPr>
        <w:t>、</w:t>
      </w:r>
      <w:r w:rsidRPr="00781023">
        <w:rPr>
          <w:lang w:eastAsia="zh-TW"/>
        </w:rPr>
        <w:t>“</w:t>
      </w:r>
      <w:r w:rsidRPr="00781023">
        <w:rPr>
          <w:rFonts w:hint="eastAsia"/>
          <w:lang w:eastAsia="zh-TW"/>
        </w:rPr>
        <w:t>瘊子</w:t>
      </w:r>
      <w:r w:rsidRPr="00781023">
        <w:rPr>
          <w:lang w:eastAsia="zh-TW"/>
        </w:rPr>
        <w:t>”</w:t>
      </w:r>
      <w:r w:rsidRPr="00781023">
        <w:rPr>
          <w:rFonts w:hint="eastAsia"/>
          <w:lang w:eastAsia="zh-TW"/>
        </w:rPr>
        <w:t>等，多見於手指、手背、足緣等處。其和“鼠乳”相類，余雲岫先生曰：</w:t>
      </w:r>
    </w:p>
    <w:p w:rsidR="00781023" w:rsidRPr="00781023" w:rsidRDefault="00781023" w:rsidP="00D216E9">
      <w:pPr>
        <w:pStyle w:val="aa"/>
        <w:ind w:firstLine="560"/>
        <w:rPr>
          <w:lang w:eastAsia="zh-TW"/>
        </w:rPr>
      </w:pPr>
      <w:r w:rsidRPr="00781023">
        <w:rPr>
          <w:rFonts w:hint="eastAsia"/>
          <w:lang w:eastAsia="zh-TW"/>
        </w:rPr>
        <w:t>鼠乳者，《病源》云：“身面忽生肉，如鼠乳之狀，謂之鼠乳也，此亦是風邪搏於肌肉而變生也。”蓋即吾鄉俗稱所謂老鼠嬭也，亦稱爲老鼠疣。王肯堂《外科準繩》卷五云：“肬音休。”“肬”“疣”同字，今吾鄉正呼作老鼠休也。鼠乳之名，自《病源》而外，醫籍不多見，蓋即統於“疣目”，而《病源》別有“疣目候”，即在“鼠乳候”前，與鼠乳並列，是不以爲同一物也。然其述疣目之候云：“人手足邊忽生如豆，或如結筋，或五個或十個相連，肌裡粗強於肉，謂之疣目。此亦是風邪搏於肌肉而變生也。”是其述疣目之所以生，全</w:t>
      </w:r>
      <w:r w:rsidRPr="00781023">
        <w:rPr>
          <w:rFonts w:hint="eastAsia"/>
          <w:lang w:eastAsia="zh-TW"/>
        </w:rPr>
        <w:lastRenderedPageBreak/>
        <w:t>與鼠乳同。故《聖濟總錄》卷一百一“面體疣目”論曰：“風邪入於經絡，氣血凝滯，肌肉弗澤，發爲疣目，或在頭面，或在手足，或布於四體，其狀如豆，如結筋，綴連數十，與鼠乳相類，故謂之疣目。”是鼠乳實與疣目相類，故後世醫籍但以疣目統之，而不復言鼠乳也。今謂之疣贅（</w:t>
      </w:r>
      <w:r w:rsidRPr="00781023">
        <w:rPr>
          <w:lang w:eastAsia="zh-TW"/>
        </w:rPr>
        <w:t>Verruca</w:t>
      </w:r>
      <w:r w:rsidRPr="00781023">
        <w:rPr>
          <w:rFonts w:hint="eastAsia"/>
          <w:lang w:eastAsia="zh-TW"/>
        </w:rPr>
        <w:t>），疣贅都分三種，曰尋常性疣贅，曰青年性扁平疣贅，曰老人性疣贅。而尋常性疣贅之形狀，本其發生之地位而不同，其生在手掌足蹠者，多成扁平，恰如包於皮中。疣贅之數，少則一個箇，多則數十箇，亦與《病源》或五或十之言相合。【9】</w:t>
      </w:r>
    </w:p>
    <w:p w:rsidR="00781023" w:rsidRPr="00781023" w:rsidRDefault="00781023" w:rsidP="00D216E9">
      <w:pPr>
        <w:pStyle w:val="aa"/>
        <w:ind w:firstLine="560"/>
        <w:rPr>
          <w:lang w:eastAsia="zh-TW"/>
        </w:rPr>
      </w:pPr>
      <w:r w:rsidRPr="00781023">
        <w:rPr>
          <w:rFonts w:hint="eastAsia"/>
          <w:lang w:eastAsia="zh-TW"/>
        </w:rPr>
        <w:t>由此可見，古人對“疣”病由風邪搏於肌肉而變生的認識較爲深刻。上舉馬王堆帛書《五十二病方》的“祛疣方”運用了祝由術來解除“疣”病所帶來的痛苦。除了這個例子，《五十二病方》的“祛疣方”還有以下幾箇例子：</w:t>
      </w:r>
    </w:p>
    <w:p w:rsidR="00781023" w:rsidRPr="00781023" w:rsidRDefault="00781023" w:rsidP="00D216E9">
      <w:pPr>
        <w:pStyle w:val="aa"/>
        <w:ind w:firstLine="560"/>
        <w:rPr>
          <w:lang w:eastAsia="zh-TW"/>
        </w:rPr>
      </w:pPr>
      <w:r w:rsidRPr="00781023">
        <w:rPr>
          <w:rFonts w:hint="eastAsia"/>
          <w:lang w:eastAsia="zh-TW"/>
        </w:rPr>
        <w:t xml:space="preserve">    </w:t>
      </w:r>
      <w:r w:rsidRPr="00781023">
        <w:rPr>
          <w:lang w:eastAsia="zh-TW"/>
        </w:rPr>
        <w:t xml:space="preserve">    </w:t>
      </w:r>
      <w:r w:rsidRPr="00781023">
        <w:rPr>
          <w:rFonts w:hint="eastAsia"/>
          <w:lang w:eastAsia="zh-TW"/>
        </w:rPr>
        <w:t>尤（疣）：取敝蒲席若藉之弱（蒻），繩之，即燔其末，以久（灸）尤（疣）末，熱，即拔尤（疣）去之。102</w:t>
      </w:r>
      <w:r w:rsidRPr="00781023">
        <w:rPr>
          <w:lang w:eastAsia="zh-TW"/>
        </w:rPr>
        <w:t>/102</w:t>
      </w:r>
    </w:p>
    <w:p w:rsidR="00781023" w:rsidRPr="00781023" w:rsidRDefault="00781023" w:rsidP="00D216E9">
      <w:pPr>
        <w:pStyle w:val="aa"/>
        <w:ind w:firstLine="560"/>
        <w:rPr>
          <w:lang w:eastAsia="zh-TW"/>
        </w:rPr>
      </w:pPr>
      <w:r w:rsidRPr="00781023">
        <w:rPr>
          <w:rFonts w:hint="eastAsia"/>
          <w:lang w:eastAsia="zh-TW"/>
        </w:rPr>
        <w:t>一，令尤（疣）者抱禾，令人嘑（呼）曰：“若胡爲是？”</w:t>
      </w:r>
      <w:r w:rsidRPr="00781023">
        <w:rPr>
          <w:rFonts w:ascii="SimSun-ExtB" w:eastAsia="SimSun-ExtB" w:hAnsi="SimSun-ExtB" w:cs="SimSun-ExtB" w:hint="eastAsia"/>
          <w:lang w:eastAsia="zh-TW"/>
        </w:rPr>
        <w:t>𤻮</w:t>
      </w:r>
      <w:r w:rsidRPr="00781023">
        <w:rPr>
          <w:rFonts w:hint="eastAsia"/>
          <w:lang w:eastAsia="zh-TW"/>
        </w:rPr>
        <w:t>（應）曰：“吾尤（疣）┗。”置去禾〈禾去〉，勿顧。103/103</w:t>
      </w:r>
    </w:p>
    <w:p w:rsidR="00781023" w:rsidRPr="00781023" w:rsidRDefault="00781023" w:rsidP="00D216E9">
      <w:pPr>
        <w:pStyle w:val="aa"/>
        <w:ind w:firstLine="560"/>
        <w:rPr>
          <w:lang w:eastAsia="zh-TW"/>
        </w:rPr>
      </w:pPr>
      <w:r w:rsidRPr="00781023">
        <w:rPr>
          <w:rFonts w:hint="eastAsia"/>
          <w:lang w:eastAsia="zh-TW"/>
        </w:rPr>
        <w:t>一，以月晦日之丘井有水者，以敝帚騷（掃）尤（疣）二┗七，祝曰：“今日月晦，騷（掃）尤（疣）北。”入帚井中。104</w:t>
      </w:r>
      <w:r w:rsidRPr="00781023">
        <w:rPr>
          <w:lang w:eastAsia="zh-TW"/>
        </w:rPr>
        <w:t>/104</w:t>
      </w:r>
    </w:p>
    <w:p w:rsidR="00781023" w:rsidRPr="00781023" w:rsidRDefault="00781023" w:rsidP="00D216E9">
      <w:pPr>
        <w:pStyle w:val="aa"/>
        <w:ind w:firstLine="560"/>
        <w:rPr>
          <w:lang w:eastAsia="zh-TW"/>
        </w:rPr>
      </w:pPr>
      <w:r w:rsidRPr="00781023">
        <w:rPr>
          <w:rFonts w:hint="eastAsia"/>
          <w:lang w:eastAsia="zh-TW"/>
        </w:rPr>
        <w:lastRenderedPageBreak/>
        <w:t>一，以月晦日=（日日）下餔時，取凷（塊）大如雞卵者，男子七，女子二七┗。先〖以〗凷（塊）置室後，令南北列□105</w:t>
      </w:r>
      <w:r w:rsidRPr="00781023">
        <w:rPr>
          <w:lang w:eastAsia="zh-TW"/>
        </w:rPr>
        <w:t>/105</w:t>
      </w:r>
      <w:r w:rsidRPr="00781023">
        <w:rPr>
          <w:rFonts w:hint="eastAsia"/>
          <w:lang w:eastAsia="zh-TW"/>
        </w:rPr>
        <w:t>，以晦往之凷（塊）所，禹步三，道南方始，取凷（塊）言曰｛凷言曰｝：“今日月晦，靡（磨）尤（疣）北。”凷（塊）一靡（磨）一，二【七】。106</w:t>
      </w:r>
      <w:r w:rsidRPr="00781023">
        <w:rPr>
          <w:lang w:eastAsia="zh-TW"/>
        </w:rPr>
        <w:t>/106</w:t>
      </w:r>
      <w:r w:rsidRPr="00781023">
        <w:rPr>
          <w:rFonts w:hint="eastAsia"/>
          <w:lang w:eastAsia="zh-TW"/>
        </w:rPr>
        <w:t>巳（已）靡（磨），置凷（塊）其處，去，勿顧。靡（磨）大者。107</w:t>
      </w:r>
      <w:r w:rsidRPr="00781023">
        <w:rPr>
          <w:lang w:eastAsia="zh-TW"/>
        </w:rPr>
        <w:t>/107</w:t>
      </w:r>
    </w:p>
    <w:p w:rsidR="00781023" w:rsidRPr="00781023" w:rsidRDefault="00781023" w:rsidP="00D216E9">
      <w:pPr>
        <w:pStyle w:val="aa"/>
        <w:ind w:firstLine="560"/>
        <w:rPr>
          <w:lang w:eastAsia="zh-TW"/>
        </w:rPr>
      </w:pPr>
      <w:r w:rsidRPr="00781023">
        <w:rPr>
          <w:rFonts w:hint="eastAsia"/>
          <w:lang w:eastAsia="zh-TW"/>
        </w:rPr>
        <w:t>一，以月晦日之內後，曰：“今日晦，弱（搦）又（疣）內北。”靡（磨）又（疣內辟（壁）二七。108</w:t>
      </w:r>
      <w:r w:rsidRPr="00781023">
        <w:rPr>
          <w:lang w:eastAsia="zh-TW"/>
        </w:rPr>
        <w:t>/108</w:t>
      </w:r>
    </w:p>
    <w:p w:rsidR="00781023" w:rsidRPr="00781023" w:rsidRDefault="00781023" w:rsidP="00D216E9">
      <w:pPr>
        <w:pStyle w:val="aa"/>
        <w:ind w:firstLine="560"/>
        <w:rPr>
          <w:lang w:eastAsia="zh-TW"/>
        </w:rPr>
      </w:pPr>
      <w:r w:rsidRPr="00781023">
        <w:rPr>
          <w:rFonts w:hint="eastAsia"/>
          <w:lang w:eastAsia="zh-TW"/>
        </w:rPr>
        <w:t>一，祝尤（疣），以月晦日之室北，靡（磨）宥（疣），男子七，女子二七，曰：“今日月晦，靡（磨）宥（疣）室北。”不出一月，宥（疣）巳（已）。111</w:t>
      </w:r>
      <w:r w:rsidRPr="00781023">
        <w:rPr>
          <w:lang w:eastAsia="zh-TW"/>
        </w:rPr>
        <w:t>/111</w:t>
      </w:r>
    </w:p>
    <w:p w:rsidR="00781023" w:rsidRPr="00781023" w:rsidRDefault="00781023" w:rsidP="00D216E9">
      <w:pPr>
        <w:pStyle w:val="aa"/>
        <w:ind w:firstLine="560"/>
        <w:rPr>
          <w:lang w:eastAsia="zh-TW"/>
        </w:rPr>
      </w:pPr>
      <w:r w:rsidRPr="00781023">
        <w:rPr>
          <w:rFonts w:hint="eastAsia"/>
          <w:lang w:eastAsia="zh-TW"/>
        </w:rPr>
        <w:t>這些“祛疣方”中</w:t>
      </w:r>
      <w:r w:rsidRPr="00781023">
        <w:rPr>
          <w:lang w:eastAsia="zh-TW"/>
        </w:rPr>
        <w:t>,</w:t>
      </w:r>
      <w:r w:rsidRPr="00781023">
        <w:rPr>
          <w:rFonts w:hint="eastAsia"/>
          <w:lang w:eastAsia="zh-TW"/>
        </w:rPr>
        <w:t>巫方佔有更大的比例。此外，諸如《醫心方·治疣目第廿七》引《千金方》、《范汪方》、《如意方》中記載了用“禿條帚”“廁前故草”“亡人枕若席”“故拂床帚”等工具祛疣的巫術。【10】值得注意的是這些“祝由術”的運用常以“晦日”或“朔日”禳除疣，正如劉玉堂、賈海燕二位論述的那樣：</w:t>
      </w:r>
    </w:p>
    <w:p w:rsidR="00781023" w:rsidRPr="00781023" w:rsidRDefault="00781023" w:rsidP="00D216E9">
      <w:pPr>
        <w:pStyle w:val="aa"/>
        <w:ind w:firstLine="560"/>
        <w:rPr>
          <w:lang w:eastAsia="zh-TW"/>
        </w:rPr>
      </w:pPr>
      <w:r w:rsidRPr="00781023">
        <w:rPr>
          <w:rFonts w:hint="eastAsia"/>
          <w:lang w:eastAsia="zh-TW"/>
        </w:rPr>
        <w:t>由此可見</w:t>
      </w:r>
      <w:r w:rsidRPr="00781023">
        <w:rPr>
          <w:lang w:eastAsia="zh-TW"/>
        </w:rPr>
        <w:t>,</w:t>
      </w:r>
      <w:r w:rsidRPr="00781023">
        <w:rPr>
          <w:rFonts w:hint="eastAsia"/>
          <w:lang w:eastAsia="zh-TW"/>
        </w:rPr>
        <w:t>在古代各地特別是故楚之地</w:t>
      </w:r>
      <w:r w:rsidRPr="00781023">
        <w:rPr>
          <w:lang w:eastAsia="zh-TW"/>
        </w:rPr>
        <w:t xml:space="preserve">, </w:t>
      </w:r>
      <w:r w:rsidRPr="00781023">
        <w:rPr>
          <w:rFonts w:hint="eastAsia"/>
          <w:lang w:eastAsia="zh-TW"/>
        </w:rPr>
        <w:t>很早就有晦朔日的禁忌風俗。《五十二病方》記載的巫醫</w:t>
      </w:r>
      <w:r w:rsidRPr="00781023">
        <w:rPr>
          <w:lang w:eastAsia="zh-TW"/>
        </w:rPr>
        <w:t>,</w:t>
      </w:r>
      <w:r w:rsidRPr="00781023">
        <w:rPr>
          <w:rFonts w:hint="eastAsia"/>
          <w:lang w:eastAsia="zh-TW"/>
        </w:rPr>
        <w:t>因用“久</w:t>
      </w:r>
      <w:r w:rsidRPr="00781023">
        <w:rPr>
          <w:lang w:eastAsia="zh-TW"/>
        </w:rPr>
        <w:t xml:space="preserve"> (</w:t>
      </w:r>
      <w:r w:rsidRPr="00781023">
        <w:rPr>
          <w:rFonts w:hint="eastAsia"/>
          <w:lang w:eastAsia="zh-TW"/>
        </w:rPr>
        <w:t>灸</w:t>
      </w:r>
      <w:r w:rsidRPr="00781023">
        <w:rPr>
          <w:lang w:eastAsia="zh-TW"/>
        </w:rPr>
        <w:t xml:space="preserve"> )</w:t>
      </w:r>
      <w:r w:rsidRPr="00781023">
        <w:rPr>
          <w:rFonts w:hint="eastAsia"/>
          <w:lang w:eastAsia="zh-TW"/>
        </w:rPr>
        <w:t>尤</w:t>
      </w:r>
      <w:r w:rsidRPr="00781023">
        <w:rPr>
          <w:lang w:eastAsia="zh-TW"/>
        </w:rPr>
        <w:t xml:space="preserve"> (</w:t>
      </w:r>
      <w:r w:rsidRPr="00781023">
        <w:rPr>
          <w:rFonts w:hint="eastAsia"/>
          <w:lang w:eastAsia="zh-TW"/>
        </w:rPr>
        <w:t>疣</w:t>
      </w:r>
      <w:r w:rsidRPr="00781023">
        <w:rPr>
          <w:lang w:eastAsia="zh-TW"/>
        </w:rPr>
        <w:t xml:space="preserve"> ) </w:t>
      </w:r>
      <w:r w:rsidRPr="00781023">
        <w:rPr>
          <w:rFonts w:hint="eastAsia"/>
          <w:lang w:eastAsia="zh-TW"/>
        </w:rPr>
        <w:t>”“拔</w:t>
      </w:r>
      <w:r w:rsidRPr="00781023">
        <w:rPr>
          <w:rFonts w:hint="eastAsia"/>
          <w:lang w:eastAsia="zh-TW"/>
        </w:rPr>
        <w:lastRenderedPageBreak/>
        <w:t>尤</w:t>
      </w:r>
      <w:r w:rsidRPr="00781023">
        <w:rPr>
          <w:lang w:eastAsia="zh-TW"/>
        </w:rPr>
        <w:t xml:space="preserve"> (</w:t>
      </w:r>
      <w:r w:rsidRPr="00781023">
        <w:rPr>
          <w:rFonts w:hint="eastAsia"/>
          <w:lang w:eastAsia="zh-TW"/>
        </w:rPr>
        <w:t>疣</w:t>
      </w:r>
      <w:r w:rsidRPr="00781023">
        <w:rPr>
          <w:lang w:eastAsia="zh-TW"/>
        </w:rPr>
        <w:t xml:space="preserve"> ) </w:t>
      </w:r>
      <w:r w:rsidRPr="00781023">
        <w:rPr>
          <w:rFonts w:hint="eastAsia"/>
          <w:lang w:eastAsia="zh-TW"/>
        </w:rPr>
        <w:t>”</w:t>
      </w:r>
      <w:r w:rsidRPr="00781023">
        <w:rPr>
          <w:lang w:eastAsia="zh-TW"/>
        </w:rPr>
        <w:t xml:space="preserve"> (</w:t>
      </w:r>
      <w:r w:rsidRPr="00781023">
        <w:rPr>
          <w:rFonts w:hint="eastAsia"/>
          <w:lang w:eastAsia="zh-TW"/>
        </w:rPr>
        <w:t>祛疣方一</w:t>
      </w:r>
      <w:r w:rsidRPr="00781023">
        <w:rPr>
          <w:lang w:eastAsia="zh-TW"/>
        </w:rPr>
        <w:t xml:space="preserve">) </w:t>
      </w:r>
      <w:r w:rsidRPr="00781023">
        <w:rPr>
          <w:rFonts w:hint="eastAsia"/>
          <w:lang w:eastAsia="zh-TW"/>
        </w:rPr>
        <w:t>都無法奏效</w:t>
      </w:r>
      <w:r w:rsidRPr="00781023">
        <w:rPr>
          <w:lang w:eastAsia="zh-TW"/>
        </w:rPr>
        <w:t>,</w:t>
      </w:r>
      <w:r w:rsidRPr="00781023">
        <w:rPr>
          <w:rFonts w:hint="eastAsia"/>
          <w:lang w:eastAsia="zh-TW"/>
        </w:rPr>
        <w:t>疣去而複起</w:t>
      </w:r>
      <w:r w:rsidRPr="00781023">
        <w:rPr>
          <w:lang w:eastAsia="zh-TW"/>
        </w:rPr>
        <w:t>, 从</w:t>
      </w:r>
      <w:r w:rsidRPr="00781023">
        <w:rPr>
          <w:rFonts w:hint="eastAsia"/>
          <w:lang w:eastAsia="zh-TW"/>
        </w:rPr>
        <w:t>而產生了恐懼心理</w:t>
      </w:r>
      <w:r w:rsidRPr="00781023">
        <w:rPr>
          <w:lang w:eastAsia="zh-TW"/>
        </w:rPr>
        <w:t>,</w:t>
      </w:r>
      <w:r w:rsidRPr="00781023">
        <w:rPr>
          <w:rFonts w:hint="eastAsia"/>
          <w:lang w:eastAsia="zh-TW"/>
        </w:rPr>
        <w:t>認爲是惡鬼作怪</w:t>
      </w:r>
      <w:r w:rsidRPr="00781023">
        <w:rPr>
          <w:lang w:eastAsia="zh-TW"/>
        </w:rPr>
        <w:t>,</w:t>
      </w:r>
      <w:r w:rsidRPr="00781023">
        <w:rPr>
          <w:rFonts w:hint="eastAsia"/>
          <w:lang w:eastAsia="zh-TW"/>
        </w:rPr>
        <w:t>所以才選擇被認為是鬼神最為猖獗的“月晦日”“月朔日”來禳除疣</w:t>
      </w:r>
      <w:r w:rsidRPr="00781023">
        <w:rPr>
          <w:lang w:eastAsia="zh-TW"/>
        </w:rPr>
        <w:t>,</w:t>
      </w:r>
      <w:r w:rsidRPr="00781023">
        <w:rPr>
          <w:rFonts w:hint="eastAsia"/>
          <w:lang w:eastAsia="zh-TW"/>
        </w:rPr>
        <w:t>以求“根治”頑疾。而後世的文獻記載和現實的生活民俗表明</w:t>
      </w:r>
      <w:r w:rsidRPr="00781023">
        <w:rPr>
          <w:lang w:eastAsia="zh-TW"/>
        </w:rPr>
        <w:t>,</w:t>
      </w:r>
      <w:r w:rsidRPr="00781023">
        <w:rPr>
          <w:rFonts w:hint="eastAsia"/>
          <w:lang w:eastAsia="zh-TW"/>
        </w:rPr>
        <w:t>晦朔日的禁忌曾長期存在</w:t>
      </w:r>
      <w:r w:rsidRPr="00781023">
        <w:rPr>
          <w:lang w:eastAsia="zh-TW"/>
        </w:rPr>
        <w:t>,</w:t>
      </w:r>
      <w:r w:rsidRPr="00781023">
        <w:rPr>
          <w:rFonts w:hint="eastAsia"/>
          <w:lang w:eastAsia="zh-TW"/>
        </w:rPr>
        <w:t>至今仍有孑遺。【1</w:t>
      </w:r>
      <w:r w:rsidRPr="00781023">
        <w:rPr>
          <w:lang w:eastAsia="zh-TW"/>
        </w:rPr>
        <w:t>1</w:t>
      </w:r>
      <w:r w:rsidRPr="00781023">
        <w:rPr>
          <w:rFonts w:hint="eastAsia"/>
          <w:lang w:eastAsia="zh-TW"/>
        </w:rPr>
        <w:t>】</w:t>
      </w:r>
    </w:p>
    <w:p w:rsidR="00781023" w:rsidRPr="00781023" w:rsidRDefault="00781023" w:rsidP="00D216E9">
      <w:pPr>
        <w:pStyle w:val="aa"/>
        <w:ind w:firstLine="560"/>
        <w:rPr>
          <w:lang w:eastAsia="zh-TW"/>
        </w:rPr>
      </w:pPr>
      <w:r w:rsidRPr="00781023">
        <w:rPr>
          <w:rFonts w:hint="eastAsia"/>
          <w:lang w:eastAsia="zh-TW"/>
        </w:rPr>
        <w:t>《五十二病方》中的祛疣術從一個側面反映了我國秦漢時期醫學所取得的巨大成就，其巫術和醫術的並存體現了巫、醫混合的原始特徵。我們認為，將榝根或者道旁的幡幟、作標記用的小木椿十四枚投於水泽之中或者“稽（榰）下”（即是將這些東西壓在柱砥之下或者象徵性地放在柱砥旁），似乎能夠更加表白人們害怕“疣去而複起”的心理。</w:t>
      </w:r>
    </w:p>
    <w:p w:rsidR="00781023" w:rsidRPr="00781023" w:rsidRDefault="00781023" w:rsidP="00D216E9">
      <w:pPr>
        <w:pStyle w:val="aa"/>
        <w:ind w:firstLine="560"/>
        <w:rPr>
          <w:lang w:eastAsia="zh-TW"/>
        </w:rPr>
      </w:pPr>
    </w:p>
    <w:p w:rsidR="00781023" w:rsidRPr="00781023" w:rsidRDefault="00781023" w:rsidP="00D216E9">
      <w:pPr>
        <w:pStyle w:val="aa"/>
        <w:ind w:firstLine="560"/>
        <w:rPr>
          <w:lang w:eastAsia="zh-TW"/>
        </w:rPr>
      </w:pPr>
      <w:r w:rsidRPr="00781023">
        <w:rPr>
          <w:rFonts w:hint="eastAsia"/>
          <w:lang w:eastAsia="zh-TW"/>
        </w:rPr>
        <w:t>附記：本文為</w:t>
      </w:r>
      <w:r w:rsidRPr="00781023">
        <w:rPr>
          <w:lang w:eastAsia="zh-TW"/>
        </w:rPr>
        <w:t>2016</w:t>
      </w:r>
      <w:r w:rsidRPr="00781023">
        <w:rPr>
          <w:rFonts w:hint="eastAsia"/>
          <w:lang w:eastAsia="zh-TW"/>
        </w:rPr>
        <w:t>年國家社科項目“漢代簡帛醫學文獻的綜合整理與研究”（編號：</w:t>
      </w:r>
      <w:r w:rsidRPr="00781023">
        <w:rPr>
          <w:lang w:eastAsia="zh-TW"/>
        </w:rPr>
        <w:t>16BZS012</w:t>
      </w:r>
      <w:r w:rsidRPr="00781023">
        <w:rPr>
          <w:rFonts w:hint="eastAsia"/>
          <w:lang w:eastAsia="zh-TW"/>
        </w:rPr>
        <w:t>）階段性成果。</w:t>
      </w:r>
    </w:p>
    <w:p w:rsidR="00781023" w:rsidRPr="00781023" w:rsidRDefault="00781023" w:rsidP="00D216E9">
      <w:pPr>
        <w:pStyle w:val="aa"/>
        <w:ind w:firstLine="560"/>
        <w:rPr>
          <w:lang w:eastAsia="zh-TW"/>
        </w:rPr>
      </w:pPr>
    </w:p>
    <w:p w:rsidR="00781023" w:rsidRPr="00781023" w:rsidRDefault="00781023" w:rsidP="00D216E9">
      <w:pPr>
        <w:pStyle w:val="aa"/>
        <w:ind w:firstLine="560"/>
        <w:rPr>
          <w:lang w:eastAsia="zh-TW"/>
        </w:rPr>
      </w:pPr>
    </w:p>
    <w:p w:rsidR="00781023" w:rsidRPr="00781023" w:rsidRDefault="00781023" w:rsidP="00D216E9">
      <w:pPr>
        <w:pStyle w:val="aa"/>
        <w:ind w:firstLine="560"/>
        <w:rPr>
          <w:lang w:eastAsia="zh-TW"/>
        </w:rPr>
      </w:pPr>
    </w:p>
    <w:p w:rsidR="00781023" w:rsidRPr="00781023" w:rsidRDefault="00781023" w:rsidP="00D216E9">
      <w:pPr>
        <w:pStyle w:val="aa"/>
        <w:ind w:firstLine="560"/>
        <w:rPr>
          <w:lang w:eastAsia="zh-TW"/>
        </w:rPr>
      </w:pPr>
    </w:p>
    <w:p w:rsidR="00781023" w:rsidRPr="00781023" w:rsidRDefault="00781023" w:rsidP="00D216E9">
      <w:pPr>
        <w:pStyle w:val="aa"/>
        <w:ind w:firstLine="560"/>
        <w:rPr>
          <w:lang w:eastAsia="zh-TW"/>
        </w:rPr>
      </w:pPr>
      <w:r w:rsidRPr="00781023">
        <w:rPr>
          <w:rFonts w:hint="eastAsia"/>
          <w:lang w:eastAsia="zh-TW"/>
        </w:rPr>
        <w:lastRenderedPageBreak/>
        <w:t>注釋：</w:t>
      </w:r>
    </w:p>
    <w:p w:rsidR="00781023" w:rsidRPr="00781023" w:rsidRDefault="00781023" w:rsidP="00D216E9">
      <w:pPr>
        <w:pStyle w:val="aa"/>
        <w:ind w:firstLine="560"/>
        <w:rPr>
          <w:lang w:eastAsia="zh-TW"/>
        </w:rPr>
      </w:pPr>
      <w:r w:rsidRPr="00781023">
        <w:rPr>
          <w:rFonts w:hint="eastAsia"/>
          <w:lang w:eastAsia="zh-TW"/>
        </w:rPr>
        <w:t>【1】裘錫圭主編：《長沙馬王堆漢墓簡帛集成》，中華書局，</w:t>
      </w:r>
      <w:r w:rsidRPr="00781023">
        <w:rPr>
          <w:lang w:eastAsia="zh-TW"/>
        </w:rPr>
        <w:t>2014</w:t>
      </w:r>
      <w:r w:rsidRPr="00781023">
        <w:rPr>
          <w:rFonts w:hint="eastAsia"/>
          <w:lang w:eastAsia="zh-TW"/>
        </w:rPr>
        <w:t>年，冊貳圖版第73頁；冊伍釋文第</w:t>
      </w:r>
      <w:r w:rsidRPr="00781023">
        <w:rPr>
          <w:lang w:eastAsia="zh-TW"/>
        </w:rPr>
        <w:t>2</w:t>
      </w:r>
      <w:r w:rsidRPr="00781023">
        <w:rPr>
          <w:rFonts w:hint="eastAsia"/>
          <w:lang w:eastAsia="zh-TW"/>
        </w:rPr>
        <w:t>36頁。下引此書注釋不另出注。</w:t>
      </w:r>
    </w:p>
    <w:p w:rsidR="00781023" w:rsidRPr="00781023" w:rsidRDefault="00781023" w:rsidP="00D216E9">
      <w:pPr>
        <w:pStyle w:val="aa"/>
        <w:ind w:firstLine="560"/>
        <w:rPr>
          <w:lang w:eastAsia="zh-TW"/>
        </w:rPr>
      </w:pPr>
      <w:r w:rsidRPr="00781023">
        <w:rPr>
          <w:rFonts w:hint="eastAsia"/>
          <w:lang w:eastAsia="zh-TW"/>
        </w:rPr>
        <w:t>【2】馬王堆漢墓帛書整理小組編：《馬王堆漢墓帛書</w:t>
      </w:r>
      <w:r w:rsidRPr="00781023">
        <w:rPr>
          <w:lang w:eastAsia="zh-TW"/>
        </w:rPr>
        <w:t>[</w:t>
      </w:r>
      <w:r w:rsidRPr="00781023">
        <w:rPr>
          <w:rFonts w:hint="eastAsia"/>
          <w:lang w:eastAsia="zh-TW"/>
        </w:rPr>
        <w:t>肆</w:t>
      </w:r>
      <w:r w:rsidRPr="00781023">
        <w:rPr>
          <w:lang w:eastAsia="zh-TW"/>
        </w:rPr>
        <w:t>]</w:t>
      </w:r>
      <w:r w:rsidRPr="00781023">
        <w:rPr>
          <w:rFonts w:hint="eastAsia"/>
          <w:lang w:eastAsia="zh-TW"/>
        </w:rPr>
        <w:t>》，文物出版社，</w:t>
      </w:r>
      <w:r w:rsidRPr="00781023">
        <w:rPr>
          <w:lang w:eastAsia="zh-TW"/>
        </w:rPr>
        <w:t>1985</w:t>
      </w:r>
      <w:r w:rsidRPr="00781023">
        <w:rPr>
          <w:rFonts w:hint="eastAsia"/>
          <w:lang w:eastAsia="zh-TW"/>
        </w:rPr>
        <w:t>年，圖版第</w:t>
      </w:r>
      <w:r w:rsidRPr="00781023">
        <w:rPr>
          <w:lang w:eastAsia="zh-TW"/>
        </w:rPr>
        <w:t>19</w:t>
      </w:r>
      <w:r w:rsidRPr="00781023">
        <w:rPr>
          <w:rFonts w:hint="eastAsia"/>
          <w:lang w:eastAsia="zh-TW"/>
        </w:rPr>
        <w:t>頁。</w:t>
      </w:r>
    </w:p>
    <w:p w:rsidR="00781023" w:rsidRPr="00781023" w:rsidRDefault="00781023" w:rsidP="00D216E9">
      <w:pPr>
        <w:pStyle w:val="aa"/>
        <w:ind w:firstLine="560"/>
        <w:rPr>
          <w:lang w:eastAsia="zh-TW"/>
        </w:rPr>
      </w:pPr>
      <w:r w:rsidRPr="00781023">
        <w:rPr>
          <w:rFonts w:hint="eastAsia"/>
          <w:lang w:eastAsia="zh-TW"/>
        </w:rPr>
        <w:t>【3】陳松長編著：《馬王堆簡帛文字編》，文物出版社，</w:t>
      </w:r>
      <w:r w:rsidRPr="00781023">
        <w:rPr>
          <w:lang w:eastAsia="zh-TW"/>
        </w:rPr>
        <w:t>2001</w:t>
      </w:r>
      <w:r w:rsidRPr="00781023">
        <w:rPr>
          <w:rFonts w:hint="eastAsia"/>
          <w:lang w:eastAsia="zh-TW"/>
        </w:rPr>
        <w:t>年，第</w:t>
      </w:r>
      <w:r w:rsidRPr="00781023">
        <w:rPr>
          <w:lang w:eastAsia="zh-TW"/>
        </w:rPr>
        <w:t>445</w:t>
      </w:r>
      <w:r w:rsidRPr="00781023">
        <w:rPr>
          <w:rFonts w:hint="eastAsia"/>
          <w:lang w:eastAsia="zh-TW"/>
        </w:rPr>
        <w:t>頁。</w:t>
      </w:r>
    </w:p>
    <w:p w:rsidR="00781023" w:rsidRPr="00781023" w:rsidRDefault="00781023" w:rsidP="00D216E9">
      <w:pPr>
        <w:pStyle w:val="aa"/>
        <w:ind w:firstLine="560"/>
        <w:rPr>
          <w:lang w:eastAsia="zh-TW"/>
        </w:rPr>
      </w:pPr>
      <w:r w:rsidRPr="00781023">
        <w:rPr>
          <w:rFonts w:hint="eastAsia"/>
          <w:lang w:eastAsia="zh-TW"/>
        </w:rPr>
        <w:t>【4】陳松長編著：《馬王堆簡帛文字編》，文物出版社，</w:t>
      </w:r>
      <w:r w:rsidRPr="00781023">
        <w:rPr>
          <w:lang w:eastAsia="zh-TW"/>
        </w:rPr>
        <w:t>2001</w:t>
      </w:r>
      <w:r w:rsidRPr="00781023">
        <w:rPr>
          <w:rFonts w:hint="eastAsia"/>
          <w:lang w:eastAsia="zh-TW"/>
        </w:rPr>
        <w:t>年，第</w:t>
      </w:r>
      <w:r w:rsidRPr="00781023">
        <w:rPr>
          <w:lang w:eastAsia="zh-TW"/>
        </w:rPr>
        <w:t>254</w:t>
      </w:r>
      <w:r w:rsidRPr="00781023">
        <w:rPr>
          <w:rFonts w:hint="eastAsia"/>
          <w:lang w:eastAsia="zh-TW"/>
        </w:rPr>
        <w:t>頁。</w:t>
      </w:r>
    </w:p>
    <w:p w:rsidR="00781023" w:rsidRPr="00781023" w:rsidRDefault="00781023" w:rsidP="00D216E9">
      <w:pPr>
        <w:pStyle w:val="aa"/>
        <w:ind w:firstLine="560"/>
        <w:rPr>
          <w:lang w:eastAsia="zh-TW"/>
        </w:rPr>
      </w:pPr>
      <w:r w:rsidRPr="00781023">
        <w:rPr>
          <w:rFonts w:hint="eastAsia"/>
          <w:lang w:eastAsia="zh-TW"/>
        </w:rPr>
        <w:t>【5】高亨纂著、董治安整理：《古字通假會典》，齊魯書社，</w:t>
      </w:r>
      <w:r w:rsidRPr="00781023">
        <w:rPr>
          <w:lang w:eastAsia="zh-TW"/>
        </w:rPr>
        <w:t>1989</w:t>
      </w:r>
      <w:r w:rsidRPr="00781023">
        <w:rPr>
          <w:rFonts w:hint="eastAsia"/>
          <w:lang w:eastAsia="zh-TW"/>
        </w:rPr>
        <w:t>年，第</w:t>
      </w:r>
      <w:r w:rsidRPr="00781023">
        <w:rPr>
          <w:lang w:eastAsia="zh-TW"/>
        </w:rPr>
        <w:t>571</w:t>
      </w:r>
      <w:r w:rsidRPr="00781023">
        <w:rPr>
          <w:rFonts w:hint="eastAsia"/>
          <w:lang w:eastAsia="zh-TW"/>
        </w:rPr>
        <w:t>頁。</w:t>
      </w:r>
    </w:p>
    <w:p w:rsidR="00781023" w:rsidRPr="00781023" w:rsidRDefault="00781023" w:rsidP="00D216E9">
      <w:pPr>
        <w:pStyle w:val="aa"/>
        <w:ind w:firstLine="560"/>
        <w:rPr>
          <w:lang w:eastAsia="zh-TW"/>
        </w:rPr>
      </w:pPr>
      <w:r w:rsidRPr="00781023">
        <w:rPr>
          <w:rFonts w:hint="eastAsia"/>
          <w:lang w:eastAsia="zh-TW"/>
        </w:rPr>
        <w:t>【6】漢語大字典編輯委員會編：《漢語大字典》第二冊，四川辭書出版社、湖北辭書出版社，</w:t>
      </w:r>
      <w:r w:rsidRPr="00781023">
        <w:rPr>
          <w:lang w:eastAsia="zh-TW"/>
        </w:rPr>
        <w:t>1988</w:t>
      </w:r>
      <w:r w:rsidRPr="00781023">
        <w:rPr>
          <w:rFonts w:hint="eastAsia"/>
          <w:lang w:eastAsia="zh-TW"/>
        </w:rPr>
        <w:t>年，第</w:t>
      </w:r>
      <w:r w:rsidRPr="00781023">
        <w:rPr>
          <w:lang w:eastAsia="zh-TW"/>
        </w:rPr>
        <w:t>1246</w:t>
      </w:r>
      <w:r w:rsidRPr="00781023">
        <w:rPr>
          <w:rFonts w:hint="eastAsia"/>
          <w:lang w:eastAsia="zh-TW"/>
        </w:rPr>
        <w:t>頁。</w:t>
      </w:r>
    </w:p>
    <w:p w:rsidR="00781023" w:rsidRPr="00781023" w:rsidRDefault="00781023" w:rsidP="00D216E9">
      <w:pPr>
        <w:pStyle w:val="aa"/>
        <w:ind w:firstLine="560"/>
        <w:rPr>
          <w:lang w:eastAsia="zh-TW"/>
        </w:rPr>
      </w:pPr>
      <w:r w:rsidRPr="00781023">
        <w:rPr>
          <w:rFonts w:hint="eastAsia"/>
          <w:lang w:eastAsia="zh-TW"/>
        </w:rPr>
        <w:t>【7】趙有臣：《</w:t>
      </w:r>
      <w:r w:rsidRPr="00781023">
        <w:rPr>
          <w:lang w:eastAsia="zh-TW"/>
        </w:rPr>
        <w:t>&lt;</w:t>
      </w:r>
      <w:r w:rsidRPr="00781023">
        <w:rPr>
          <w:rFonts w:hint="eastAsia"/>
          <w:lang w:eastAsia="zh-TW"/>
        </w:rPr>
        <w:t>五十二病方</w:t>
      </w:r>
      <w:r w:rsidRPr="00781023">
        <w:rPr>
          <w:lang w:eastAsia="zh-TW"/>
        </w:rPr>
        <w:t>&gt;</w:t>
      </w:r>
      <w:r w:rsidRPr="00781023">
        <w:rPr>
          <w:rFonts w:hint="eastAsia"/>
          <w:lang w:eastAsia="zh-TW"/>
        </w:rPr>
        <w:t>中幾種藥物的考釋》，《中華醫史雜誌》</w:t>
      </w:r>
      <w:r w:rsidRPr="00781023">
        <w:rPr>
          <w:lang w:eastAsia="zh-TW"/>
        </w:rPr>
        <w:t>1985</w:t>
      </w:r>
      <w:r w:rsidRPr="00781023">
        <w:rPr>
          <w:rFonts w:hint="eastAsia"/>
          <w:lang w:eastAsia="zh-TW"/>
        </w:rPr>
        <w:t>年第</w:t>
      </w:r>
      <w:r w:rsidRPr="00781023">
        <w:rPr>
          <w:lang w:eastAsia="zh-TW"/>
        </w:rPr>
        <w:t>2</w:t>
      </w:r>
      <w:r w:rsidRPr="00781023">
        <w:rPr>
          <w:rFonts w:hint="eastAsia"/>
          <w:lang w:eastAsia="zh-TW"/>
        </w:rPr>
        <w:t>期。</w:t>
      </w:r>
    </w:p>
    <w:p w:rsidR="00781023" w:rsidRPr="00781023" w:rsidRDefault="00781023" w:rsidP="00D216E9">
      <w:pPr>
        <w:pStyle w:val="aa"/>
        <w:ind w:firstLine="560"/>
        <w:rPr>
          <w:lang w:eastAsia="zh-TW"/>
        </w:rPr>
      </w:pPr>
      <w:r w:rsidRPr="00781023">
        <w:rPr>
          <w:rFonts w:hint="eastAsia"/>
          <w:lang w:eastAsia="zh-TW"/>
        </w:rPr>
        <w:t>【8】漢語大字典編輯委員會編：《漢語大字典》第二冊，四川辭書出版社、湖北辭書出版社，</w:t>
      </w:r>
      <w:r w:rsidRPr="00781023">
        <w:rPr>
          <w:lang w:eastAsia="zh-TW"/>
        </w:rPr>
        <w:t>1988</w:t>
      </w:r>
      <w:r w:rsidRPr="00781023">
        <w:rPr>
          <w:rFonts w:hint="eastAsia"/>
          <w:lang w:eastAsia="zh-TW"/>
        </w:rPr>
        <w:t>年，第</w:t>
      </w:r>
      <w:r w:rsidRPr="00781023">
        <w:rPr>
          <w:lang w:eastAsia="zh-TW"/>
        </w:rPr>
        <w:t>1260</w:t>
      </w:r>
      <w:r w:rsidRPr="00781023">
        <w:rPr>
          <w:rFonts w:hint="eastAsia"/>
          <w:lang w:eastAsia="zh-TW"/>
        </w:rPr>
        <w:t>頁。</w:t>
      </w:r>
    </w:p>
    <w:p w:rsidR="00781023" w:rsidRPr="00781023" w:rsidRDefault="00781023" w:rsidP="00D216E9">
      <w:pPr>
        <w:pStyle w:val="aa"/>
        <w:ind w:firstLine="560"/>
        <w:rPr>
          <w:lang w:eastAsia="zh-TW"/>
        </w:rPr>
      </w:pPr>
      <w:r w:rsidRPr="00781023">
        <w:rPr>
          <w:rFonts w:hint="eastAsia"/>
          <w:lang w:eastAsia="zh-TW"/>
        </w:rPr>
        <w:t>【9】余雲岫：《古代疾病名候疏義·爾雅病疏》學苑出版社，</w:t>
      </w:r>
      <w:r w:rsidRPr="00781023">
        <w:rPr>
          <w:lang w:eastAsia="zh-TW"/>
        </w:rPr>
        <w:t>2012</w:t>
      </w:r>
      <w:r w:rsidRPr="00781023">
        <w:rPr>
          <w:rFonts w:hint="eastAsia"/>
          <w:lang w:eastAsia="zh-TW"/>
        </w:rPr>
        <w:lastRenderedPageBreak/>
        <w:t>年，第</w:t>
      </w:r>
      <w:r w:rsidRPr="00781023">
        <w:rPr>
          <w:lang w:eastAsia="zh-TW"/>
        </w:rPr>
        <w:t>17</w:t>
      </w:r>
      <w:r w:rsidRPr="00781023">
        <w:rPr>
          <w:rFonts w:hint="eastAsia"/>
          <w:lang w:eastAsia="zh-TW"/>
        </w:rPr>
        <w:t>頁。</w:t>
      </w:r>
    </w:p>
    <w:p w:rsidR="00781023" w:rsidRPr="00781023" w:rsidRDefault="00781023" w:rsidP="00D216E9">
      <w:pPr>
        <w:pStyle w:val="aa"/>
        <w:ind w:firstLine="560"/>
        <w:rPr>
          <w:lang w:eastAsia="zh-TW"/>
        </w:rPr>
      </w:pPr>
      <w:r w:rsidRPr="00781023">
        <w:rPr>
          <w:rFonts w:hint="eastAsia"/>
          <w:lang w:eastAsia="zh-TW"/>
        </w:rPr>
        <w:t>【10】</w:t>
      </w:r>
      <w:r w:rsidRPr="00781023">
        <w:rPr>
          <w:lang w:eastAsia="zh-TW"/>
        </w:rPr>
        <w:t>[</w:t>
      </w:r>
      <w:r w:rsidRPr="00781023">
        <w:rPr>
          <w:rFonts w:hint="eastAsia"/>
          <w:lang w:eastAsia="zh-TW"/>
        </w:rPr>
        <w:t>日</w:t>
      </w:r>
      <w:r w:rsidRPr="00781023">
        <w:rPr>
          <w:lang w:eastAsia="zh-TW"/>
        </w:rPr>
        <w:t>]</w:t>
      </w:r>
      <w:r w:rsidRPr="00781023">
        <w:rPr>
          <w:rFonts w:hint="eastAsia"/>
          <w:lang w:eastAsia="zh-TW"/>
        </w:rPr>
        <w:t>丹波康賴撰、高文柱校注《醫心方》，華夏出版社，</w:t>
      </w:r>
      <w:r w:rsidRPr="00781023">
        <w:rPr>
          <w:lang w:eastAsia="zh-TW"/>
        </w:rPr>
        <w:t>2011</w:t>
      </w:r>
      <w:r w:rsidRPr="00781023">
        <w:rPr>
          <w:rFonts w:hint="eastAsia"/>
          <w:lang w:eastAsia="zh-TW"/>
        </w:rPr>
        <w:t>年，第</w:t>
      </w:r>
      <w:r w:rsidRPr="00781023">
        <w:rPr>
          <w:lang w:eastAsia="zh-TW"/>
        </w:rPr>
        <w:t>114</w:t>
      </w:r>
      <w:r w:rsidRPr="00781023">
        <w:rPr>
          <w:rFonts w:hint="eastAsia"/>
          <w:lang w:eastAsia="zh-TW"/>
        </w:rPr>
        <w:t>、</w:t>
      </w:r>
      <w:r w:rsidRPr="00781023">
        <w:rPr>
          <w:lang w:eastAsia="zh-TW"/>
        </w:rPr>
        <w:t>115</w:t>
      </w:r>
      <w:r w:rsidRPr="00781023">
        <w:rPr>
          <w:rFonts w:hint="eastAsia"/>
          <w:lang w:eastAsia="zh-TW"/>
        </w:rPr>
        <w:t>頁。</w:t>
      </w:r>
    </w:p>
    <w:p w:rsidR="00781023" w:rsidRPr="00781023" w:rsidRDefault="00781023" w:rsidP="00D216E9">
      <w:pPr>
        <w:pStyle w:val="aa"/>
        <w:ind w:firstLine="560"/>
        <w:rPr>
          <w:lang w:eastAsia="zh-TW"/>
        </w:rPr>
      </w:pPr>
      <w:r w:rsidRPr="00781023">
        <w:rPr>
          <w:rFonts w:hint="eastAsia"/>
          <w:lang w:eastAsia="zh-TW"/>
        </w:rPr>
        <w:t>【11】劉玉堂、賈海燕：《馬王堆帛書</w:t>
      </w:r>
      <w:r w:rsidRPr="00781023">
        <w:rPr>
          <w:lang w:eastAsia="zh-TW"/>
        </w:rPr>
        <w:t>&lt;</w:t>
      </w:r>
      <w:r w:rsidRPr="00781023">
        <w:rPr>
          <w:rFonts w:hint="eastAsia"/>
          <w:lang w:eastAsia="zh-TW"/>
        </w:rPr>
        <w:t>五十二病方·祛疣</w:t>
      </w:r>
      <w:r w:rsidRPr="00781023">
        <w:rPr>
          <w:lang w:eastAsia="zh-TW"/>
        </w:rPr>
        <w:t>&gt;</w:t>
      </w:r>
      <w:r w:rsidRPr="00781023">
        <w:rPr>
          <w:rFonts w:hint="eastAsia"/>
          <w:lang w:eastAsia="zh-TW"/>
        </w:rPr>
        <w:t>所涉之巫術與民俗》，《中南民族大學學報》</w:t>
      </w:r>
      <w:r w:rsidRPr="00781023">
        <w:rPr>
          <w:lang w:eastAsia="zh-TW"/>
        </w:rPr>
        <w:t>2009</w:t>
      </w:r>
      <w:r w:rsidRPr="00781023">
        <w:rPr>
          <w:rFonts w:hint="eastAsia"/>
          <w:lang w:eastAsia="zh-TW"/>
        </w:rPr>
        <w:t>年第</w:t>
      </w:r>
      <w:r w:rsidRPr="00781023">
        <w:rPr>
          <w:lang w:eastAsia="zh-TW"/>
        </w:rPr>
        <w:t>1</w:t>
      </w:r>
      <w:r w:rsidRPr="00781023">
        <w:rPr>
          <w:rFonts w:hint="eastAsia"/>
          <w:lang w:eastAsia="zh-TW"/>
        </w:rPr>
        <w:t>期，第</w:t>
      </w:r>
      <w:r w:rsidRPr="00781023">
        <w:rPr>
          <w:lang w:eastAsia="zh-TW"/>
        </w:rPr>
        <w:t>174</w:t>
      </w:r>
      <w:r w:rsidRPr="00781023">
        <w:rPr>
          <w:rFonts w:hint="eastAsia"/>
          <w:lang w:eastAsia="zh-TW"/>
        </w:rPr>
        <w:t>頁。</w:t>
      </w:r>
    </w:p>
    <w:bookmarkEnd w:id="0"/>
    <w:bookmarkEnd w:id="1"/>
    <w:p w:rsidR="00077C36" w:rsidRPr="00781023" w:rsidRDefault="00077C36" w:rsidP="00D216E9">
      <w:pPr>
        <w:pStyle w:val="aa"/>
        <w:ind w:firstLine="560"/>
        <w:rPr>
          <w:lang w:eastAsia="zh-TW"/>
        </w:rPr>
      </w:pPr>
    </w:p>
    <w:sectPr w:rsidR="00077C36" w:rsidRPr="00781023">
      <w:headerReference w:type="default" r:id="rId22"/>
      <w:footerReference w:type="even" r:id="rId23"/>
      <w:footerReference w:type="default" r:id="rId24"/>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B92" w:rsidRDefault="00214B92" w:rsidP="00CB0024">
      <w:r>
        <w:separator/>
      </w:r>
    </w:p>
  </w:endnote>
  <w:endnote w:type="continuationSeparator" w:id="0">
    <w:p w:rsidR="00214B92" w:rsidRDefault="00214B92"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23" w:rsidRDefault="00781023"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81023" w:rsidRDefault="007810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23" w:rsidRPr="00EF302F" w:rsidRDefault="00781023" w:rsidP="00EF302F">
    <w:pPr>
      <w:tabs>
        <w:tab w:val="center" w:pos="4153"/>
        <w:tab w:val="right" w:pos="8306"/>
      </w:tabs>
    </w:pPr>
    <w:r w:rsidRPr="00C01B1F">
      <w:rPr>
        <w:rFonts w:hint="eastAsia"/>
        <w:sz w:val="18"/>
        <w:szCs w:val="18"/>
      </w:rPr>
      <w:t>收稿日期：</w:t>
    </w:r>
    <w:r w:rsidRPr="00C01B1F">
      <w:rPr>
        <w:sz w:val="18"/>
        <w:szCs w:val="18"/>
      </w:rPr>
      <w:t>201</w:t>
    </w:r>
    <w:r>
      <w:rPr>
        <w:rFonts w:hint="eastAsia"/>
        <w:sz w:val="18"/>
        <w:szCs w:val="18"/>
      </w:rPr>
      <w:t>9</w:t>
    </w:r>
    <w:r w:rsidRPr="00C01B1F">
      <w:rPr>
        <w:rFonts w:hint="eastAsia"/>
        <w:sz w:val="18"/>
        <w:szCs w:val="18"/>
      </w:rPr>
      <w:t>年</w:t>
    </w:r>
    <w:r>
      <w:rPr>
        <w:sz w:val="18"/>
        <w:szCs w:val="18"/>
      </w:rPr>
      <w:t>2</w:t>
    </w:r>
    <w:r w:rsidRPr="00C01B1F">
      <w:rPr>
        <w:rFonts w:hint="eastAsia"/>
        <w:sz w:val="18"/>
        <w:szCs w:val="18"/>
      </w:rPr>
      <w:t>月</w:t>
    </w:r>
    <w:r w:rsidR="00D216E9">
      <w:rPr>
        <w:rFonts w:hint="eastAsia"/>
        <w:sz w:val="18"/>
        <w:szCs w:val="18"/>
      </w:rPr>
      <w:t>13</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rFonts w:hint="eastAsia"/>
        <w:sz w:val="18"/>
        <w:szCs w:val="18"/>
      </w:rPr>
      <w:t>9</w:t>
    </w:r>
    <w:r w:rsidRPr="00C01B1F">
      <w:rPr>
        <w:rFonts w:hint="eastAsia"/>
        <w:sz w:val="18"/>
        <w:szCs w:val="18"/>
      </w:rPr>
      <w:t>年</w:t>
    </w:r>
    <w:r>
      <w:rPr>
        <w:sz w:val="18"/>
        <w:szCs w:val="18"/>
      </w:rPr>
      <w:t>2</w:t>
    </w:r>
    <w:r w:rsidRPr="00C01B1F">
      <w:rPr>
        <w:rFonts w:hint="eastAsia"/>
        <w:sz w:val="18"/>
        <w:szCs w:val="18"/>
      </w:rPr>
      <w:t>月</w:t>
    </w:r>
    <w:r w:rsidR="00D216E9">
      <w:rPr>
        <w:rFonts w:hint="eastAsia"/>
        <w:sz w:val="18"/>
        <w:szCs w:val="18"/>
      </w:rPr>
      <w:t>14</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6</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6</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B92" w:rsidRDefault="00214B92" w:rsidP="00CB0024">
      <w:r>
        <w:separator/>
      </w:r>
    </w:p>
  </w:footnote>
  <w:footnote w:type="continuationSeparator" w:id="0">
    <w:p w:rsidR="00214B92" w:rsidRDefault="00214B92"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23" w:rsidRDefault="00781023" w:rsidP="00EF302F">
    <w:pPr>
      <w:pStyle w:val="af"/>
      <w:spacing w:before="240" w:after="240"/>
      <w:ind w:firstLine="436"/>
    </w:pPr>
    <w:r>
      <w:rPr>
        <w:rFonts w:hint="eastAsia"/>
      </w:rPr>
      <w:t>复旦大学出土文献与古文字研究中心网站论文</w:t>
    </w:r>
  </w:p>
  <w:p w:rsidR="00781023" w:rsidRPr="00EF302F" w:rsidRDefault="00781023" w:rsidP="00EF302F">
    <w:pPr>
      <w:pStyle w:val="af"/>
      <w:spacing w:before="240" w:after="240"/>
      <w:ind w:firstLine="436"/>
    </w:pPr>
    <w:r>
      <w:rPr>
        <w:rFonts w:hint="eastAsia"/>
      </w:rPr>
      <w:t>链接：</w:t>
    </w:r>
    <w:r w:rsidRPr="00775AF2">
      <w:t>http://www.gwz.fudan.edu.cn/Web/Show/43</w:t>
    </w:r>
    <w:r>
      <w:t>8</w:t>
    </w:r>
    <w:r w:rsidR="00D216E9">
      <w:rPr>
        <w:rFonts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5pt;height:49.5pt;visibility:visible" o:bullet="t">
        <v:imagedata r:id="rId1" o:title=""/>
      </v:shape>
    </w:pict>
  </w:numPicBullet>
  <w:numPicBullet w:numPicBulletId="1">
    <w:pict>
      <v:shape id="_x0000_i1029" type="#_x0000_t75" style="width:22pt;height:28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4"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5"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6"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7"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8"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9"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0"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1"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2"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9"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0"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5" w15:restartNumberingAfterBreak="0">
    <w:nsid w:val="5A707373"/>
    <w:multiLevelType w:val="singleLevel"/>
    <w:tmpl w:val="5A707373"/>
    <w:lvl w:ilvl="0">
      <w:start w:val="1"/>
      <w:numFmt w:val="chineseCounting"/>
      <w:suff w:val="nothing"/>
      <w:lvlText w:val="第%1，"/>
      <w:lvlJc w:val="left"/>
    </w:lvl>
  </w:abstractNum>
  <w:abstractNum w:abstractNumId="26"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28"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7"/>
  </w:num>
  <w:num w:numId="3">
    <w:abstractNumId w:val="19"/>
  </w:num>
  <w:num w:numId="4">
    <w:abstractNumId w:val="24"/>
  </w:num>
  <w:num w:numId="5">
    <w:abstractNumId w:val="2"/>
  </w:num>
  <w:num w:numId="6">
    <w:abstractNumId w:val="25"/>
  </w:num>
  <w:num w:numId="7">
    <w:abstractNumId w:val="22"/>
  </w:num>
  <w:num w:numId="8">
    <w:abstractNumId w:val="1"/>
    <w:lvlOverride w:ilvl="0">
      <w:startOverride w:val="1"/>
    </w:lvlOverride>
  </w:num>
  <w:num w:numId="9">
    <w:abstractNumId w:val="0"/>
    <w:lvlOverride w:ilvl="0">
      <w:startOverride w:val="1"/>
    </w:lvlOverride>
  </w:num>
  <w:num w:numId="10">
    <w:abstractNumId w:val="17"/>
  </w:num>
  <w:num w:numId="11">
    <w:abstractNumId w:val="21"/>
  </w:num>
  <w:num w:numId="12">
    <w:abstractNumId w:val="16"/>
  </w:num>
  <w:num w:numId="13">
    <w:abstractNumId w:val="13"/>
  </w:num>
  <w:num w:numId="14">
    <w:abstractNumId w:val="14"/>
  </w:num>
  <w:num w:numId="15">
    <w:abstractNumId w:val="20"/>
  </w:num>
  <w:num w:numId="16">
    <w:abstractNumId w:val="26"/>
  </w:num>
  <w:num w:numId="17">
    <w:abstractNumId w:val="29"/>
  </w:num>
  <w:num w:numId="18">
    <w:abstractNumId w:val="23"/>
  </w:num>
  <w:num w:numId="19">
    <w:abstractNumId w:val="15"/>
  </w:num>
  <w:num w:numId="20">
    <w:abstractNumId w:val="28"/>
  </w:num>
  <w:num w:numId="21">
    <w:abstractNumId w:val="12"/>
  </w:num>
  <w:num w:numId="22">
    <w:abstractNumId w:val="11"/>
  </w:num>
  <w:num w:numId="23">
    <w:abstractNumId w:val="10"/>
  </w:num>
  <w:num w:numId="24">
    <w:abstractNumId w:val="9"/>
  </w:num>
  <w:num w:numId="25">
    <w:abstractNumId w:val="8"/>
  </w:num>
  <w:num w:numId="26">
    <w:abstractNumId w:val="7"/>
  </w:num>
  <w:num w:numId="27">
    <w:abstractNumId w:val="6"/>
  </w:num>
  <w:num w:numId="28">
    <w:abstractNumId w:val="5"/>
  </w:num>
  <w:num w:numId="29">
    <w:abstractNumId w:val="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788"/>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2FE9"/>
    <w:rsid w:val="0006648C"/>
    <w:rsid w:val="00073508"/>
    <w:rsid w:val="00076F82"/>
    <w:rsid w:val="00077C36"/>
    <w:rsid w:val="00084150"/>
    <w:rsid w:val="000860FF"/>
    <w:rsid w:val="000A4A8F"/>
    <w:rsid w:val="000B02C6"/>
    <w:rsid w:val="000B3534"/>
    <w:rsid w:val="000B3E82"/>
    <w:rsid w:val="000B4C47"/>
    <w:rsid w:val="000B7803"/>
    <w:rsid w:val="000C306D"/>
    <w:rsid w:val="000C439A"/>
    <w:rsid w:val="000C6DDF"/>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2030A"/>
    <w:rsid w:val="00131D4E"/>
    <w:rsid w:val="001332B7"/>
    <w:rsid w:val="001347BB"/>
    <w:rsid w:val="00140894"/>
    <w:rsid w:val="001433AC"/>
    <w:rsid w:val="0014382E"/>
    <w:rsid w:val="001450B7"/>
    <w:rsid w:val="00154CEE"/>
    <w:rsid w:val="00156D70"/>
    <w:rsid w:val="001641C2"/>
    <w:rsid w:val="00164C7B"/>
    <w:rsid w:val="00167A7A"/>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C5F88"/>
    <w:rsid w:val="001D1713"/>
    <w:rsid w:val="001D2B45"/>
    <w:rsid w:val="001D427D"/>
    <w:rsid w:val="001D4E56"/>
    <w:rsid w:val="001E6598"/>
    <w:rsid w:val="001F1BFC"/>
    <w:rsid w:val="00211416"/>
    <w:rsid w:val="00214B92"/>
    <w:rsid w:val="00216AB7"/>
    <w:rsid w:val="002211DE"/>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0E2F"/>
    <w:rsid w:val="002A1D71"/>
    <w:rsid w:val="002A5820"/>
    <w:rsid w:val="002A6194"/>
    <w:rsid w:val="002A746C"/>
    <w:rsid w:val="002B32DA"/>
    <w:rsid w:val="002C4C02"/>
    <w:rsid w:val="002C668C"/>
    <w:rsid w:val="002C70BF"/>
    <w:rsid w:val="002C7445"/>
    <w:rsid w:val="002D5CCD"/>
    <w:rsid w:val="002D74D8"/>
    <w:rsid w:val="002E2792"/>
    <w:rsid w:val="002E503F"/>
    <w:rsid w:val="002F1FE6"/>
    <w:rsid w:val="002F2D81"/>
    <w:rsid w:val="00300BB1"/>
    <w:rsid w:val="00311E98"/>
    <w:rsid w:val="00313A1D"/>
    <w:rsid w:val="0031705D"/>
    <w:rsid w:val="00317DBF"/>
    <w:rsid w:val="00317E80"/>
    <w:rsid w:val="00324A0C"/>
    <w:rsid w:val="003254FE"/>
    <w:rsid w:val="00330794"/>
    <w:rsid w:val="00332FF4"/>
    <w:rsid w:val="00334313"/>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90262"/>
    <w:rsid w:val="003914E2"/>
    <w:rsid w:val="00394082"/>
    <w:rsid w:val="00395D81"/>
    <w:rsid w:val="003A0D1A"/>
    <w:rsid w:val="003B45B0"/>
    <w:rsid w:val="003B5515"/>
    <w:rsid w:val="003C12E0"/>
    <w:rsid w:val="003C3289"/>
    <w:rsid w:val="003C4800"/>
    <w:rsid w:val="003C4D06"/>
    <w:rsid w:val="003C57BB"/>
    <w:rsid w:val="003D46B8"/>
    <w:rsid w:val="003E1354"/>
    <w:rsid w:val="003E1502"/>
    <w:rsid w:val="003E1E5C"/>
    <w:rsid w:val="003E5FD9"/>
    <w:rsid w:val="003F2D79"/>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60A2"/>
    <w:rsid w:val="004918C3"/>
    <w:rsid w:val="004975C8"/>
    <w:rsid w:val="004A0388"/>
    <w:rsid w:val="004A1861"/>
    <w:rsid w:val="004A2C87"/>
    <w:rsid w:val="004A7E18"/>
    <w:rsid w:val="004B0674"/>
    <w:rsid w:val="004B0D90"/>
    <w:rsid w:val="004B12DE"/>
    <w:rsid w:val="004B405F"/>
    <w:rsid w:val="004B4723"/>
    <w:rsid w:val="004D1FA3"/>
    <w:rsid w:val="004D4C84"/>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36B1"/>
    <w:rsid w:val="005549F6"/>
    <w:rsid w:val="00560EBB"/>
    <w:rsid w:val="00562694"/>
    <w:rsid w:val="00564069"/>
    <w:rsid w:val="00570DB1"/>
    <w:rsid w:val="00570E9F"/>
    <w:rsid w:val="00571CEA"/>
    <w:rsid w:val="005755E3"/>
    <w:rsid w:val="005816FB"/>
    <w:rsid w:val="00584AEE"/>
    <w:rsid w:val="00586B2B"/>
    <w:rsid w:val="005875DF"/>
    <w:rsid w:val="005935F3"/>
    <w:rsid w:val="00594347"/>
    <w:rsid w:val="0059627F"/>
    <w:rsid w:val="005A2D63"/>
    <w:rsid w:val="005A3011"/>
    <w:rsid w:val="005A419C"/>
    <w:rsid w:val="005B29BC"/>
    <w:rsid w:val="005B69A6"/>
    <w:rsid w:val="005C1A21"/>
    <w:rsid w:val="005C1F1C"/>
    <w:rsid w:val="005C51B2"/>
    <w:rsid w:val="005D22B2"/>
    <w:rsid w:val="005D2F69"/>
    <w:rsid w:val="005E2C50"/>
    <w:rsid w:val="005F3E33"/>
    <w:rsid w:val="0060101E"/>
    <w:rsid w:val="00602939"/>
    <w:rsid w:val="00610E9E"/>
    <w:rsid w:val="006166C7"/>
    <w:rsid w:val="00620A4F"/>
    <w:rsid w:val="00620F72"/>
    <w:rsid w:val="00621D7A"/>
    <w:rsid w:val="0062260A"/>
    <w:rsid w:val="00623408"/>
    <w:rsid w:val="006245DA"/>
    <w:rsid w:val="0062642B"/>
    <w:rsid w:val="0063183B"/>
    <w:rsid w:val="0063231F"/>
    <w:rsid w:val="00634446"/>
    <w:rsid w:val="00634CBD"/>
    <w:rsid w:val="00635CF4"/>
    <w:rsid w:val="00635FA4"/>
    <w:rsid w:val="00640B39"/>
    <w:rsid w:val="00644D5B"/>
    <w:rsid w:val="00650E61"/>
    <w:rsid w:val="0065256A"/>
    <w:rsid w:val="00672EC8"/>
    <w:rsid w:val="00673C78"/>
    <w:rsid w:val="006778A0"/>
    <w:rsid w:val="00682D5D"/>
    <w:rsid w:val="00686575"/>
    <w:rsid w:val="00693A5D"/>
    <w:rsid w:val="006A1B0D"/>
    <w:rsid w:val="006A3D5C"/>
    <w:rsid w:val="006A3F90"/>
    <w:rsid w:val="006A5FF2"/>
    <w:rsid w:val="006B0F0D"/>
    <w:rsid w:val="006B1CF9"/>
    <w:rsid w:val="006B47EE"/>
    <w:rsid w:val="006B7475"/>
    <w:rsid w:val="006C41B9"/>
    <w:rsid w:val="006C6BAA"/>
    <w:rsid w:val="006D3921"/>
    <w:rsid w:val="006D408B"/>
    <w:rsid w:val="006E0E0C"/>
    <w:rsid w:val="006E2F87"/>
    <w:rsid w:val="006E760F"/>
    <w:rsid w:val="006E7B7B"/>
    <w:rsid w:val="006F28BC"/>
    <w:rsid w:val="006F300C"/>
    <w:rsid w:val="006F52F5"/>
    <w:rsid w:val="006F79DD"/>
    <w:rsid w:val="007002F8"/>
    <w:rsid w:val="007007CC"/>
    <w:rsid w:val="0070713C"/>
    <w:rsid w:val="007103F0"/>
    <w:rsid w:val="00713580"/>
    <w:rsid w:val="007138A4"/>
    <w:rsid w:val="00715D6B"/>
    <w:rsid w:val="007166DE"/>
    <w:rsid w:val="007204C1"/>
    <w:rsid w:val="00724062"/>
    <w:rsid w:val="007317E0"/>
    <w:rsid w:val="0073487E"/>
    <w:rsid w:val="00740478"/>
    <w:rsid w:val="00740BC5"/>
    <w:rsid w:val="00742DDD"/>
    <w:rsid w:val="007430E0"/>
    <w:rsid w:val="0075360F"/>
    <w:rsid w:val="007606F5"/>
    <w:rsid w:val="0076174E"/>
    <w:rsid w:val="007708C6"/>
    <w:rsid w:val="00771D41"/>
    <w:rsid w:val="007721C4"/>
    <w:rsid w:val="0077379F"/>
    <w:rsid w:val="00773918"/>
    <w:rsid w:val="00775AF2"/>
    <w:rsid w:val="00781023"/>
    <w:rsid w:val="007810E0"/>
    <w:rsid w:val="007B0257"/>
    <w:rsid w:val="007B0B09"/>
    <w:rsid w:val="007B1A80"/>
    <w:rsid w:val="007C4028"/>
    <w:rsid w:val="007C6D48"/>
    <w:rsid w:val="007D5FCD"/>
    <w:rsid w:val="007D776B"/>
    <w:rsid w:val="0080242C"/>
    <w:rsid w:val="00805018"/>
    <w:rsid w:val="008114A2"/>
    <w:rsid w:val="00811B04"/>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7434A"/>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6FD3"/>
    <w:rsid w:val="008C7A92"/>
    <w:rsid w:val="008D30E6"/>
    <w:rsid w:val="008D3B25"/>
    <w:rsid w:val="008D7BDB"/>
    <w:rsid w:val="008E49CB"/>
    <w:rsid w:val="008E5D6E"/>
    <w:rsid w:val="008E6624"/>
    <w:rsid w:val="008F4C76"/>
    <w:rsid w:val="008F5C80"/>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568AB"/>
    <w:rsid w:val="00962238"/>
    <w:rsid w:val="00962DFC"/>
    <w:rsid w:val="00964805"/>
    <w:rsid w:val="00970316"/>
    <w:rsid w:val="00970D12"/>
    <w:rsid w:val="0097125F"/>
    <w:rsid w:val="00977A96"/>
    <w:rsid w:val="00980CC8"/>
    <w:rsid w:val="00986333"/>
    <w:rsid w:val="0098705C"/>
    <w:rsid w:val="00987883"/>
    <w:rsid w:val="009911B7"/>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166"/>
    <w:rsid w:val="00A026E4"/>
    <w:rsid w:val="00A04D48"/>
    <w:rsid w:val="00A0577E"/>
    <w:rsid w:val="00A06EEC"/>
    <w:rsid w:val="00A072DD"/>
    <w:rsid w:val="00A16D1C"/>
    <w:rsid w:val="00A303C4"/>
    <w:rsid w:val="00A33350"/>
    <w:rsid w:val="00A35CE6"/>
    <w:rsid w:val="00A43B2B"/>
    <w:rsid w:val="00A4525C"/>
    <w:rsid w:val="00A52734"/>
    <w:rsid w:val="00A553B6"/>
    <w:rsid w:val="00A60B6E"/>
    <w:rsid w:val="00A626FC"/>
    <w:rsid w:val="00A63856"/>
    <w:rsid w:val="00A64354"/>
    <w:rsid w:val="00A64CC3"/>
    <w:rsid w:val="00A710B2"/>
    <w:rsid w:val="00A71884"/>
    <w:rsid w:val="00A72999"/>
    <w:rsid w:val="00A73FD8"/>
    <w:rsid w:val="00A7444E"/>
    <w:rsid w:val="00A76F1D"/>
    <w:rsid w:val="00A8129E"/>
    <w:rsid w:val="00A84BF3"/>
    <w:rsid w:val="00A87B29"/>
    <w:rsid w:val="00AA2818"/>
    <w:rsid w:val="00AA4359"/>
    <w:rsid w:val="00AA543B"/>
    <w:rsid w:val="00AA5ACA"/>
    <w:rsid w:val="00AA6604"/>
    <w:rsid w:val="00AA7065"/>
    <w:rsid w:val="00AC4C6A"/>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1F47"/>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2BB2"/>
    <w:rsid w:val="00BA32AD"/>
    <w:rsid w:val="00BA4771"/>
    <w:rsid w:val="00BA4E68"/>
    <w:rsid w:val="00BA5289"/>
    <w:rsid w:val="00BA6421"/>
    <w:rsid w:val="00BB017B"/>
    <w:rsid w:val="00BB6F3D"/>
    <w:rsid w:val="00BC126B"/>
    <w:rsid w:val="00BC49BB"/>
    <w:rsid w:val="00BD4E67"/>
    <w:rsid w:val="00BD750D"/>
    <w:rsid w:val="00BE148F"/>
    <w:rsid w:val="00BE5AA8"/>
    <w:rsid w:val="00BF358E"/>
    <w:rsid w:val="00BF5F1D"/>
    <w:rsid w:val="00C01C0A"/>
    <w:rsid w:val="00C037A6"/>
    <w:rsid w:val="00C03F8A"/>
    <w:rsid w:val="00C200D7"/>
    <w:rsid w:val="00C217A0"/>
    <w:rsid w:val="00C24A2E"/>
    <w:rsid w:val="00C25CFC"/>
    <w:rsid w:val="00C36956"/>
    <w:rsid w:val="00C40577"/>
    <w:rsid w:val="00C405CB"/>
    <w:rsid w:val="00C410F4"/>
    <w:rsid w:val="00C43658"/>
    <w:rsid w:val="00C46047"/>
    <w:rsid w:val="00C52B1A"/>
    <w:rsid w:val="00C540E0"/>
    <w:rsid w:val="00C601E8"/>
    <w:rsid w:val="00C639B5"/>
    <w:rsid w:val="00C673BD"/>
    <w:rsid w:val="00C7337F"/>
    <w:rsid w:val="00C75C1A"/>
    <w:rsid w:val="00C86E98"/>
    <w:rsid w:val="00C90543"/>
    <w:rsid w:val="00C935B4"/>
    <w:rsid w:val="00C9386D"/>
    <w:rsid w:val="00C9729E"/>
    <w:rsid w:val="00CA455C"/>
    <w:rsid w:val="00CB0024"/>
    <w:rsid w:val="00CB3F3F"/>
    <w:rsid w:val="00CC33AB"/>
    <w:rsid w:val="00CC6F6E"/>
    <w:rsid w:val="00CD12D8"/>
    <w:rsid w:val="00CD3AD6"/>
    <w:rsid w:val="00CE1F09"/>
    <w:rsid w:val="00CF2087"/>
    <w:rsid w:val="00CF2D53"/>
    <w:rsid w:val="00CF3432"/>
    <w:rsid w:val="00CF55D5"/>
    <w:rsid w:val="00CF736F"/>
    <w:rsid w:val="00D00583"/>
    <w:rsid w:val="00D12835"/>
    <w:rsid w:val="00D14104"/>
    <w:rsid w:val="00D208AF"/>
    <w:rsid w:val="00D216E9"/>
    <w:rsid w:val="00D24914"/>
    <w:rsid w:val="00D326D7"/>
    <w:rsid w:val="00D40B52"/>
    <w:rsid w:val="00D51572"/>
    <w:rsid w:val="00D54453"/>
    <w:rsid w:val="00D556BF"/>
    <w:rsid w:val="00D60710"/>
    <w:rsid w:val="00D61798"/>
    <w:rsid w:val="00D62CB1"/>
    <w:rsid w:val="00D67634"/>
    <w:rsid w:val="00D71F81"/>
    <w:rsid w:val="00D726F9"/>
    <w:rsid w:val="00D756A9"/>
    <w:rsid w:val="00D765DA"/>
    <w:rsid w:val="00D84579"/>
    <w:rsid w:val="00D859D5"/>
    <w:rsid w:val="00D85C5E"/>
    <w:rsid w:val="00D91E89"/>
    <w:rsid w:val="00D94761"/>
    <w:rsid w:val="00D94D4A"/>
    <w:rsid w:val="00DA17FB"/>
    <w:rsid w:val="00DA2027"/>
    <w:rsid w:val="00DA469D"/>
    <w:rsid w:val="00DB1A8E"/>
    <w:rsid w:val="00DB2818"/>
    <w:rsid w:val="00DB652D"/>
    <w:rsid w:val="00DC2A33"/>
    <w:rsid w:val="00DC5C27"/>
    <w:rsid w:val="00DC74C5"/>
    <w:rsid w:val="00DD0C90"/>
    <w:rsid w:val="00DD491C"/>
    <w:rsid w:val="00DE03E4"/>
    <w:rsid w:val="00DE20EE"/>
    <w:rsid w:val="00DE2591"/>
    <w:rsid w:val="00DE4754"/>
    <w:rsid w:val="00DE5AD0"/>
    <w:rsid w:val="00DE6887"/>
    <w:rsid w:val="00DE6920"/>
    <w:rsid w:val="00DF05E9"/>
    <w:rsid w:val="00E014C1"/>
    <w:rsid w:val="00E01E6C"/>
    <w:rsid w:val="00E03B22"/>
    <w:rsid w:val="00E0700B"/>
    <w:rsid w:val="00E2162E"/>
    <w:rsid w:val="00E27BC2"/>
    <w:rsid w:val="00E330F9"/>
    <w:rsid w:val="00E3579F"/>
    <w:rsid w:val="00E37814"/>
    <w:rsid w:val="00E415C5"/>
    <w:rsid w:val="00E46E79"/>
    <w:rsid w:val="00E51572"/>
    <w:rsid w:val="00E53B98"/>
    <w:rsid w:val="00E74B97"/>
    <w:rsid w:val="00E768A0"/>
    <w:rsid w:val="00E770D4"/>
    <w:rsid w:val="00E8039B"/>
    <w:rsid w:val="00E8091B"/>
    <w:rsid w:val="00E84361"/>
    <w:rsid w:val="00E84A0C"/>
    <w:rsid w:val="00E90438"/>
    <w:rsid w:val="00E91058"/>
    <w:rsid w:val="00EA236B"/>
    <w:rsid w:val="00EA3753"/>
    <w:rsid w:val="00EA75F6"/>
    <w:rsid w:val="00EA7776"/>
    <w:rsid w:val="00EB3041"/>
    <w:rsid w:val="00EB330F"/>
    <w:rsid w:val="00EB7229"/>
    <w:rsid w:val="00EC15D3"/>
    <w:rsid w:val="00EC4B8E"/>
    <w:rsid w:val="00EC60F9"/>
    <w:rsid w:val="00ED01D0"/>
    <w:rsid w:val="00ED2E6F"/>
    <w:rsid w:val="00ED4220"/>
    <w:rsid w:val="00ED7DB3"/>
    <w:rsid w:val="00EE0429"/>
    <w:rsid w:val="00EE0568"/>
    <w:rsid w:val="00EE528D"/>
    <w:rsid w:val="00EE6C33"/>
    <w:rsid w:val="00EE6DB8"/>
    <w:rsid w:val="00EF0E85"/>
    <w:rsid w:val="00EF2B6D"/>
    <w:rsid w:val="00EF302F"/>
    <w:rsid w:val="00F00938"/>
    <w:rsid w:val="00F02015"/>
    <w:rsid w:val="00F06B67"/>
    <w:rsid w:val="00F10AFC"/>
    <w:rsid w:val="00F232AB"/>
    <w:rsid w:val="00F27D53"/>
    <w:rsid w:val="00F31282"/>
    <w:rsid w:val="00F322A5"/>
    <w:rsid w:val="00F34E9E"/>
    <w:rsid w:val="00F34EBF"/>
    <w:rsid w:val="00F36F17"/>
    <w:rsid w:val="00F459C2"/>
    <w:rsid w:val="00F53292"/>
    <w:rsid w:val="00F5440A"/>
    <w:rsid w:val="00F54627"/>
    <w:rsid w:val="00F6326B"/>
    <w:rsid w:val="00F66363"/>
    <w:rsid w:val="00F66FE5"/>
    <w:rsid w:val="00F70568"/>
    <w:rsid w:val="00F73ABB"/>
    <w:rsid w:val="00F74311"/>
    <w:rsid w:val="00F74BDA"/>
    <w:rsid w:val="00F76B2A"/>
    <w:rsid w:val="00F80228"/>
    <w:rsid w:val="00F803F6"/>
    <w:rsid w:val="00F805FB"/>
    <w:rsid w:val="00F856E5"/>
    <w:rsid w:val="00F96BFC"/>
    <w:rsid w:val="00FA3C18"/>
    <w:rsid w:val="00FA72F5"/>
    <w:rsid w:val="00FB45B2"/>
    <w:rsid w:val="00FB6C12"/>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uiPriority w:val="99"/>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link w:val="17"/>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rsid w:val="00C037A6"/>
    <w:rPr>
      <w:sz w:val="20"/>
      <w:szCs w:val="20"/>
    </w:rPr>
  </w:style>
  <w:style w:type="paragraph" w:styleId="afc">
    <w:name w:val="Normal (Web)"/>
    <w:basedOn w:val="a"/>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8"/>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8">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0"/>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
    <w:next w:val="a4"/>
    <w:unhideWhenUsed/>
    <w:rsid w:val="00077C36"/>
    <w:pPr>
      <w:snapToGrid w:val="0"/>
      <w:jc w:val="left"/>
    </w:pPr>
    <w:rPr>
      <w:rFonts w:asciiTheme="minorHAnsi" w:eastAsiaTheme="minorEastAsia" w:hAnsiTheme="minorHAnsi" w:cstheme="minorBidi"/>
      <w:sz w:val="18"/>
      <w:szCs w:val="18"/>
    </w:rPr>
  </w:style>
  <w:style w:type="character" w:customStyle="1" w:styleId="19">
    <w:name w:val="超链接1"/>
    <w:basedOn w:val="a0"/>
    <w:uiPriority w:val="99"/>
    <w:unhideWhenUsed/>
    <w:rsid w:val="00077C36"/>
    <w:rPr>
      <w:color w:val="0000FF"/>
      <w:u w:val="single"/>
    </w:rPr>
  </w:style>
  <w:style w:type="paragraph" w:customStyle="1" w:styleId="1a">
    <w:name w:val="页眉1"/>
    <w:basedOn w:val="a"/>
    <w:next w:val="af"/>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b">
    <w:name w:val="页脚1"/>
    <w:basedOn w:val="a"/>
    <w:next w:val="a6"/>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
    <w:rsid w:val="00077C36"/>
    <w:rPr>
      <w:rFonts w:ascii="Tahoma" w:hAnsi="Tahoma"/>
      <w:bCs/>
      <w:szCs w:val="20"/>
    </w:rPr>
  </w:style>
  <w:style w:type="paragraph" w:customStyle="1" w:styleId="CharCharCharCharCharCharChar6">
    <w:name w:val="Char Char Char Char Char Char Char6"/>
    <w:basedOn w:val="a"/>
    <w:rsid w:val="00077C36"/>
    <w:rPr>
      <w:rFonts w:ascii="Tahoma" w:hAnsi="Tahoma"/>
      <w:bCs/>
      <w:szCs w:val="20"/>
    </w:rPr>
  </w:style>
  <w:style w:type="paragraph" w:customStyle="1" w:styleId="CharCharCharCharCharCharChar5">
    <w:name w:val="Char Char Char Char Char Char Char5"/>
    <w:basedOn w:val="a"/>
    <w:rsid w:val="00077C36"/>
    <w:rPr>
      <w:rFonts w:ascii="Tahoma" w:hAnsi="Tahoma"/>
      <w:bCs/>
      <w:szCs w:val="20"/>
    </w:rPr>
  </w:style>
  <w:style w:type="paragraph" w:customStyle="1" w:styleId="CharCharCharCharCharCharChar4">
    <w:name w:val="Char Char Char Char Char Char Char4"/>
    <w:basedOn w:val="a"/>
    <w:rsid w:val="00077C36"/>
    <w:rPr>
      <w:rFonts w:ascii="Tahoma" w:hAnsi="Tahoma"/>
      <w:bCs/>
      <w:szCs w:val="20"/>
    </w:rPr>
  </w:style>
  <w:style w:type="paragraph" w:customStyle="1" w:styleId="CharCharCharCharCharCharChar3">
    <w:name w:val="Char Char Char Char Char Char Char3"/>
    <w:basedOn w:val="a"/>
    <w:rsid w:val="00077C36"/>
    <w:rPr>
      <w:rFonts w:ascii="Tahoma" w:hAnsi="Tahoma"/>
      <w:bCs/>
      <w:szCs w:val="20"/>
    </w:rPr>
  </w:style>
  <w:style w:type="paragraph" w:customStyle="1" w:styleId="CharCharCharCharCharCharChar2">
    <w:name w:val="Char Char Char Char Char Char Char2"/>
    <w:basedOn w:val="a"/>
    <w:rsid w:val="00077C36"/>
    <w:rPr>
      <w:rFonts w:ascii="Tahoma" w:hAnsi="Tahoma"/>
      <w:bCs/>
      <w:szCs w:val="20"/>
    </w:rPr>
  </w:style>
  <w:style w:type="paragraph" w:customStyle="1" w:styleId="CharCharCharCharCharCharChar1">
    <w:name w:val="Char Char Char Char Char Char Char1"/>
    <w:basedOn w:val="a"/>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0"/>
    <w:rsid w:val="00077C36"/>
  </w:style>
  <w:style w:type="character" w:customStyle="1" w:styleId="1c">
    <w:name w:val="访问过的超链接1"/>
    <w:basedOn w:val="a0"/>
    <w:uiPriority w:val="99"/>
    <w:semiHidden/>
    <w:unhideWhenUsed/>
    <w:rsid w:val="00077C36"/>
    <w:rPr>
      <w:color w:val="800080"/>
      <w:u w:val="single"/>
    </w:rPr>
  </w:style>
  <w:style w:type="paragraph" w:customStyle="1" w:styleId="17">
    <w:name w:val="尾注文本1"/>
    <w:basedOn w:val="a"/>
    <w:next w:val="ad"/>
    <w:link w:val="afa"/>
    <w:uiPriority w:val="99"/>
    <w:semiHidden/>
    <w:unhideWhenUsed/>
    <w:rsid w:val="00077C36"/>
    <w:pPr>
      <w:snapToGrid w:val="0"/>
      <w:jc w:val="left"/>
    </w:pPr>
    <w:rPr>
      <w:rFonts w:ascii="Calibri" w:hAnsi="Calibri"/>
      <w:sz w:val="21"/>
      <w:szCs w:val="24"/>
    </w:rPr>
  </w:style>
  <w:style w:type="character" w:styleId="aff5">
    <w:name w:val="Unresolved Mention"/>
    <w:basedOn w:val="a0"/>
    <w:uiPriority w:val="99"/>
    <w:semiHidden/>
    <w:unhideWhenUsed/>
    <w:rsid w:val="00077C36"/>
    <w:rPr>
      <w:color w:val="605E5C"/>
      <w:shd w:val="clear" w:color="auto" w:fill="E1DFDD"/>
    </w:rPr>
  </w:style>
  <w:style w:type="paragraph" w:styleId="22">
    <w:name w:val="List 2"/>
    <w:basedOn w:val="a"/>
    <w:rsid w:val="00077C36"/>
    <w:pPr>
      <w:ind w:leftChars="200" w:left="100" w:hangingChars="200" w:hanging="200"/>
    </w:pPr>
    <w:rPr>
      <w:rFonts w:ascii="Times New Roman" w:hAnsi="Times New Roman"/>
      <w:sz w:val="21"/>
      <w:szCs w:val="24"/>
    </w:rPr>
  </w:style>
  <w:style w:type="paragraph" w:styleId="aff6">
    <w:name w:val="Body Text Indent"/>
    <w:basedOn w:val="a"/>
    <w:link w:val="aff7"/>
    <w:rsid w:val="00077C36"/>
    <w:pPr>
      <w:spacing w:after="120"/>
      <w:ind w:leftChars="200" w:left="420"/>
    </w:pPr>
    <w:rPr>
      <w:rFonts w:ascii="Times New Roman" w:hAnsi="Times New Roman"/>
      <w:sz w:val="21"/>
      <w:szCs w:val="24"/>
    </w:rPr>
  </w:style>
  <w:style w:type="character" w:customStyle="1" w:styleId="aff7">
    <w:name w:val="正文文本缩进 字符"/>
    <w:basedOn w:val="a0"/>
    <w:link w:val="aff6"/>
    <w:rsid w:val="00077C36"/>
    <w:rPr>
      <w:rFonts w:ascii="Times New Roman" w:hAnsi="Times New Roman"/>
      <w:kern w:val="2"/>
      <w:sz w:val="21"/>
      <w:szCs w:val="24"/>
    </w:rPr>
  </w:style>
  <w:style w:type="paragraph" w:customStyle="1" w:styleId="1d">
    <w:name w:val="列表段落1"/>
    <w:basedOn w:val="a"/>
    <w:next w:val="af5"/>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0"/>
    <w:uiPriority w:val="99"/>
    <w:semiHidden/>
    <w:rsid w:val="00077C36"/>
    <w:rPr>
      <w:sz w:val="18"/>
      <w:szCs w:val="18"/>
    </w:rPr>
  </w:style>
  <w:style w:type="character" w:customStyle="1" w:styleId="1f">
    <w:name w:val="页眉 字符1"/>
    <w:basedOn w:val="a0"/>
    <w:uiPriority w:val="99"/>
    <w:rsid w:val="00077C36"/>
    <w:rPr>
      <w:sz w:val="18"/>
      <w:szCs w:val="18"/>
    </w:rPr>
  </w:style>
  <w:style w:type="character" w:customStyle="1" w:styleId="1f0">
    <w:name w:val="页脚 字符1"/>
    <w:basedOn w:val="a0"/>
    <w:uiPriority w:val="99"/>
    <w:rsid w:val="00077C36"/>
    <w:rPr>
      <w:sz w:val="18"/>
      <w:szCs w:val="18"/>
    </w:rPr>
  </w:style>
  <w:style w:type="character" w:styleId="aff8">
    <w:name w:val="FollowedHyperlink"/>
    <w:basedOn w:val="a0"/>
    <w:uiPriority w:val="99"/>
    <w:semiHidden/>
    <w:unhideWhenUsed/>
    <w:rsid w:val="00077C36"/>
    <w:rPr>
      <w:color w:val="954F72" w:themeColor="followedHyperlink"/>
      <w:u w:val="single"/>
    </w:rPr>
  </w:style>
  <w:style w:type="character" w:customStyle="1" w:styleId="swbf">
    <w:name w:val="swbf"/>
    <w:basedOn w:val="a0"/>
    <w:rsid w:val="00781023"/>
  </w:style>
  <w:style w:type="character" w:customStyle="1" w:styleId="ywyy">
    <w:name w:val="ywyy"/>
    <w:basedOn w:val="a0"/>
    <w:rsid w:val="00781023"/>
  </w:style>
  <w:style w:type="character" w:customStyle="1" w:styleId="swdz">
    <w:name w:val="swdz"/>
    <w:basedOn w:val="a0"/>
    <w:rsid w:val="00781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143AF-3A1F-4F54-8516-0A621941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2273</TotalTime>
  <Pages>1</Pages>
  <Words>2136</Words>
  <Characters>2201</Characters>
  <Application>Microsoft Office Word</Application>
  <DocSecurity>0</DocSecurity>
  <Lines>88</Lines>
  <Paragraphs>42</Paragraphs>
  <ScaleCrop>false</ScaleCrop>
  <Company>GWZ</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pengyuan wang</cp:lastModifiedBy>
  <cp:revision>196</cp:revision>
  <dcterms:created xsi:type="dcterms:W3CDTF">2018-01-27T09:07:00Z</dcterms:created>
  <dcterms:modified xsi:type="dcterms:W3CDTF">2019-02-14T04:47:00Z</dcterms:modified>
</cp:coreProperties>
</file>