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B93" w:rsidRPr="00430B93" w:rsidRDefault="00430B93" w:rsidP="00430B93">
      <w:pPr>
        <w:pStyle w:val="ab"/>
      </w:pPr>
      <w:r w:rsidRPr="00430B93">
        <w:rPr>
          <w:rFonts w:hint="eastAsia"/>
        </w:rPr>
        <w:t>清华简</w:t>
      </w:r>
      <w:bookmarkStart w:id="0" w:name="_Hlk525131371"/>
      <w:r w:rsidRPr="00430B93">
        <w:rPr>
          <w:rFonts w:hint="eastAsia"/>
        </w:rPr>
        <w:t>《越公其事》</w:t>
      </w:r>
      <w:bookmarkEnd w:id="0"/>
      <w:proofErr w:type="gramStart"/>
      <w:r w:rsidRPr="00430B93">
        <w:rPr>
          <w:rFonts w:hint="eastAsia"/>
        </w:rPr>
        <w:t>篇研究</w:t>
      </w:r>
      <w:proofErr w:type="gramEnd"/>
      <w:r w:rsidRPr="00430B93">
        <w:rPr>
          <w:rFonts w:hint="eastAsia"/>
        </w:rPr>
        <w:t>述论</w:t>
      </w:r>
    </w:p>
    <w:p w:rsidR="00430B93" w:rsidRDefault="00430B93" w:rsidP="00430B93">
      <w:pPr>
        <w:pStyle w:val="ac"/>
        <w:rPr>
          <w:rFonts w:eastAsia="PMingLiU"/>
        </w:rPr>
      </w:pPr>
    </w:p>
    <w:p w:rsidR="00430B93" w:rsidRDefault="00430B93" w:rsidP="00430B93">
      <w:pPr>
        <w:pStyle w:val="ac"/>
      </w:pPr>
      <w:r w:rsidRPr="00430B93">
        <w:rPr>
          <w:rFonts w:hint="eastAsia"/>
        </w:rPr>
        <w:t xml:space="preserve">张羽 王月娇  </w:t>
      </w:r>
    </w:p>
    <w:p w:rsidR="00430B93" w:rsidRDefault="00430B93" w:rsidP="00430B93">
      <w:pPr>
        <w:pStyle w:val="ac"/>
        <w:rPr>
          <w:rFonts w:eastAsia="PMingLiU"/>
        </w:rPr>
      </w:pPr>
      <w:r w:rsidRPr="00430B93">
        <w:rPr>
          <w:rFonts w:hint="eastAsia"/>
        </w:rPr>
        <w:t>安徽大学文学院</w:t>
      </w:r>
    </w:p>
    <w:p w:rsidR="00430B93" w:rsidRPr="00430B93" w:rsidRDefault="00430B93" w:rsidP="00430B93">
      <w:pPr>
        <w:pStyle w:val="ac"/>
        <w:rPr>
          <w:rFonts w:eastAsia="PMingLiU" w:hint="eastAsia"/>
        </w:rPr>
      </w:pPr>
    </w:p>
    <w:p w:rsidR="00430B93" w:rsidRPr="00430B93" w:rsidRDefault="00430B93" w:rsidP="00E24554">
      <w:pPr>
        <w:pStyle w:val="aa"/>
        <w:ind w:firstLineChars="0" w:firstLine="0"/>
      </w:pPr>
      <w:r w:rsidRPr="00E24554">
        <w:rPr>
          <w:rFonts w:hint="eastAsia"/>
          <w:b/>
        </w:rPr>
        <w:t>摘要</w:t>
      </w:r>
      <w:r w:rsidRPr="00430B93">
        <w:rPr>
          <w:rFonts w:hint="eastAsia"/>
        </w:rPr>
        <w:t>：清华简《越公其事》问世以来，学术界研究热烈，在整理工作、古文字释读研究以及文学研究等方面都取得了一定的成绩，但对于文学价值的探讨相对薄弱，有待深入。</w:t>
      </w:r>
    </w:p>
    <w:p w:rsidR="00430B93" w:rsidRPr="00430B93" w:rsidRDefault="00430B93" w:rsidP="00E24554">
      <w:pPr>
        <w:pStyle w:val="aa"/>
        <w:ind w:firstLineChars="0" w:firstLine="0"/>
      </w:pPr>
      <w:r w:rsidRPr="00E24554">
        <w:rPr>
          <w:rFonts w:hint="eastAsia"/>
          <w:b/>
        </w:rPr>
        <w:t>关键词</w:t>
      </w:r>
      <w:r w:rsidRPr="00430B93">
        <w:rPr>
          <w:rFonts w:hint="eastAsia"/>
        </w:rPr>
        <w:t>：清华简 《越公其事》 整理工作 文字释读 文本性质 文学价值</w:t>
      </w:r>
    </w:p>
    <w:p w:rsidR="00430B93" w:rsidRPr="00430B93" w:rsidRDefault="00430B93" w:rsidP="00430B93">
      <w:pPr>
        <w:pStyle w:val="aa"/>
        <w:ind w:firstLine="560"/>
      </w:pPr>
      <w:r w:rsidRPr="00430B93">
        <w:rPr>
          <w:rFonts w:hint="eastAsia"/>
        </w:rPr>
        <w:t>春秋战国时期，战争频繁，群雄迭起。在《春秋》、《国语》、《史记》、《吴越春秋》等传世文献的记载下，吴越争霸的历史故事广为流传，影响深远。2017年4月出版的《清华大学藏战国竹简（柒）》中，发布了一篇以“勾践灭吴”为主题的出土文献，整理者据篇尾题之为《越公其事》。全篇共七十五支竹简，经释读共有十一章（有分章符号），同传世文献的记载相比，内容性质相似，皆属于记录勾践灭</w:t>
      </w:r>
      <w:proofErr w:type="gramStart"/>
      <w:r w:rsidRPr="00430B93">
        <w:rPr>
          <w:rFonts w:hint="eastAsia"/>
        </w:rPr>
        <w:t>吴故事</w:t>
      </w:r>
      <w:proofErr w:type="gramEnd"/>
      <w:r w:rsidRPr="00430B93">
        <w:rPr>
          <w:rFonts w:hint="eastAsia"/>
        </w:rPr>
        <w:t>的“语”类文献，并且首尾部分几乎雷同，可能有共同的史料来源。</w:t>
      </w:r>
    </w:p>
    <w:p w:rsidR="00430B93" w:rsidRPr="00430B93" w:rsidRDefault="00430B93" w:rsidP="00430B93">
      <w:pPr>
        <w:pStyle w:val="aa"/>
        <w:ind w:firstLine="560"/>
      </w:pPr>
      <w:r w:rsidRPr="00430B93">
        <w:rPr>
          <w:rFonts w:hint="eastAsia"/>
        </w:rPr>
        <w:lastRenderedPageBreak/>
        <w:t>自《越公其事》发布一年以来，学术界已取得了一些研究成果。截至目前，相关论文已有十余篇，而在武汉大学简帛研究中心（以下简称简帛）、复旦大学出土文献和古文字研究中心（以下简称复旦）等网站上也发布了大量以此为论题的讨论帖，其研究主要集中在以下几个方面。</w:t>
      </w:r>
    </w:p>
    <w:p w:rsidR="00430B93" w:rsidRPr="00E24554" w:rsidRDefault="00430B93" w:rsidP="00E24554">
      <w:pPr>
        <w:pStyle w:val="aa"/>
        <w:ind w:firstLineChars="0" w:firstLine="0"/>
        <w:rPr>
          <w:b/>
        </w:rPr>
      </w:pPr>
      <w:r w:rsidRPr="00E24554">
        <w:rPr>
          <w:rFonts w:hint="eastAsia"/>
          <w:b/>
        </w:rPr>
        <w:t>一、整理工作与篇章结构</w:t>
      </w:r>
    </w:p>
    <w:p w:rsidR="00E24554" w:rsidRPr="00430B93" w:rsidRDefault="00430B93" w:rsidP="00430B93">
      <w:pPr>
        <w:pStyle w:val="aa"/>
        <w:ind w:firstLine="560"/>
      </w:pPr>
      <w:r w:rsidRPr="00430B93">
        <w:rPr>
          <w:rFonts w:hint="eastAsia"/>
        </w:rPr>
        <w:t>整理者马楠指出《越公其事》在整理过程中发生失误，混入一支本属于清华简《郑文公问太伯》的竹简，由程薇老师发现，应予剔除；</w:t>
      </w:r>
      <w:r w:rsidR="00E24554" w:rsidRPr="00430B93">
        <w:endnoteReference w:id="1"/>
      </w:r>
      <w:r w:rsidR="00E24554" w:rsidRPr="00430B93">
        <w:rPr>
          <w:rFonts w:hint="eastAsia"/>
        </w:rPr>
        <w:t>王辉指出位于篇尾的“越公其事”四字与前文连读，无间隔，称勾</w:t>
      </w:r>
      <w:proofErr w:type="gramStart"/>
      <w:r w:rsidR="00E24554" w:rsidRPr="00430B93">
        <w:rPr>
          <w:rFonts w:hint="eastAsia"/>
        </w:rPr>
        <w:t>践</w:t>
      </w:r>
      <w:proofErr w:type="gramEnd"/>
      <w:r w:rsidR="00E24554" w:rsidRPr="00430B93">
        <w:rPr>
          <w:rFonts w:hint="eastAsia"/>
        </w:rPr>
        <w:t>为“越公”的语用习惯以及《国语·越语上》中可与之对应的“越公其次也”也可辅证此四字为吴王所言，应属正文，不宜拟为篇题（本项目为征引方便，仍从原题）；</w:t>
      </w:r>
      <w:r w:rsidR="00E24554" w:rsidRPr="00430B93">
        <w:endnoteReference w:id="2"/>
      </w:r>
      <w:r w:rsidR="00E24554" w:rsidRPr="00430B93">
        <w:rPr>
          <w:rFonts w:hint="eastAsia"/>
        </w:rPr>
        <w:t>陈剑认为整理过后的简36可拆分为两段，而简18应当插入简36上半段与简34之间；</w:t>
      </w:r>
      <w:r w:rsidR="00E24554" w:rsidRPr="00430B93">
        <w:endnoteReference w:id="3"/>
      </w:r>
      <w:r w:rsidR="00E24554" w:rsidRPr="00430B93">
        <w:rPr>
          <w:rFonts w:hint="eastAsia"/>
        </w:rPr>
        <w:t>王宁对于简46—48的简文进行了修订更改；</w:t>
      </w:r>
      <w:r w:rsidR="00E24554" w:rsidRPr="00430B93">
        <w:endnoteReference w:id="4"/>
      </w:r>
      <w:proofErr w:type="gramStart"/>
      <w:r w:rsidR="00E24554" w:rsidRPr="00430B93">
        <w:rPr>
          <w:rFonts w:hint="eastAsia"/>
        </w:rPr>
        <w:t>劳晓森</w:t>
      </w:r>
      <w:proofErr w:type="gramEnd"/>
      <w:r w:rsidR="00E24554" w:rsidRPr="00430B93">
        <w:rPr>
          <w:rFonts w:hint="eastAsia"/>
        </w:rPr>
        <w:t>则对《越公其事》</w:t>
      </w:r>
      <w:proofErr w:type="gramStart"/>
      <w:r w:rsidR="00E24554" w:rsidRPr="00430B93">
        <w:rPr>
          <w:rFonts w:hint="eastAsia"/>
        </w:rPr>
        <w:t>简七末尾</w:t>
      </w:r>
      <w:proofErr w:type="gramEnd"/>
      <w:r w:rsidR="00E24554" w:rsidRPr="00430B93">
        <w:rPr>
          <w:rFonts w:hint="eastAsia"/>
        </w:rPr>
        <w:t>的残字进行了补释。</w:t>
      </w:r>
      <w:r w:rsidR="00E24554" w:rsidRPr="00430B93">
        <w:endnoteReference w:id="5"/>
      </w:r>
      <w:r w:rsidR="00E24554" w:rsidRPr="00430B93">
        <w:rPr>
          <w:rFonts w:hint="eastAsia"/>
        </w:rPr>
        <w:t>罗云君将《越公其事》和《国语》、《左传》、《史记》进行综合对比，以《越公其事》中的两个核心内容：大夫种向吴王求成和越王勾践实行“五政”富国强兵为出发点，探究传世文献中记载的差异，指出《越公其事》的原始文本与传世文献并非同一系统，可</w:t>
      </w:r>
      <w:r w:rsidR="00E24554" w:rsidRPr="00430B93">
        <w:rPr>
          <w:rFonts w:hint="eastAsia"/>
        </w:rPr>
        <w:lastRenderedPageBreak/>
        <w:t>能出自越国的国史系统，随着越国的式微，战国时</w:t>
      </w:r>
      <w:proofErr w:type="gramStart"/>
      <w:r w:rsidR="00E24554" w:rsidRPr="00430B93">
        <w:rPr>
          <w:rFonts w:hint="eastAsia"/>
        </w:rPr>
        <w:t>以虏器的</w:t>
      </w:r>
      <w:proofErr w:type="gramEnd"/>
      <w:r w:rsidR="00E24554" w:rsidRPr="00430B93">
        <w:rPr>
          <w:rFonts w:hint="eastAsia"/>
        </w:rPr>
        <w:t>形式流入楚国，为楚人修改、传抄和流传，并根据这一流传途径，说明“《越公其事》則成书于公元前 333 年之后的一两年，也即公元前 332 年左右。”</w:t>
      </w:r>
      <w:r w:rsidR="00E24554" w:rsidRPr="00430B93">
        <w:endnoteReference w:id="6"/>
      </w:r>
    </w:p>
    <w:p w:rsidR="00E24554" w:rsidRPr="00430B93" w:rsidRDefault="00E24554" w:rsidP="00430B93">
      <w:pPr>
        <w:pStyle w:val="aa"/>
        <w:ind w:firstLine="560"/>
      </w:pPr>
    </w:p>
    <w:p w:rsidR="00E24554" w:rsidRPr="00E24554" w:rsidRDefault="00E24554" w:rsidP="00E24554">
      <w:pPr>
        <w:pStyle w:val="aa"/>
        <w:ind w:firstLineChars="0" w:firstLine="0"/>
        <w:rPr>
          <w:b/>
        </w:rPr>
      </w:pPr>
      <w:r w:rsidRPr="00E24554">
        <w:rPr>
          <w:rFonts w:hint="eastAsia"/>
          <w:b/>
        </w:rPr>
        <w:t>二、古文字释读与研究</w:t>
      </w:r>
    </w:p>
    <w:p w:rsidR="00E24554" w:rsidRPr="00430B93" w:rsidRDefault="00E24554" w:rsidP="00430B93">
      <w:pPr>
        <w:pStyle w:val="aa"/>
        <w:ind w:firstLine="560"/>
      </w:pPr>
      <w:r w:rsidRPr="00430B93">
        <w:rPr>
          <w:rFonts w:hint="eastAsia"/>
        </w:rPr>
        <w:t>古文字释读研究方面，关于字句释读的研究成果最为丰硕，如赵平安认为《越公其事》简5—8中的“继</w:t>
      </w:r>
      <w:r w:rsidRPr="00430B93">
        <w:drawing>
          <wp:inline distT="0" distB="0" distL="0" distR="0" wp14:anchorId="4B50662D" wp14:editId="666CBB2A">
            <wp:extent cx="161925" cy="228600"/>
            <wp:effectExtent l="0" t="0" r="9525" b="0"/>
            <wp:docPr id="9" name="图片 9" descr="C:\Users\Administrator\Desktop\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f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noFill/>
                    <a:ln>
                      <a:noFill/>
                    </a:ln>
                  </pic:spPr>
                </pic:pic>
              </a:graphicData>
            </a:graphic>
          </wp:inline>
        </w:drawing>
      </w:r>
      <w:r w:rsidRPr="00430B93">
        <w:rPr>
          <w:rFonts w:hint="eastAsia"/>
        </w:rPr>
        <w:t>”</w:t>
      </w:r>
      <w:r w:rsidRPr="00430B93">
        <w:t xml:space="preserve"> </w:t>
      </w:r>
      <w:r w:rsidRPr="00430B93">
        <w:rPr>
          <w:rFonts w:hint="eastAsia"/>
        </w:rPr>
        <w:t>应理解为“继燎”，整理报告中“</w:t>
      </w:r>
      <w:r w:rsidRPr="00430B93">
        <w:drawing>
          <wp:inline distT="0" distB="0" distL="0" distR="0" wp14:anchorId="74552CE5" wp14:editId="02A849F3">
            <wp:extent cx="161925" cy="228600"/>
            <wp:effectExtent l="0" t="0" r="9525" b="0"/>
            <wp:docPr id="12" name="图片 12" descr="C:\Users\Administrator\Desktop\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f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noFill/>
                    <a:ln>
                      <a:noFill/>
                    </a:ln>
                  </pic:spPr>
                </pic:pic>
              </a:graphicData>
            </a:graphic>
          </wp:inline>
        </w:drawing>
      </w:r>
      <w:r w:rsidRPr="00430B93">
        <w:rPr>
          <w:rFonts w:hint="eastAsia"/>
        </w:rPr>
        <w:t>”读作“纂”或“缵”的说法是错误的，原形字“</w:t>
      </w:r>
      <w:r w:rsidRPr="00430B93">
        <w:drawing>
          <wp:inline distT="0" distB="0" distL="0" distR="0" wp14:anchorId="0D29B364" wp14:editId="13D3BB15">
            <wp:extent cx="161925" cy="228600"/>
            <wp:effectExtent l="0" t="0" r="9525" b="0"/>
            <wp:docPr id="10" name="图片 10" descr="C:\Users\Administrator\Desktop\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f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noFill/>
                    <a:ln>
                      <a:noFill/>
                    </a:ln>
                  </pic:spPr>
                </pic:pic>
              </a:graphicData>
            </a:graphic>
          </wp:inline>
        </w:drawing>
      </w:r>
      <w:r w:rsidRPr="00430B93">
        <w:rPr>
          <w:rFonts w:hint="eastAsia"/>
        </w:rPr>
        <w:t>”从艸</w:t>
      </w:r>
      <w:proofErr w:type="gramStart"/>
      <w:r w:rsidRPr="00430B93">
        <w:rPr>
          <w:rFonts w:hint="eastAsia"/>
        </w:rPr>
        <w:t>寮</w:t>
      </w:r>
      <w:proofErr w:type="gramEnd"/>
      <w:r w:rsidRPr="00430B93">
        <w:rPr>
          <w:rFonts w:hint="eastAsia"/>
        </w:rPr>
        <w:t>声应通“燎”。</w:t>
      </w:r>
      <w:proofErr w:type="gramStart"/>
      <w:r w:rsidRPr="00430B93">
        <w:rPr>
          <w:rFonts w:hint="eastAsia"/>
        </w:rPr>
        <w:t>庭燎是古代</w:t>
      </w:r>
      <w:proofErr w:type="gramEnd"/>
      <w:r w:rsidRPr="00430B93">
        <w:rPr>
          <w:rFonts w:hint="eastAsia"/>
        </w:rPr>
        <w:t>早朝时燃烧着的麻秸扎成的火炬，《小雅·庭燎》为赞美周王勤政早朝之诗，“继燎”应是勤奋工作之意，在根据《东维子集》卷三十中就用作此意。</w:t>
      </w:r>
      <w:r w:rsidRPr="00430B93">
        <w:endnoteReference w:id="7"/>
      </w:r>
      <w:r w:rsidRPr="00430B93">
        <w:rPr>
          <w:rFonts w:hint="eastAsia"/>
        </w:rPr>
        <w:t>程浩指出《越公其事》第五章的“日䝼农事以劝勉农夫” 中“䝼”字被整理报告读为“靖”并训解为治理之意并非最恰当，应当同第七章的“䝼”字相联系，与“察”联用，读为“省察”之“省”；第十章的“吴人昆奴”，整理报告中“人名”或“奴的一种”的解释都未曾见于古书，联系包山文书简中“奴”字的出现和《国语》里关于吴越争霸故事中兄弟子女被当作议和筹码的记载，此处“奴”可读作“弩”，“吴人昆奴”就</w:t>
      </w:r>
      <w:r w:rsidRPr="00430B93">
        <w:rPr>
          <w:rFonts w:hint="eastAsia"/>
        </w:rPr>
        <w:lastRenderedPageBreak/>
        <w:t>是吴人之兄弟妻子。</w:t>
      </w:r>
      <w:r w:rsidRPr="00430B93">
        <w:endnoteReference w:id="8"/>
      </w:r>
      <w:r w:rsidRPr="00430B93">
        <w:rPr>
          <w:rFonts w:hint="eastAsia"/>
        </w:rPr>
        <w:t>范常喜利用《国语》中的对应文献考释了《越公其事》部分文句，逐字分析，认为《越公其事》第三章第</w:t>
      </w:r>
      <w:r w:rsidRPr="00430B93">
        <w:t>15</w:t>
      </w:r>
      <w:r w:rsidRPr="00430B93">
        <w:rPr>
          <w:rFonts w:hint="eastAsia"/>
        </w:rPr>
        <w:t>下—</w:t>
      </w:r>
      <w:r w:rsidRPr="00430B93">
        <w:t>2</w:t>
      </w:r>
      <w:r w:rsidRPr="00430B93">
        <w:rPr>
          <w:rFonts w:hint="eastAsia"/>
        </w:rPr>
        <w:t>1号简中“</w:t>
      </w:r>
      <w:r w:rsidRPr="00430B93">
        <w:drawing>
          <wp:inline distT="0" distB="0" distL="0" distR="0" wp14:anchorId="3CBCBE21" wp14:editId="2FD6DAB5">
            <wp:extent cx="180975" cy="276225"/>
            <wp:effectExtent l="0" t="0" r="9525" b="9525"/>
            <wp:docPr id="6" name="图片 6" descr="D:\用户目录\我的文档\Tencent Files\1215612015\FileRecv\MobileFile\IMG_20180811_172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用户目录\我的文档\Tencent Files\1215612015\FileRecv\MobileFile\IMG_20180811_172856.png"/>
                    <pic:cNvPicPr>
                      <a:picLocks noChangeAspect="1" noChangeArrowheads="1"/>
                    </pic:cNvPicPr>
                  </pic:nvPicPr>
                  <pic:blipFill>
                    <a:blip r:embed="rId9">
                      <a:extLst>
                        <a:ext uri="{28A0092B-C50C-407E-A947-70E740481C1C}">
                          <a14:useLocalDpi xmlns:a14="http://schemas.microsoft.com/office/drawing/2010/main" val="0"/>
                        </a:ext>
                      </a:extLst>
                    </a:blip>
                    <a:srcRect l="34483"/>
                    <a:stretch>
                      <a:fillRect/>
                    </a:stretch>
                  </pic:blipFill>
                  <pic:spPr>
                    <a:xfrm>
                      <a:off x="0" y="0"/>
                      <a:ext cx="180975" cy="276225"/>
                    </a:xfrm>
                    <a:prstGeom prst="rect">
                      <a:avLst/>
                    </a:prstGeom>
                    <a:noFill/>
                    <a:ln>
                      <a:noFill/>
                    </a:ln>
                  </pic:spPr>
                </pic:pic>
              </a:graphicData>
            </a:graphic>
          </wp:inline>
        </w:drawing>
      </w:r>
      <w:r w:rsidRPr="00430B93">
        <w:rPr>
          <w:rFonts w:hint="eastAsia"/>
        </w:rPr>
        <w:t>㫳</w:t>
      </w:r>
      <w:bookmarkStart w:id="1" w:name="_Hlk525132394"/>
      <w:r w:rsidRPr="00430B93">
        <w:rPr>
          <w:rFonts w:hint="eastAsia"/>
        </w:rPr>
        <w:t>阂</w:t>
      </w:r>
      <w:bookmarkEnd w:id="1"/>
      <w:r w:rsidRPr="00430B93">
        <w:rPr>
          <w:rFonts w:hint="eastAsia"/>
        </w:rPr>
        <w:t>”即“踵晨昏”，有晨昏相继、以</w:t>
      </w:r>
      <w:proofErr w:type="gramStart"/>
      <w:r w:rsidRPr="00430B93">
        <w:rPr>
          <w:rFonts w:hint="eastAsia"/>
        </w:rPr>
        <w:t>晨继昏</w:t>
      </w:r>
      <w:proofErr w:type="gramEnd"/>
      <w:r w:rsidRPr="00430B93">
        <w:rPr>
          <w:rFonts w:hint="eastAsia"/>
        </w:rPr>
        <w:t>之义，与《国语·吴语》中的“日夜相继”表意完全一致，并以此为凭借，对原文文本进行了断句、释读。</w:t>
      </w:r>
      <w:r w:rsidRPr="00430B93">
        <w:endnoteReference w:id="9"/>
      </w:r>
    </w:p>
    <w:p w:rsidR="00E24554" w:rsidRPr="00430B93" w:rsidRDefault="00E24554" w:rsidP="00430B93">
      <w:pPr>
        <w:pStyle w:val="aa"/>
        <w:ind w:firstLine="560"/>
      </w:pPr>
      <w:r w:rsidRPr="00430B93">
        <w:rPr>
          <w:rFonts w:hint="eastAsia"/>
        </w:rPr>
        <w:t>翁倩对“（</w:t>
      </w:r>
      <w:proofErr w:type="gramStart"/>
      <w:r w:rsidRPr="00430B93">
        <w:rPr>
          <w:rFonts w:hint="eastAsia"/>
        </w:rPr>
        <w:t>寡</w:t>
      </w:r>
      <w:proofErr w:type="gramEnd"/>
      <w:r w:rsidRPr="00430B93">
        <w:rPr>
          <w:rFonts w:hint="eastAsia"/>
        </w:rPr>
        <w:t>）人不忍武砺（</w:t>
      </w:r>
      <w:proofErr w:type="gramStart"/>
      <w:r w:rsidRPr="00430B93">
        <w:rPr>
          <w:rFonts w:hint="eastAsia"/>
        </w:rPr>
        <w:t>励</w:t>
      </w:r>
      <w:proofErr w:type="gramEnd"/>
      <w:r w:rsidRPr="00430B93">
        <w:rPr>
          <w:rFonts w:hint="eastAsia"/>
        </w:rPr>
        <w:t>）兵甲之鬼（威）”及“天赐中（忠）于吴”两句进行字词释读和文义梳理，集合这番对话发生的历史情境、外交辞令的特点，提出《越公其事》第一章之“砺”读为“励”，意为勤勉，而“中”应该读作“衷”，释为善。</w:t>
      </w:r>
      <w:r w:rsidRPr="00430B93">
        <w:endnoteReference w:id="10"/>
      </w:r>
      <w:r w:rsidRPr="00430B93">
        <w:rPr>
          <w:rFonts w:hint="eastAsia"/>
        </w:rPr>
        <w:t>胡</w:t>
      </w:r>
      <w:proofErr w:type="gramStart"/>
      <w:r w:rsidRPr="00430B93">
        <w:rPr>
          <w:rFonts w:hint="eastAsia"/>
        </w:rPr>
        <w:t>敕瑞提出</w:t>
      </w:r>
      <w:proofErr w:type="gramEnd"/>
      <w:r w:rsidRPr="00430B93">
        <w:rPr>
          <w:rFonts w:hint="eastAsia"/>
        </w:rPr>
        <w:t>《越公其事》简17的“徒遽”之“遽”为其本意“传车”的一种借代用法，表示乘坐车马的使者，非同整理者所言与其后的“趣”同义连用，而是与其前的“徒”构成近义连用；简32-33的“足见”应当属下读，与上文“亓见”相承；简53-54的“赏㝅”读为“赏购”；并通过简48-49的“波往”一词探讨作为奔跑意义的“波”的词源。</w:t>
      </w:r>
      <w:r w:rsidRPr="00430B93">
        <w:endnoteReference w:id="11"/>
      </w:r>
      <w:r w:rsidRPr="00430B93">
        <w:rPr>
          <w:rFonts w:hint="eastAsia"/>
        </w:rPr>
        <w:t>郭洗凡在学界研究的基础上上，收集可见的研究成果，</w:t>
      </w:r>
      <w:proofErr w:type="gramStart"/>
      <w:r w:rsidRPr="00430B93">
        <w:rPr>
          <w:rFonts w:hint="eastAsia"/>
        </w:rPr>
        <w:t>排入原简字形</w:t>
      </w:r>
      <w:proofErr w:type="gramEnd"/>
      <w:r w:rsidRPr="00430B93">
        <w:rPr>
          <w:rFonts w:hint="eastAsia"/>
        </w:rPr>
        <w:t>，附属释文和各家观点，并给出评判、加以补充，对其中文字进行了全面的梳理，特别提出《越公其事》具有明显</w:t>
      </w:r>
      <w:proofErr w:type="gramStart"/>
      <w:r w:rsidRPr="00430B93">
        <w:rPr>
          <w:rFonts w:hint="eastAsia"/>
        </w:rPr>
        <w:t>的楚系风格</w:t>
      </w:r>
      <w:proofErr w:type="gramEnd"/>
      <w:r w:rsidRPr="00430B93">
        <w:rPr>
          <w:rFonts w:hint="eastAsia"/>
        </w:rPr>
        <w:t>，形体多样且保留了一定古体特征，对于研究战国时期楚国演变规律具有重要作用，</w:t>
      </w:r>
      <w:r w:rsidRPr="00430B93">
        <w:endnoteReference w:id="12"/>
      </w:r>
      <w:r w:rsidRPr="00430B93">
        <w:rPr>
          <w:rFonts w:hint="eastAsia"/>
        </w:rPr>
        <w:t>石小力</w:t>
      </w:r>
      <w:r w:rsidRPr="00430B93">
        <w:rPr>
          <w:rFonts w:hint="eastAsia"/>
        </w:rPr>
        <w:lastRenderedPageBreak/>
        <w:t>的研究同样涉及了几乎所有的有争议字词，</w:t>
      </w:r>
      <w:r w:rsidRPr="00430B93">
        <w:endnoteReference w:id="13"/>
      </w:r>
      <w:r w:rsidRPr="00430B93">
        <w:rPr>
          <w:rFonts w:hint="eastAsia"/>
        </w:rPr>
        <w:t>他的另一篇论文则说明通过《越公其事》和《国语》的异文比较，可以解决两者文本研究中的一些疑难问题。利用《越公其事》</w:t>
      </w:r>
      <w:proofErr w:type="gramStart"/>
      <w:r w:rsidRPr="00430B93">
        <w:rPr>
          <w:rFonts w:hint="eastAsia"/>
        </w:rPr>
        <w:t>校读今本</w:t>
      </w:r>
      <w:proofErr w:type="gramEnd"/>
      <w:r w:rsidRPr="00430B93">
        <w:rPr>
          <w:rFonts w:hint="eastAsia"/>
        </w:rPr>
        <w:t>《国语》，可证明《国语》中“挟经</w:t>
      </w:r>
      <w:proofErr w:type="gramStart"/>
      <w:r w:rsidRPr="00430B93">
        <w:rPr>
          <w:rFonts w:hint="eastAsia"/>
        </w:rPr>
        <w:t>秉枹</w:t>
      </w:r>
      <w:proofErr w:type="gramEnd"/>
      <w:r w:rsidRPr="00430B93">
        <w:rPr>
          <w:rFonts w:hint="eastAsia"/>
        </w:rPr>
        <w:t>”之“经”为假借字，同简本“弪”皆表示某一种兵器，</w:t>
      </w:r>
      <w:proofErr w:type="gramStart"/>
      <w:r w:rsidRPr="00430B93">
        <w:rPr>
          <w:rFonts w:hint="eastAsia"/>
        </w:rPr>
        <w:t>而非韦昭</w:t>
      </w:r>
      <w:proofErr w:type="gramEnd"/>
      <w:r w:rsidRPr="00430B93">
        <w:rPr>
          <w:rFonts w:hint="eastAsia"/>
        </w:rPr>
        <w:t>注中的“兵书”之意；“昔</w:t>
      </w:r>
      <w:proofErr w:type="gramStart"/>
      <w:r w:rsidRPr="00430B93">
        <w:rPr>
          <w:rFonts w:hint="eastAsia"/>
        </w:rPr>
        <w:t>不谷先委制</w:t>
      </w:r>
      <w:proofErr w:type="gramEnd"/>
      <w:r w:rsidRPr="00430B93">
        <w:rPr>
          <w:rFonts w:hint="eastAsia"/>
        </w:rPr>
        <w:t>于越君，君告孤请成，男女服从”的“委质”为“秉利”之形近讹字；“寡人其达王于甬勾东”和“吾请达王甬勾东，吾与君为二君乎”的“达”为“将”作“</w:t>
      </w:r>
      <w:r w:rsidRPr="00430B93">
        <w:drawing>
          <wp:inline distT="0" distB="0" distL="0" distR="0" wp14:anchorId="60912453" wp14:editId="3B2B6470">
            <wp:extent cx="142875" cy="138430"/>
            <wp:effectExtent l="0" t="0" r="0" b="0"/>
            <wp:docPr id="8" name="图片 8" descr="D:\用户目录\我的文档\Tencent Files\1215612015\FileRecv\MobileFile\qq_pic_merged_1537867188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用户目录\我的文档\Tencent Files\1215612015\FileRecv\MobileFile\qq_pic_merged_153786718817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5969" cy="141455"/>
                    </a:xfrm>
                    <a:prstGeom prst="rect">
                      <a:avLst/>
                    </a:prstGeom>
                    <a:noFill/>
                    <a:ln>
                      <a:noFill/>
                    </a:ln>
                  </pic:spPr>
                </pic:pic>
              </a:graphicData>
            </a:graphic>
          </wp:inline>
        </w:drawing>
      </w:r>
      <w:r w:rsidRPr="00430B93">
        <w:rPr>
          <w:rFonts w:hint="eastAsia"/>
        </w:rPr>
        <w:t>”时的讹变；“男女服为臣御”当点断为“男女服，为臣御”，意为“国中男女都去服事，作大王的</w:t>
      </w:r>
      <w:proofErr w:type="gramStart"/>
      <w:r w:rsidRPr="00430B93">
        <w:rPr>
          <w:rFonts w:hint="eastAsia"/>
        </w:rPr>
        <w:t>仆</w:t>
      </w:r>
      <w:proofErr w:type="gramEnd"/>
      <w:r w:rsidRPr="00430B93">
        <w:rPr>
          <w:rFonts w:hint="eastAsia"/>
        </w:rPr>
        <w:t>御”。或者“为臣御”三字原是“服”字的注语，后来误入正文；“越君其次也”应与简本“越公其事”对应，“次”和“事”对应，</w:t>
      </w:r>
      <w:proofErr w:type="gramStart"/>
      <w:r w:rsidRPr="00430B93">
        <w:rPr>
          <w:rFonts w:hint="eastAsia"/>
        </w:rPr>
        <w:t>皆读作</w:t>
      </w:r>
      <w:proofErr w:type="gramEnd"/>
      <w:r w:rsidRPr="00430B93">
        <w:rPr>
          <w:rFonts w:hint="eastAsia"/>
        </w:rPr>
        <w:t>“使”，意为“越王你驱使我吧”，为夫差之语。反之根据《国语》考释《越公其事》，石小力则提出简本中“</w:t>
      </w:r>
      <w:proofErr w:type="gramStart"/>
      <w:r w:rsidRPr="00430B93">
        <w:rPr>
          <w:rFonts w:hint="eastAsia"/>
        </w:rPr>
        <w:t>疋</w:t>
      </w:r>
      <w:proofErr w:type="gramEnd"/>
      <w:r w:rsidRPr="00430B93">
        <w:rPr>
          <w:rFonts w:hint="eastAsia"/>
        </w:rPr>
        <w:t>战</w:t>
      </w:r>
      <w:proofErr w:type="gramStart"/>
      <w:r w:rsidRPr="00430B93">
        <w:rPr>
          <w:rFonts w:hint="eastAsia"/>
        </w:rPr>
        <w:t>疋</w:t>
      </w:r>
      <w:proofErr w:type="gramEnd"/>
      <w:r w:rsidRPr="00430B93">
        <w:rPr>
          <w:rFonts w:hint="eastAsia"/>
        </w:rPr>
        <w:t>北”即今本《国语》之“三战三北”的观点。</w:t>
      </w:r>
      <w:r w:rsidRPr="00430B93">
        <w:endnoteReference w:id="14"/>
      </w:r>
      <w:r w:rsidRPr="00430B93">
        <w:rPr>
          <w:rFonts w:hint="eastAsia"/>
        </w:rPr>
        <w:t>除此之外，程燕、季</w:t>
      </w:r>
      <w:proofErr w:type="gramStart"/>
      <w:r w:rsidRPr="00430B93">
        <w:rPr>
          <w:rFonts w:hint="eastAsia"/>
        </w:rPr>
        <w:t>寥</w:t>
      </w:r>
      <w:proofErr w:type="gramEnd"/>
      <w:r w:rsidRPr="00430B93">
        <w:rPr>
          <w:rFonts w:hint="eastAsia"/>
        </w:rPr>
        <w:t>、魏栋、罗小华、孙合肥、胡敕瑞、刘刚、林少平、陈伟、蔡一峰、刘钊、冯胜君、王磊、黔之菜、许文献、萧旭、侯瑞华、葛希谷、</w:t>
      </w:r>
      <w:proofErr w:type="gramStart"/>
      <w:r w:rsidRPr="00430B93">
        <w:rPr>
          <w:rFonts w:hint="eastAsia"/>
        </w:rPr>
        <w:t>滕勝霖</w:t>
      </w:r>
      <w:proofErr w:type="gramEnd"/>
      <w:r w:rsidRPr="00430B93">
        <w:rPr>
          <w:rFonts w:hint="eastAsia"/>
        </w:rPr>
        <w:t>、翁倩等人的网贴在这一方面也有所讨论。</w:t>
      </w:r>
      <w:r w:rsidRPr="00430B93">
        <w:endnoteReference w:id="15"/>
      </w:r>
    </w:p>
    <w:p w:rsidR="00E24554" w:rsidRPr="00430B93" w:rsidRDefault="00E24554" w:rsidP="00430B93">
      <w:pPr>
        <w:pStyle w:val="aa"/>
        <w:ind w:firstLine="560"/>
      </w:pPr>
      <w:r w:rsidRPr="00430B93">
        <w:rPr>
          <w:rFonts w:hint="eastAsia"/>
        </w:rPr>
        <w:t>在探究简本异文的发生原因方面，魏栋在解释不同文献中记载越</w:t>
      </w:r>
      <w:r w:rsidRPr="00430B93">
        <w:rPr>
          <w:rFonts w:hint="eastAsia"/>
        </w:rPr>
        <w:lastRenderedPageBreak/>
        <w:t>王勾践</w:t>
      </w:r>
      <w:proofErr w:type="gramStart"/>
      <w:r w:rsidRPr="00430B93">
        <w:rPr>
          <w:rFonts w:hint="eastAsia"/>
        </w:rPr>
        <w:t>困栖会稽</w:t>
      </w:r>
      <w:proofErr w:type="gramEnd"/>
      <w:r w:rsidRPr="00430B93">
        <w:rPr>
          <w:rFonts w:hint="eastAsia"/>
        </w:rPr>
        <w:t>兵力时出现的“八千”“五千”异文现象时，认为单从古字字形上看，“五”之省体和“八”字别体有</w:t>
      </w:r>
      <w:proofErr w:type="gramStart"/>
      <w:r w:rsidRPr="00430B93">
        <w:rPr>
          <w:rFonts w:hint="eastAsia"/>
        </w:rPr>
        <w:t>混讹可能</w:t>
      </w:r>
      <w:proofErr w:type="gramEnd"/>
      <w:r w:rsidRPr="00430B93">
        <w:endnoteReference w:id="16"/>
      </w:r>
      <w:r w:rsidRPr="00430B93">
        <w:rPr>
          <w:rFonts w:hint="eastAsia"/>
        </w:rPr>
        <w:t>。</w:t>
      </w:r>
    </w:p>
    <w:p w:rsidR="00E24554" w:rsidRPr="00430B93" w:rsidRDefault="00E24554" w:rsidP="00430B93">
      <w:pPr>
        <w:pStyle w:val="aa"/>
        <w:ind w:firstLine="560"/>
      </w:pPr>
      <w:r w:rsidRPr="00430B93">
        <w:rPr>
          <w:rFonts w:hint="eastAsia"/>
        </w:rPr>
        <w:t>利用本篇文字</w:t>
      </w:r>
      <w:proofErr w:type="gramStart"/>
      <w:r w:rsidRPr="00430B93">
        <w:rPr>
          <w:rFonts w:hint="eastAsia"/>
        </w:rPr>
        <w:t>校定</w:t>
      </w:r>
      <w:proofErr w:type="gramEnd"/>
      <w:r w:rsidRPr="00430B93">
        <w:rPr>
          <w:rFonts w:hint="eastAsia"/>
        </w:rPr>
        <w:t>其它文献疑难方面，吴祺指出《越公其事》简21的“</w:t>
      </w:r>
      <w:r w:rsidRPr="00430B93">
        <w:drawing>
          <wp:inline distT="0" distB="0" distL="0" distR="0" wp14:anchorId="0AB8DFD4" wp14:editId="716F71E6">
            <wp:extent cx="149225" cy="142875"/>
            <wp:effectExtent l="0" t="0" r="3175" b="0"/>
            <wp:docPr id="4" name="图片 4" descr="D:\用户目录\我的文档\Tencent Files\1215612015\FileRecv\MobileFile\1788364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我的文档\Tencent Files\1215612015\FileRecv\MobileFile\17883640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9673" cy="143020"/>
                    </a:xfrm>
                    <a:prstGeom prst="rect">
                      <a:avLst/>
                    </a:prstGeom>
                    <a:noFill/>
                    <a:ln>
                      <a:noFill/>
                    </a:ln>
                  </pic:spPr>
                </pic:pic>
              </a:graphicData>
            </a:graphic>
          </wp:inline>
        </w:drawing>
      </w:r>
      <w:r w:rsidRPr="00430B93">
        <w:rPr>
          <w:rFonts w:hint="eastAsia"/>
        </w:rPr>
        <w:t>冒”之“</w:t>
      </w:r>
      <w:r w:rsidRPr="00430B93">
        <w:drawing>
          <wp:inline distT="0" distB="0" distL="0" distR="0" wp14:anchorId="5B7172FF" wp14:editId="2A5596F3">
            <wp:extent cx="147955" cy="140970"/>
            <wp:effectExtent l="0" t="0" r="4445" b="0"/>
            <wp:docPr id="5" name="图片 5" descr="D:\用户目录\我的文档\Tencent Files\1215612015\FileRecv\MobileFile\1788364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用户目录\我的文档\Tencent Files\1215612015\FileRecv\MobileFile\17883640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897" cy="142279"/>
                    </a:xfrm>
                    <a:prstGeom prst="rect">
                      <a:avLst/>
                    </a:prstGeom>
                    <a:noFill/>
                    <a:ln>
                      <a:noFill/>
                    </a:ln>
                  </pic:spPr>
                </pic:pic>
              </a:graphicData>
            </a:graphic>
          </wp:inline>
        </w:drawing>
      </w:r>
      <w:r w:rsidRPr="00430B93">
        <w:rPr>
          <w:rFonts w:hint="eastAsia"/>
        </w:rPr>
        <w:t xml:space="preserve">” </w:t>
      </w:r>
      <w:proofErr w:type="gramStart"/>
      <w:r w:rsidRPr="00430B93">
        <w:rPr>
          <w:rFonts w:hint="eastAsia"/>
        </w:rPr>
        <w:t>应从门豕</w:t>
      </w:r>
      <w:proofErr w:type="gramEnd"/>
      <w:r w:rsidRPr="00430B93">
        <w:rPr>
          <w:rFonts w:hint="eastAsia"/>
        </w:rPr>
        <w:t>声，读为“抵”，有防御之意；简26的“复吴”之“复”不可单独表达复仇之意，而更应当读为“覆”，表示倾败颠覆，更通过《越公其事》简75“孤余”这样的同位语结构，认为</w:t>
      </w:r>
      <w:proofErr w:type="gramStart"/>
      <w:r w:rsidRPr="00430B93">
        <w:rPr>
          <w:rFonts w:hint="eastAsia"/>
        </w:rPr>
        <w:t>清华简六《管仲》</w:t>
      </w:r>
      <w:proofErr w:type="gramEnd"/>
      <w:r w:rsidRPr="00430B93">
        <w:rPr>
          <w:rFonts w:hint="eastAsia"/>
        </w:rPr>
        <w:t>简29—30中的“不㝅余”为两个第一人称构成的同位语结构，是为齐桓公自称，而不可拆开，由此指正简29—30之间文理顺畅，未有缺失。</w:t>
      </w:r>
      <w:r w:rsidRPr="00430B93">
        <w:endnoteReference w:id="17"/>
      </w:r>
      <w:r w:rsidRPr="00430B93">
        <w:rPr>
          <w:rFonts w:hint="eastAsia"/>
        </w:rPr>
        <w:t>石小</w:t>
      </w:r>
      <w:proofErr w:type="gramStart"/>
      <w:r w:rsidRPr="00430B93">
        <w:rPr>
          <w:rFonts w:hint="eastAsia"/>
        </w:rPr>
        <w:t>力利用</w:t>
      </w:r>
      <w:proofErr w:type="gramEnd"/>
      <w:r w:rsidRPr="00430B93">
        <w:rPr>
          <w:rFonts w:hint="eastAsia"/>
        </w:rPr>
        <w:t>《越公其事》中“兹”的用法，分析确认传世古书和出土文献中旧时难以解释的一些“兹”字应该用作为“使”，为以后我们阅读古书和解读新的简帛文献提供了新的用字方法。</w:t>
      </w:r>
      <w:r w:rsidRPr="00430B93">
        <w:endnoteReference w:id="18"/>
      </w:r>
      <w:r w:rsidRPr="00430B93">
        <w:rPr>
          <w:rFonts w:hint="eastAsia"/>
        </w:rPr>
        <w:t>王宁提出《越公其事》简74的</w:t>
      </w:r>
      <w:r w:rsidRPr="00430B93">
        <w:drawing>
          <wp:inline distT="0" distB="0" distL="0" distR="0" wp14:anchorId="308CBAD9" wp14:editId="21E8F71E">
            <wp:extent cx="238125" cy="285750"/>
            <wp:effectExtent l="0" t="0" r="9525" b="0"/>
            <wp:docPr id="1" name="图片 1" descr="http://www.gwz.fudan.edu.cn/Content/ewebeditor/uploadfile/2018/06/201806291416173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wz.fudan.edu.cn/Content/ewebeditor/uploadfile/2018/06/20180629141617315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 cy="285750"/>
                    </a:xfrm>
                    <a:prstGeom prst="rect">
                      <a:avLst/>
                    </a:prstGeom>
                    <a:noFill/>
                    <a:ln>
                      <a:noFill/>
                    </a:ln>
                  </pic:spPr>
                </pic:pic>
              </a:graphicData>
            </a:graphic>
          </wp:inline>
        </w:drawing>
      </w:r>
      <w:r w:rsidRPr="00430B93">
        <w:rPr>
          <w:rFonts w:hint="eastAsia"/>
        </w:rPr>
        <w:t>字非整理者</w:t>
      </w:r>
      <w:proofErr w:type="gramStart"/>
      <w:r w:rsidRPr="00430B93">
        <w:rPr>
          <w:rFonts w:hint="eastAsia"/>
        </w:rPr>
        <w:t>所扩读</w:t>
      </w:r>
      <w:proofErr w:type="gramEnd"/>
      <w:r w:rsidRPr="00430B93">
        <w:rPr>
          <w:rFonts w:hint="eastAsia"/>
        </w:rPr>
        <w:t>的“役”字，由此对甲骨文中被释为“役”字的两字进行探讨，最终回到简文，总结其字的字形与甲骨文“疾渐”之“渐”形同，应当释为“渐”而读作“斩”；</w:t>
      </w:r>
      <w:r w:rsidRPr="00430B93">
        <w:endnoteReference w:id="19"/>
      </w:r>
      <w:r w:rsidRPr="00430B93">
        <w:rPr>
          <w:rFonts w:hint="eastAsia"/>
        </w:rPr>
        <w:t>张惟捷、陈剑等人在网帖中</w:t>
      </w:r>
      <w:proofErr w:type="gramStart"/>
      <w:r w:rsidRPr="00430B93">
        <w:rPr>
          <w:rFonts w:hint="eastAsia"/>
        </w:rPr>
        <w:t>皆使用</w:t>
      </w:r>
      <w:proofErr w:type="gramEnd"/>
      <w:r w:rsidRPr="00430B93">
        <w:rPr>
          <w:rFonts w:hint="eastAsia"/>
        </w:rPr>
        <w:t>了《越公其事》中的字形写法作为辅证。</w:t>
      </w:r>
      <w:r w:rsidRPr="00430B93">
        <w:endnoteReference w:id="20"/>
      </w:r>
    </w:p>
    <w:p w:rsidR="00E24554" w:rsidRDefault="00E24554" w:rsidP="00E24554">
      <w:pPr>
        <w:pStyle w:val="aa"/>
        <w:ind w:firstLineChars="0" w:firstLine="0"/>
        <w:rPr>
          <w:b/>
        </w:rPr>
      </w:pPr>
    </w:p>
    <w:p w:rsidR="00E24554" w:rsidRPr="00E24554" w:rsidRDefault="00E24554" w:rsidP="00E24554">
      <w:pPr>
        <w:pStyle w:val="aa"/>
        <w:ind w:firstLineChars="0" w:firstLine="0"/>
        <w:rPr>
          <w:b/>
        </w:rPr>
      </w:pPr>
      <w:r w:rsidRPr="00E24554">
        <w:rPr>
          <w:rFonts w:hint="eastAsia"/>
          <w:b/>
        </w:rPr>
        <w:t>三、文学研究</w:t>
      </w:r>
    </w:p>
    <w:p w:rsidR="00430B93" w:rsidRPr="00430B93" w:rsidRDefault="00E24554" w:rsidP="00430B93">
      <w:pPr>
        <w:pStyle w:val="aa"/>
        <w:ind w:firstLine="560"/>
      </w:pPr>
      <w:r w:rsidRPr="00430B93">
        <w:rPr>
          <w:rFonts w:hint="eastAsia"/>
        </w:rPr>
        <w:lastRenderedPageBreak/>
        <w:t>李守奎首先将《越公其事》同《系年》对比，指出《越公其事》内容上使用了大量对话，叙述“五政”依照逻辑顺序内容详实，语言上文辞华丽，双音节词丰富，属于语类文献。其次将《越公其事》与传世文献在夫差讲和原因、勾践灭吴过程、“鸡父”形象的再现等方面进行比较，提出“语类文献大都是经过传闻、改造的故事</w:t>
      </w:r>
      <w:r w:rsidRPr="00430B93">
        <w:t xml:space="preserve">, </w:t>
      </w:r>
      <w:r w:rsidRPr="00430B93">
        <w:rPr>
          <w:rFonts w:hint="eastAsia"/>
        </w:rPr>
        <w:t>是个人对历史的理解</w:t>
      </w:r>
      <w:r w:rsidRPr="00430B93">
        <w:t xml:space="preserve">, </w:t>
      </w:r>
      <w:r w:rsidRPr="00430B93">
        <w:rPr>
          <w:rFonts w:hint="eastAsia"/>
        </w:rPr>
        <w:t>或者是为了表达某种观点的带</w:t>
      </w:r>
      <w:proofErr w:type="gramStart"/>
      <w:r w:rsidRPr="00430B93">
        <w:rPr>
          <w:rFonts w:hint="eastAsia"/>
        </w:rPr>
        <w:t>有倾</w:t>
      </w:r>
      <w:proofErr w:type="gramEnd"/>
      <w:r w:rsidRPr="00430B93">
        <w:rPr>
          <w:rFonts w:hint="eastAsia"/>
        </w:rPr>
        <w:t>向性的说辞</w:t>
      </w:r>
      <w:r w:rsidRPr="00430B93">
        <w:t xml:space="preserve">, </w:t>
      </w:r>
      <w:r w:rsidRPr="00430B93">
        <w:rPr>
          <w:rFonts w:hint="eastAsia"/>
        </w:rPr>
        <w:t>这些基本上类同大众之语</w:t>
      </w:r>
      <w:r w:rsidRPr="00430B93">
        <w:t xml:space="preserve">, </w:t>
      </w:r>
      <w:r w:rsidRPr="00430B93">
        <w:rPr>
          <w:rFonts w:hint="eastAsia"/>
        </w:rPr>
        <w:t>与形成于史官之手的春秋类文献有很大不同”的观点，并认为这类文献“故事性”胜于“记录性”，思想活跃、内容丰富，具有很高的研究价值；</w:t>
      </w:r>
      <w:r w:rsidRPr="00430B93">
        <w:endnoteReference w:id="21"/>
      </w:r>
      <w:r w:rsidRPr="00430B93">
        <w:rPr>
          <w:rFonts w:hint="eastAsia"/>
        </w:rPr>
        <w:t>同时李守奎还结合《越公其事》专门研究了“鸡父”和历史上“鸡父之战”的关系，考证在传世文献中被遗漏的“鸡父”形象，认为他是伍员之弟，</w:t>
      </w:r>
      <w:proofErr w:type="gramStart"/>
      <w:r w:rsidRPr="00430B93">
        <w:rPr>
          <w:rFonts w:hint="eastAsia"/>
        </w:rPr>
        <w:t>在在吴王僚与阖闾</w:t>
      </w:r>
      <w:proofErr w:type="gramEnd"/>
      <w:r w:rsidRPr="00430B93">
        <w:rPr>
          <w:rFonts w:hint="eastAsia"/>
        </w:rPr>
        <w:t>时期功劳卓越，于吴人</w:t>
      </w:r>
      <w:proofErr w:type="gramStart"/>
      <w:r w:rsidRPr="00430B93">
        <w:rPr>
          <w:rFonts w:hint="eastAsia"/>
        </w:rPr>
        <w:t>围困州来战役</w:t>
      </w:r>
      <w:proofErr w:type="gramEnd"/>
      <w:r w:rsidRPr="00430B93">
        <w:rPr>
          <w:rFonts w:hint="eastAsia"/>
        </w:rPr>
        <w:t>、辅佐</w:t>
      </w:r>
      <w:proofErr w:type="gramStart"/>
      <w:r w:rsidRPr="00430B93">
        <w:rPr>
          <w:rFonts w:hint="eastAsia"/>
        </w:rPr>
        <w:t>阖闾</w:t>
      </w:r>
      <w:proofErr w:type="gramEnd"/>
      <w:r w:rsidRPr="00430B93">
        <w:rPr>
          <w:rFonts w:hint="eastAsia"/>
        </w:rPr>
        <w:t>伐楚入</w:t>
      </w:r>
      <w:proofErr w:type="gramStart"/>
      <w:r w:rsidRPr="00430B93">
        <w:rPr>
          <w:rFonts w:hint="eastAsia"/>
        </w:rPr>
        <w:t>郢</w:t>
      </w:r>
      <w:proofErr w:type="gramEnd"/>
      <w:r w:rsidRPr="00430B93">
        <w:rPr>
          <w:rFonts w:hint="eastAsia"/>
        </w:rPr>
        <w:t>战役中均发挥了重要作用，因为英年早逝，事迹多叠加在伍子胥身上，史书中不载其人；</w:t>
      </w:r>
      <w:r w:rsidRPr="00430B93">
        <w:endnoteReference w:id="22"/>
      </w:r>
      <w:r w:rsidRPr="00430B93">
        <w:rPr>
          <w:rFonts w:hint="eastAsia"/>
        </w:rPr>
        <w:t>魏栋则针对《越公其事》和其他传世文献之间对于越王勾践</w:t>
      </w:r>
      <w:proofErr w:type="gramStart"/>
      <w:r w:rsidRPr="00430B93">
        <w:rPr>
          <w:rFonts w:hint="eastAsia"/>
        </w:rPr>
        <w:t>困栖会稽</w:t>
      </w:r>
      <w:proofErr w:type="gramEnd"/>
      <w:r w:rsidRPr="00430B93">
        <w:rPr>
          <w:rFonts w:hint="eastAsia"/>
        </w:rPr>
        <w:t>之时兵力描述的不同，阐述了“语类文献的记事就有故事化的特点”，认为故事口耳相传的流传方式往往导致内容上的失真变异，这种“口头性”和“变动性”使之不可避免地同史实拉开距离；</w:t>
      </w:r>
      <w:r w:rsidRPr="00430B93">
        <w:endnoteReference w:id="23"/>
      </w:r>
      <w:r w:rsidRPr="00430B93">
        <w:rPr>
          <w:rFonts w:hint="eastAsia"/>
        </w:rPr>
        <w:t>熊贤品认为《越公其事》在越国求和使者、吴国主和者、越王受辱情节、</w:t>
      </w:r>
      <w:r w:rsidRPr="00430B93">
        <w:rPr>
          <w:rFonts w:hint="eastAsia"/>
        </w:rPr>
        <w:lastRenderedPageBreak/>
        <w:t>越国图强之策、越国灭</w:t>
      </w:r>
      <w:proofErr w:type="gramStart"/>
      <w:r w:rsidRPr="00430B93">
        <w:rPr>
          <w:rFonts w:hint="eastAsia"/>
        </w:rPr>
        <w:t>吴过程</w:t>
      </w:r>
      <w:proofErr w:type="gramEnd"/>
      <w:r w:rsidRPr="00430B93">
        <w:rPr>
          <w:rFonts w:hint="eastAsia"/>
        </w:rPr>
        <w:t>的记载上都与传世文献有所不同，在情节上突出君主淡化臣子，而一些情节的缺失则符合故事演变的规律，内容上具有选编色彩，性质上更近于文学作品；</w:t>
      </w:r>
      <w:r w:rsidRPr="00430B93">
        <w:endnoteReference w:id="24"/>
      </w:r>
      <w:bookmarkStart w:id="4" w:name="_Hlk525112753"/>
      <w:r w:rsidRPr="00430B93">
        <w:rPr>
          <w:rFonts w:hint="eastAsia"/>
        </w:rPr>
        <w:t>罗云君</w:t>
      </w:r>
      <w:proofErr w:type="gramStart"/>
      <w:r w:rsidRPr="00430B93">
        <w:rPr>
          <w:rFonts w:hint="eastAsia"/>
        </w:rPr>
        <w:t>则总结</w:t>
      </w:r>
      <w:proofErr w:type="gramEnd"/>
      <w:r w:rsidRPr="00430B93">
        <w:rPr>
          <w:rFonts w:hint="eastAsia"/>
        </w:rPr>
        <w:t>《越公其事》是“有历史化倾向的语类文献，重在对历史经验教训的总结，发挥其垂询后世的作用。”</w:t>
      </w:r>
      <w:r w:rsidRPr="00430B93">
        <w:endnoteReference w:id="25"/>
      </w:r>
      <w:bookmarkEnd w:id="4"/>
      <w:r w:rsidRPr="00430B93">
        <w:rPr>
          <w:rFonts w:hint="eastAsia"/>
        </w:rPr>
        <w:t>范常喜通联合《越公其事》中吴王夫差对于求成的回复和《国语》中</w:t>
      </w:r>
      <w:proofErr w:type="gramStart"/>
      <w:r w:rsidRPr="00430B93">
        <w:rPr>
          <w:rFonts w:hint="eastAsia"/>
        </w:rPr>
        <w:t>晋吴争黄</w:t>
      </w:r>
      <w:proofErr w:type="gramEnd"/>
      <w:r w:rsidRPr="00430B93">
        <w:rPr>
          <w:rFonts w:hint="eastAsia"/>
        </w:rPr>
        <w:t>长池之会时吴王夫差对晋大夫董褐的回复，指出东周时期外交辞令的含蓄与委婉的特点。并借助外交辞令“铿锵有力”的节奏为《越公其事》部分句子进行句读。</w:t>
      </w:r>
      <w:r w:rsidRPr="00430B93">
        <w:endnoteReference w:id="26"/>
      </w:r>
      <w:r w:rsidRPr="00430B93">
        <w:rPr>
          <w:rFonts w:hint="eastAsia"/>
        </w:rPr>
        <w:t>翁倩则根据文种求和时既表明诚意又言明利害，达到刚柔并济效果的行成之辞，指出外交辞令语气冠冕堂皇，内容虚实不定的特点。并且以此为根据之一分析句义。</w:t>
      </w:r>
      <w:r w:rsidRPr="00430B93">
        <w:endnoteReference w:id="27"/>
      </w:r>
      <w:r w:rsidRPr="00430B93">
        <w:rPr>
          <w:rFonts w:hint="eastAsia"/>
        </w:rPr>
        <w:t>这</w:t>
      </w:r>
      <w:r w:rsidR="00430B93" w:rsidRPr="00430B93">
        <w:rPr>
          <w:rFonts w:hint="eastAsia"/>
        </w:rPr>
        <w:t>两位学者的观点，对于理解我国古代外交辞令的内容与形式都很有参考价值。</w:t>
      </w:r>
    </w:p>
    <w:p w:rsidR="00E24554" w:rsidRDefault="00E24554" w:rsidP="00E24554">
      <w:pPr>
        <w:pStyle w:val="aa"/>
        <w:ind w:firstLineChars="0" w:firstLine="0"/>
        <w:rPr>
          <w:b/>
        </w:rPr>
      </w:pPr>
    </w:p>
    <w:p w:rsidR="00430B93" w:rsidRPr="00E24554" w:rsidRDefault="00430B93" w:rsidP="00E24554">
      <w:pPr>
        <w:pStyle w:val="aa"/>
        <w:ind w:firstLineChars="0" w:firstLine="0"/>
        <w:rPr>
          <w:b/>
        </w:rPr>
      </w:pPr>
      <w:r w:rsidRPr="00E24554">
        <w:rPr>
          <w:rFonts w:hint="eastAsia"/>
          <w:b/>
        </w:rPr>
        <w:t>四、小结</w:t>
      </w:r>
    </w:p>
    <w:p w:rsidR="00430B93" w:rsidRDefault="00430B93" w:rsidP="00430B93">
      <w:pPr>
        <w:pStyle w:val="aa"/>
        <w:ind w:firstLine="560"/>
      </w:pPr>
      <w:r w:rsidRPr="00430B93">
        <w:rPr>
          <w:rFonts w:hint="eastAsia"/>
        </w:rPr>
        <w:t>综上所述，目前清华简《越公其事》的研究，在整理工作方面已经取得了很好的成绩，文字释读与研究也有所成果，为我们后续的研究奠定了坚实的基础。但因为清华简《越公其事》属于新近发布的出土文献，文学研究还未得到充分展开，涉及论文仅有五篇，在主旨倾</w:t>
      </w:r>
      <w:r w:rsidRPr="00430B93">
        <w:rPr>
          <w:rFonts w:hint="eastAsia"/>
        </w:rPr>
        <w:lastRenderedPageBreak/>
        <w:t>向、叙述详略、人物形象、辞藻风格等方面都还缺乏深入研究，这些都需要我们进行进一步的探讨。</w:t>
      </w:r>
    </w:p>
    <w:p w:rsidR="00E24554" w:rsidRDefault="00E24554" w:rsidP="00430B93">
      <w:pPr>
        <w:pStyle w:val="aa"/>
        <w:ind w:firstLine="560"/>
      </w:pPr>
    </w:p>
    <w:p w:rsidR="00E24554" w:rsidRPr="00E24554" w:rsidRDefault="00E24554" w:rsidP="00E24554">
      <w:pPr>
        <w:pStyle w:val="aa"/>
        <w:ind w:firstLineChars="0" w:firstLine="0"/>
      </w:pPr>
      <w:bookmarkStart w:id="5" w:name="_GoBack"/>
      <w:bookmarkEnd w:id="5"/>
      <w:r w:rsidRPr="00E24554">
        <w:rPr>
          <w:rFonts w:hint="eastAsia"/>
        </w:rPr>
        <w:t>說明：本文首發于</w:t>
      </w:r>
      <w:r w:rsidRPr="00E24554">
        <w:rPr>
          <w:rFonts w:hint="eastAsia"/>
        </w:rPr>
        <w:t>《长江丛刊》2018年32期</w:t>
      </w:r>
    </w:p>
    <w:p w:rsidR="006E714C" w:rsidRPr="00430B93" w:rsidRDefault="006E714C" w:rsidP="00430B93">
      <w:pPr>
        <w:pStyle w:val="aa"/>
        <w:ind w:firstLine="560"/>
      </w:pPr>
    </w:p>
    <w:sectPr w:rsidR="006E714C" w:rsidRPr="00430B93">
      <w:headerReference w:type="default" r:id="rId13"/>
      <w:footerReference w:type="even" r:id="rId14"/>
      <w:footerReference w:type="default" r:id="rId1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F32" w:rsidRDefault="00CA7F32" w:rsidP="00CB0024">
      <w:r>
        <w:separator/>
      </w:r>
    </w:p>
  </w:endnote>
  <w:endnote w:type="continuationSeparator" w:id="0">
    <w:p w:rsidR="00CA7F32" w:rsidRDefault="00CA7F32" w:rsidP="00CB0024">
      <w:r>
        <w:continuationSeparator/>
      </w:r>
    </w:p>
  </w:endnote>
  <w:endnote w:id="1">
    <w:p w:rsidR="00E24554" w:rsidRPr="00E24554" w:rsidRDefault="00E24554" w:rsidP="00E24554">
      <w:r w:rsidRPr="00E24554">
        <w:endnoteRef/>
      </w:r>
      <w:r w:rsidRPr="00E24554">
        <w:rPr>
          <w:rFonts w:hint="eastAsia"/>
        </w:rPr>
        <w:t xml:space="preserve"> 马楠：《关于〈清华大学藏战国竹简（陆）〉的一则说明》，《出土文献》</w:t>
      </w:r>
      <w:r w:rsidRPr="00E24554">
        <w:t>2016</w:t>
      </w:r>
      <w:r w:rsidRPr="00E24554">
        <w:rPr>
          <w:rFonts w:hint="eastAsia"/>
        </w:rPr>
        <w:t>年第</w:t>
      </w:r>
      <w:r w:rsidRPr="00E24554">
        <w:t>2</w:t>
      </w:r>
      <w:r w:rsidRPr="00E24554">
        <w:rPr>
          <w:rFonts w:hint="eastAsia"/>
        </w:rPr>
        <w:t>期。</w:t>
      </w:r>
    </w:p>
  </w:endnote>
  <w:endnote w:id="2">
    <w:p w:rsidR="00E24554" w:rsidRPr="00E24554" w:rsidRDefault="00E24554" w:rsidP="00E24554">
      <w:r w:rsidRPr="00E24554">
        <w:endnoteRef/>
      </w:r>
      <w:r w:rsidRPr="00E24554">
        <w:rPr>
          <w:rFonts w:hint="eastAsia"/>
        </w:rPr>
        <w:t xml:space="preserve"> 王辉：《说“越公其事”非篇题及其释读》，《出土文献》</w:t>
      </w:r>
      <w:r w:rsidRPr="00E24554">
        <w:t>2017</w:t>
      </w:r>
      <w:r w:rsidRPr="00E24554">
        <w:rPr>
          <w:rFonts w:hint="eastAsia"/>
        </w:rPr>
        <w:t>年第</w:t>
      </w:r>
      <w:r w:rsidRPr="00E24554">
        <w:t>2</w:t>
      </w:r>
      <w:r w:rsidRPr="00E24554">
        <w:rPr>
          <w:rFonts w:hint="eastAsia"/>
        </w:rPr>
        <w:t>期。</w:t>
      </w:r>
    </w:p>
  </w:endnote>
  <w:endnote w:id="3">
    <w:p w:rsidR="00E24554" w:rsidRPr="00E24554" w:rsidRDefault="00E24554" w:rsidP="00E24554">
      <w:r w:rsidRPr="00E24554">
        <w:endnoteRef/>
      </w:r>
      <w:r w:rsidRPr="00E24554">
        <w:rPr>
          <w:rFonts w:hint="eastAsia"/>
        </w:rPr>
        <w:t xml:space="preserve"> 陈剑：《〈越公其事〉残简18</w:t>
      </w:r>
      <w:r w:rsidRPr="00E24554">
        <w:rPr>
          <w:rFonts w:hint="eastAsia"/>
        </w:rPr>
        <w:t>的位置及相关的简序调整问题》，复旦2017年5月14日帖。</w:t>
      </w:r>
    </w:p>
  </w:endnote>
  <w:endnote w:id="4">
    <w:p w:rsidR="00E24554" w:rsidRPr="00E24554" w:rsidRDefault="00E24554" w:rsidP="00E24554">
      <w:r w:rsidRPr="00E24554">
        <w:endnoteRef/>
      </w:r>
      <w:r w:rsidRPr="00E24554">
        <w:rPr>
          <w:rFonts w:hint="eastAsia"/>
        </w:rPr>
        <w:t xml:space="preserve"> 王宁：《清华简七〈越公其事〉读札一則》，简帛2017</w:t>
      </w:r>
      <w:r w:rsidRPr="00E24554">
        <w:rPr>
          <w:rFonts w:hint="eastAsia"/>
        </w:rPr>
        <w:t>年5月22日帖。</w:t>
      </w:r>
    </w:p>
  </w:endnote>
  <w:endnote w:id="5">
    <w:p w:rsidR="00E24554" w:rsidRPr="00E24554" w:rsidRDefault="00E24554" w:rsidP="00E24554">
      <w:r w:rsidRPr="00E24554">
        <w:endnoteRef/>
      </w:r>
      <w:r w:rsidRPr="00E24554">
        <w:rPr>
          <w:rFonts w:hint="eastAsia"/>
        </w:rPr>
        <w:t xml:space="preserve"> </w:t>
      </w:r>
      <w:proofErr w:type="gramStart"/>
      <w:r w:rsidRPr="00E24554">
        <w:rPr>
          <w:rFonts w:hint="eastAsia"/>
        </w:rPr>
        <w:t>劳</w:t>
      </w:r>
      <w:proofErr w:type="gramEnd"/>
      <w:r w:rsidRPr="00E24554">
        <w:rPr>
          <w:rFonts w:hint="eastAsia"/>
        </w:rPr>
        <w:t>晓森：《清华简〈越公其事〉残字补释一則》，复旦2017</w:t>
      </w:r>
      <w:r w:rsidRPr="00E24554">
        <w:rPr>
          <w:rFonts w:hint="eastAsia"/>
        </w:rPr>
        <w:t>年5月1日帖。</w:t>
      </w:r>
    </w:p>
  </w:endnote>
  <w:endnote w:id="6">
    <w:p w:rsidR="00E24554" w:rsidRPr="00E24554" w:rsidRDefault="00E24554" w:rsidP="00E24554">
      <w:r w:rsidRPr="00E24554">
        <w:endnoteRef/>
      </w:r>
      <w:r w:rsidRPr="00E24554">
        <w:rPr>
          <w:rFonts w:hint="eastAsia"/>
        </w:rPr>
        <w:t xml:space="preserve"> 罗云君：《清华简〈越公其事〉研究》，东北师范大学2</w:t>
      </w:r>
      <w:r w:rsidRPr="00E24554">
        <w:t>0</w:t>
      </w:r>
      <w:r w:rsidRPr="00E24554">
        <w:rPr>
          <w:rFonts w:hint="eastAsia"/>
        </w:rPr>
        <w:t>18</w:t>
      </w:r>
      <w:r w:rsidRPr="00E24554">
        <w:rPr>
          <w:rFonts w:hint="eastAsia"/>
        </w:rPr>
        <w:t>年硕士学位论文。</w:t>
      </w:r>
    </w:p>
  </w:endnote>
  <w:endnote w:id="7">
    <w:p w:rsidR="00E24554" w:rsidRPr="00E24554" w:rsidRDefault="00E24554" w:rsidP="00E24554">
      <w:r w:rsidRPr="00E24554">
        <w:endnoteRef/>
      </w:r>
      <w:r w:rsidRPr="00E24554">
        <w:rPr>
          <w:rFonts w:hint="eastAsia"/>
        </w:rPr>
        <w:t xml:space="preserve"> </w:t>
      </w:r>
      <w:r w:rsidRPr="00E24554">
        <w:rPr>
          <w:rFonts w:hint="eastAsia"/>
        </w:rPr>
        <w:t>赵平安：《清华简第七辑字词补释五则》，《出土文献》</w:t>
      </w:r>
      <w:r w:rsidRPr="00E24554">
        <w:t>2017</w:t>
      </w:r>
      <w:r w:rsidRPr="00E24554">
        <w:rPr>
          <w:rFonts w:hint="eastAsia"/>
        </w:rPr>
        <w:t>年第</w:t>
      </w:r>
      <w:r w:rsidRPr="00E24554">
        <w:t>1</w:t>
      </w:r>
      <w:r w:rsidRPr="00E24554">
        <w:rPr>
          <w:rFonts w:hint="eastAsia"/>
        </w:rPr>
        <w:t>期。</w:t>
      </w:r>
    </w:p>
  </w:endnote>
  <w:endnote w:id="8">
    <w:p w:rsidR="00E24554" w:rsidRPr="00E24554" w:rsidRDefault="00E24554" w:rsidP="00E24554">
      <w:r w:rsidRPr="00E24554">
        <w:endnoteRef/>
      </w:r>
      <w:r w:rsidRPr="00E24554">
        <w:rPr>
          <w:rFonts w:hint="eastAsia"/>
        </w:rPr>
        <w:t xml:space="preserve"> 程浩：《清华简第七辑整理报告拾遗》，《出土文献》</w:t>
      </w:r>
      <w:r w:rsidRPr="00E24554">
        <w:t>2017</w:t>
      </w:r>
      <w:r w:rsidRPr="00E24554">
        <w:rPr>
          <w:rFonts w:hint="eastAsia"/>
        </w:rPr>
        <w:t>年第</w:t>
      </w:r>
      <w:r w:rsidRPr="00E24554">
        <w:t>1</w:t>
      </w:r>
      <w:r w:rsidRPr="00E24554">
        <w:rPr>
          <w:rFonts w:hint="eastAsia"/>
        </w:rPr>
        <w:t>期。</w:t>
      </w:r>
    </w:p>
  </w:endnote>
  <w:endnote w:id="9">
    <w:p w:rsidR="00E24554" w:rsidRPr="00E24554" w:rsidRDefault="00E24554" w:rsidP="00E24554">
      <w:r w:rsidRPr="00E24554">
        <w:endnoteRef/>
      </w:r>
      <w:r w:rsidRPr="00E24554">
        <w:t xml:space="preserve"> </w:t>
      </w:r>
      <w:r w:rsidRPr="00E24554">
        <w:rPr>
          <w:rFonts w:hint="eastAsia"/>
        </w:rPr>
        <w:t>范常喜：《清华简〈越公其事〉与〈国语〉外交辞令对读札记一则》，《中国史研究》</w:t>
      </w:r>
      <w:r w:rsidRPr="00E24554">
        <w:t>2018</w:t>
      </w:r>
      <w:r w:rsidRPr="00E24554">
        <w:rPr>
          <w:rFonts w:hint="eastAsia"/>
        </w:rPr>
        <w:t>年第</w:t>
      </w:r>
      <w:r w:rsidRPr="00E24554">
        <w:t>1</w:t>
      </w:r>
      <w:r w:rsidRPr="00E24554">
        <w:rPr>
          <w:rFonts w:hint="eastAsia"/>
        </w:rPr>
        <w:t>期。</w:t>
      </w:r>
    </w:p>
  </w:endnote>
  <w:endnote w:id="10">
    <w:p w:rsidR="00E24554" w:rsidRPr="00E24554" w:rsidRDefault="00E24554" w:rsidP="00E24554">
      <w:r w:rsidRPr="00E24554">
        <w:endnoteRef/>
      </w:r>
      <w:r w:rsidRPr="00E24554">
        <w:rPr>
          <w:rFonts w:hint="eastAsia"/>
        </w:rPr>
        <w:t xml:space="preserve"> 翁倩：《清华简</w:t>
      </w:r>
      <w:bookmarkStart w:id="2" w:name="_Hlk525132604"/>
      <w:r w:rsidRPr="00E24554">
        <w:rPr>
          <w:rFonts w:hint="eastAsia"/>
        </w:rPr>
        <w:t>〈</w:t>
      </w:r>
      <w:bookmarkEnd w:id="2"/>
      <w:r w:rsidRPr="00E24554">
        <w:rPr>
          <w:rFonts w:hint="eastAsia"/>
        </w:rPr>
        <w:t>越公其事〉篇研读札记》，《四川职业技术学院学报》2</w:t>
      </w:r>
      <w:r w:rsidRPr="00E24554">
        <w:t>0</w:t>
      </w:r>
      <w:r w:rsidRPr="00E24554">
        <w:rPr>
          <w:rFonts w:hint="eastAsia"/>
        </w:rPr>
        <w:t>18</w:t>
      </w:r>
      <w:r w:rsidRPr="00E24554">
        <w:rPr>
          <w:rFonts w:hint="eastAsia"/>
        </w:rPr>
        <w:t>年第3期。</w:t>
      </w:r>
    </w:p>
  </w:endnote>
  <w:endnote w:id="11">
    <w:p w:rsidR="00E24554" w:rsidRPr="00E24554" w:rsidRDefault="00E24554" w:rsidP="00E24554">
      <w:r w:rsidRPr="00E24554">
        <w:endnoteRef/>
      </w:r>
      <w:r w:rsidRPr="00E24554">
        <w:rPr>
          <w:rFonts w:hint="eastAsia"/>
        </w:rPr>
        <w:t xml:space="preserve"> 胡敕瑞：《〈清华大学藏战国竹简柒·越公其事〉札记》，《出土文献》2</w:t>
      </w:r>
      <w:r w:rsidRPr="00E24554">
        <w:t>0</w:t>
      </w:r>
      <w:r w:rsidRPr="00E24554">
        <w:rPr>
          <w:rFonts w:hint="eastAsia"/>
        </w:rPr>
        <w:t>18</w:t>
      </w:r>
      <w:r w:rsidRPr="00E24554">
        <w:rPr>
          <w:rFonts w:hint="eastAsia"/>
        </w:rPr>
        <w:t>年第1期。</w:t>
      </w:r>
    </w:p>
  </w:endnote>
  <w:endnote w:id="12">
    <w:p w:rsidR="00E24554" w:rsidRPr="00E24554" w:rsidRDefault="00E24554" w:rsidP="00E24554">
      <w:r w:rsidRPr="00E24554">
        <w:endnoteRef/>
      </w:r>
      <w:r w:rsidRPr="00E24554">
        <w:rPr>
          <w:rFonts w:hint="eastAsia"/>
        </w:rPr>
        <w:t xml:space="preserve"> 郭洗凡：《清华简越公其事〉集释》，安徽大学2</w:t>
      </w:r>
      <w:r w:rsidRPr="00E24554">
        <w:t>0</w:t>
      </w:r>
      <w:r w:rsidRPr="00E24554">
        <w:rPr>
          <w:rFonts w:hint="eastAsia"/>
        </w:rPr>
        <w:t>18</w:t>
      </w:r>
      <w:r w:rsidRPr="00E24554">
        <w:rPr>
          <w:rFonts w:hint="eastAsia"/>
        </w:rPr>
        <w:t>年硕士学位论文。</w:t>
      </w:r>
    </w:p>
  </w:endnote>
  <w:endnote w:id="13">
    <w:p w:rsidR="00E24554" w:rsidRPr="00E24554" w:rsidRDefault="00E24554" w:rsidP="00E24554">
      <w:r w:rsidRPr="00E24554">
        <w:endnoteRef/>
      </w:r>
      <w:r w:rsidRPr="00E24554">
        <w:t xml:space="preserve"> </w:t>
      </w:r>
      <w:r w:rsidRPr="00E24554">
        <w:rPr>
          <w:rFonts w:hint="eastAsia"/>
        </w:rPr>
        <w:t>石小力：《清华简第七册字词释读札记》，《出土文献》</w:t>
      </w:r>
      <w:r w:rsidRPr="00E24554">
        <w:t>2017</w:t>
      </w:r>
      <w:r w:rsidRPr="00E24554">
        <w:rPr>
          <w:rFonts w:hint="eastAsia"/>
        </w:rPr>
        <w:t>年第</w:t>
      </w:r>
      <w:r w:rsidRPr="00E24554">
        <w:t>2</w:t>
      </w:r>
      <w:r w:rsidRPr="00E24554">
        <w:rPr>
          <w:rFonts w:hint="eastAsia"/>
        </w:rPr>
        <w:t>期。</w:t>
      </w:r>
    </w:p>
  </w:endnote>
  <w:endnote w:id="14">
    <w:p w:rsidR="00E24554" w:rsidRPr="00E24554" w:rsidRDefault="00E24554" w:rsidP="00E24554">
      <w:r w:rsidRPr="00E24554">
        <w:endnoteRef/>
      </w:r>
      <w:r w:rsidRPr="00E24554">
        <w:t xml:space="preserve"> </w:t>
      </w:r>
      <w:r w:rsidRPr="00E24554">
        <w:rPr>
          <w:rFonts w:hint="eastAsia"/>
        </w:rPr>
        <w:t>石小力：《清华简〈越公其事〉与〈国语〉合证》，《文献》2018</w:t>
      </w:r>
      <w:r w:rsidRPr="00E24554">
        <w:rPr>
          <w:rFonts w:hint="eastAsia"/>
        </w:rPr>
        <w:t>年第3期。</w:t>
      </w:r>
    </w:p>
  </w:endnote>
  <w:endnote w:id="15">
    <w:p w:rsidR="00E24554" w:rsidRPr="00E24554" w:rsidRDefault="00E24554" w:rsidP="00E24554">
      <w:r w:rsidRPr="00E24554">
        <w:endnoteRef/>
      </w:r>
      <w:r w:rsidRPr="00E24554">
        <w:rPr>
          <w:rFonts w:hint="eastAsia"/>
        </w:rPr>
        <w:t xml:space="preserve"> 程燕：《清华七札记三则》，简帛2</w:t>
      </w:r>
      <w:r w:rsidRPr="00E24554">
        <w:t>0</w:t>
      </w:r>
      <w:r w:rsidRPr="00E24554">
        <w:rPr>
          <w:rFonts w:hint="eastAsia"/>
        </w:rPr>
        <w:t>17</w:t>
      </w:r>
      <w:r w:rsidRPr="00E24554">
        <w:rPr>
          <w:rFonts w:hint="eastAsia"/>
        </w:rPr>
        <w:t>年4月26日帖；季</w:t>
      </w:r>
      <w:proofErr w:type="gramStart"/>
      <w:r w:rsidRPr="00E24554">
        <w:rPr>
          <w:rFonts w:hint="eastAsia"/>
        </w:rPr>
        <w:t>寥</w:t>
      </w:r>
      <w:proofErr w:type="gramEnd"/>
      <w:r w:rsidRPr="00E24554">
        <w:rPr>
          <w:rFonts w:hint="eastAsia"/>
        </w:rPr>
        <w:t>：《清华简〈越公其事〉“尞（上从艸）”字臆解》，简帛2</w:t>
      </w:r>
      <w:r w:rsidRPr="00E24554">
        <w:t>0</w:t>
      </w:r>
      <w:r w:rsidRPr="00E24554">
        <w:rPr>
          <w:rFonts w:hint="eastAsia"/>
        </w:rPr>
        <w:t>17年4月24日帖；魏栋：《清华简〈越公其事〉“夷吁蛮吴”及相关问题试析》，复旦2</w:t>
      </w:r>
      <w:r w:rsidRPr="00E24554">
        <w:t>0</w:t>
      </w:r>
      <w:r w:rsidRPr="00E24554">
        <w:rPr>
          <w:rFonts w:hint="eastAsia"/>
        </w:rPr>
        <w:t>17年4月24日帖；罗小华：《清华简〈越公其事〉简3“挾弳秉㯱”臆说》，简帛2</w:t>
      </w:r>
      <w:r w:rsidRPr="00E24554">
        <w:t>0</w:t>
      </w:r>
      <w:r w:rsidRPr="00E24554">
        <w:rPr>
          <w:rFonts w:hint="eastAsia"/>
        </w:rPr>
        <w:t>17年4月25日帖；孙合肥：《清华七〈越公其事〉札记二则》，简帛2</w:t>
      </w:r>
      <w:r w:rsidRPr="00E24554">
        <w:t>01</w:t>
      </w:r>
      <w:r w:rsidRPr="00E24554">
        <w:rPr>
          <w:rFonts w:hint="eastAsia"/>
        </w:rPr>
        <w:t>7年4月26日帖；《清华七〈越公其事〉札记一则》，简帛2017年4月25日帖；胡敕瑞：《“太甬”“大同”究竟是谁？》，复旦2</w:t>
      </w:r>
      <w:r w:rsidRPr="00E24554">
        <w:t>0</w:t>
      </w:r>
      <w:r w:rsidRPr="00E24554">
        <w:rPr>
          <w:rFonts w:hint="eastAsia"/>
        </w:rPr>
        <w:t>17年4月26日帖；刘刚：《试说〈清华柒·越公其事〉中的“</w:t>
      </w:r>
      <w:r w:rsidRPr="00E24554">
        <w:rPr>
          <w:rFonts w:ascii="宋体-方正超大字符集" w:eastAsia="宋体-方正超大字符集" w:hAnsi="宋体-方正超大字符集" w:cs="宋体-方正超大字符集" w:hint="eastAsia"/>
        </w:rPr>
        <w:t>𡐰</w:t>
      </w:r>
      <w:r w:rsidRPr="00E24554">
        <w:rPr>
          <w:rFonts w:hint="eastAsia"/>
        </w:rPr>
        <w:t>”字》，复旦2</w:t>
      </w:r>
      <w:r w:rsidRPr="00E24554">
        <w:t>0</w:t>
      </w:r>
      <w:r w:rsidRPr="00E24554">
        <w:rPr>
          <w:rFonts w:hint="eastAsia"/>
        </w:rPr>
        <w:t>17年4月26日帖；林少平：《试说“越公其事”》，复旦2</w:t>
      </w:r>
      <w:r w:rsidRPr="00E24554">
        <w:t>0</w:t>
      </w:r>
      <w:r w:rsidRPr="00E24554">
        <w:rPr>
          <w:rFonts w:hint="eastAsia"/>
        </w:rPr>
        <w:t>17年4月27日帖；陈伟：《清华简七〈越公其事〉校读》，简帛2017年4月27日帖；蔡一峰：《清华简〈越公其事〉“继燎”“易火”解》，简帛2</w:t>
      </w:r>
      <w:r w:rsidRPr="00E24554">
        <w:t>0</w:t>
      </w:r>
      <w:r w:rsidRPr="00E24554">
        <w:rPr>
          <w:rFonts w:hint="eastAsia"/>
        </w:rPr>
        <w:t>17年5月1日帖；刘钊：《利用清华简（柒）校正古书一则》，复旦2017年5月1日帖；冯胜君：《试说清华七〈越公其事〉篇中的“继孽”》，复旦2017年5月2日帖；黔之菜：《清华简七〈越公其事〉篇之“冒”试解》，简帛2017年5月11日帖）；《说〈清华简（七）·越公其事〉之“潛攻”》，复旦2017年11月29日帖；王磊：《清华七〈越公其事.第一章〉札记一則》，简帛 2017年5月14日帖；蘇建洲：《清华七〈越公其事〉简三的几个字》，复旦2017年5月20日帖；许文献：《清华七〈越公其事〉简21“彖（从门）”字补說》，简帛2017年6月6日帖；</w:t>
      </w:r>
      <w:bookmarkStart w:id="3" w:name="_Hlk525132526"/>
      <w:r w:rsidRPr="00E24554">
        <w:rPr>
          <w:rFonts w:hint="eastAsia"/>
        </w:rPr>
        <w:t>萧旭：</w:t>
      </w:r>
      <w:bookmarkEnd w:id="3"/>
      <w:r w:rsidRPr="00E24554">
        <w:rPr>
          <w:rFonts w:hint="eastAsia"/>
        </w:rPr>
        <w:t>《清华简（七）校补（二）》，（复旦2017年6月25日帖）；萧旭：《清华简（七）校补（一）》，复旦2017年5月27日帖；侯瑞华：《〈清华七·越公其事〉“</w:t>
      </w:r>
      <w:r w:rsidRPr="00E24554">
        <w:rPr>
          <w:rFonts w:ascii="宋体-方正超大字符集" w:eastAsia="宋体-方正超大字符集" w:hAnsi="宋体-方正超大字符集" w:cs="宋体-方正超大字符集" w:hint="eastAsia"/>
        </w:rPr>
        <w:t>𡐰</w:t>
      </w:r>
      <w:r w:rsidRPr="00E24554">
        <w:rPr>
          <w:rFonts w:hint="eastAsia"/>
        </w:rPr>
        <w:t>”字补釋》，复旦2017年7月25日帖；林少平：《清华简七〈越公其事〉“大</w:t>
      </w:r>
      <w:r w:rsidRPr="00E24554">
        <w:rPr>
          <w:rFonts w:ascii="宋体-方正超大字符集" w:eastAsia="宋体-方正超大字符集" w:hAnsi="宋体-方正超大字符集" w:cs="宋体-方正超大字符集" w:hint="eastAsia"/>
        </w:rPr>
        <w:t>𡐰</w:t>
      </w:r>
      <w:r w:rsidRPr="00E24554">
        <w:rPr>
          <w:rFonts w:hint="eastAsia"/>
        </w:rPr>
        <w:t>越民”试解》，复旦2017年9月25日帖；葛希谷：《是“刈”還是“穫”》，复旦2017年11月26日帖；</w:t>
      </w:r>
      <w:proofErr w:type="gramStart"/>
      <w:r w:rsidRPr="00E24554">
        <w:rPr>
          <w:rFonts w:hint="eastAsia"/>
        </w:rPr>
        <w:t>滕勝霖</w:t>
      </w:r>
      <w:proofErr w:type="gramEnd"/>
      <w:r w:rsidRPr="00E24554">
        <w:rPr>
          <w:rFonts w:hint="eastAsia"/>
        </w:rPr>
        <w:t>：《清華簡〈越公其事〉“幽芒”“幽塗”考》，简帛2018年5月29日帖；翁倩：《释清华简〈越公其事〉的“遊民”》，复旦2018年6月6日帖。</w:t>
      </w:r>
    </w:p>
  </w:endnote>
  <w:endnote w:id="16">
    <w:p w:rsidR="00E24554" w:rsidRPr="00E24554" w:rsidRDefault="00E24554" w:rsidP="00E24554">
      <w:r w:rsidRPr="00E24554">
        <w:endnoteRef/>
      </w:r>
      <w:r w:rsidRPr="00E24554">
        <w:t xml:space="preserve"> </w:t>
      </w:r>
      <w:r w:rsidRPr="00E24554">
        <w:rPr>
          <w:rFonts w:hint="eastAsia"/>
        </w:rPr>
        <w:t>魏栋：《清华简〈越公其事〉合文“八千”刍议》，《殷都学刊》</w:t>
      </w:r>
      <w:r w:rsidRPr="00E24554">
        <w:t>2017</w:t>
      </w:r>
      <w:r w:rsidRPr="00E24554">
        <w:rPr>
          <w:rFonts w:hint="eastAsia"/>
        </w:rPr>
        <w:t>年第</w:t>
      </w:r>
      <w:r w:rsidRPr="00E24554">
        <w:t>3</w:t>
      </w:r>
      <w:r w:rsidRPr="00E24554">
        <w:rPr>
          <w:rFonts w:hint="eastAsia"/>
        </w:rPr>
        <w:t>期。</w:t>
      </w:r>
    </w:p>
  </w:endnote>
  <w:endnote w:id="17">
    <w:p w:rsidR="00E24554" w:rsidRPr="00E24554" w:rsidRDefault="00E24554" w:rsidP="00E24554">
      <w:r w:rsidRPr="00E24554">
        <w:endnoteRef/>
      </w:r>
      <w:r w:rsidRPr="00E24554">
        <w:rPr>
          <w:rFonts w:hint="eastAsia"/>
        </w:rPr>
        <w:t xml:space="preserve"> 吴祺：《清华简〈管仲〉〈越公其事〉校释三则》，《出土文献》2018</w:t>
      </w:r>
      <w:r w:rsidRPr="00E24554">
        <w:rPr>
          <w:rFonts w:hint="eastAsia"/>
        </w:rPr>
        <w:t>年第1期。</w:t>
      </w:r>
    </w:p>
  </w:endnote>
  <w:endnote w:id="18">
    <w:p w:rsidR="00E24554" w:rsidRPr="00E24554" w:rsidRDefault="00E24554" w:rsidP="00E24554">
      <w:r w:rsidRPr="00E24554">
        <w:endnoteRef/>
      </w:r>
      <w:r w:rsidRPr="00E24554">
        <w:rPr>
          <w:rFonts w:hint="eastAsia"/>
        </w:rPr>
        <w:t xml:space="preserve"> 石小力：《上古汉语“兹”用为“使”说》，《语言科学》</w:t>
      </w:r>
      <w:r w:rsidRPr="00E24554">
        <w:t>2017</w:t>
      </w:r>
      <w:r w:rsidRPr="00E24554">
        <w:rPr>
          <w:rFonts w:hint="eastAsia"/>
        </w:rPr>
        <w:t>年第</w:t>
      </w:r>
      <w:r w:rsidRPr="00E24554">
        <w:t>6</w:t>
      </w:r>
      <w:r w:rsidRPr="00E24554">
        <w:rPr>
          <w:rFonts w:hint="eastAsia"/>
        </w:rPr>
        <w:t>期。</w:t>
      </w:r>
    </w:p>
  </w:endnote>
  <w:endnote w:id="19">
    <w:p w:rsidR="00E24554" w:rsidRPr="00E24554" w:rsidRDefault="00E24554" w:rsidP="00E24554">
      <w:r w:rsidRPr="00E24554">
        <w:endnoteRef/>
      </w:r>
      <w:r w:rsidRPr="00E24554">
        <w:rPr>
          <w:rFonts w:hint="eastAsia"/>
        </w:rPr>
        <w:t xml:space="preserve"> 王宁：《由清华简〈越公其事〉的“伇”释甲骨文的“斩”与“渐”》，复旦2018</w:t>
      </w:r>
      <w:r w:rsidRPr="00E24554">
        <w:rPr>
          <w:rFonts w:hint="eastAsia"/>
        </w:rPr>
        <w:t>年6月29日帖。</w:t>
      </w:r>
    </w:p>
  </w:endnote>
  <w:endnote w:id="20">
    <w:p w:rsidR="00E24554" w:rsidRPr="00E24554" w:rsidRDefault="00E24554" w:rsidP="00E24554">
      <w:r w:rsidRPr="00E24554">
        <w:endnoteRef/>
      </w:r>
      <w:r w:rsidRPr="00E24554">
        <w:rPr>
          <w:rFonts w:hint="eastAsia"/>
        </w:rPr>
        <w:t xml:space="preserve"> 张惟捷：《安阳大司空村新出刻辞胛骨补释》，先秦史工作室2018</w:t>
      </w:r>
      <w:r w:rsidRPr="00E24554">
        <w:rPr>
          <w:rFonts w:hint="eastAsia"/>
        </w:rPr>
        <w:t>年5月1日贴；陈剑：《简谈对金文“蔑懋”问题的一些新认识》，复旦2017年5月5日贴。</w:t>
      </w:r>
    </w:p>
  </w:endnote>
  <w:endnote w:id="21">
    <w:p w:rsidR="00E24554" w:rsidRPr="00E24554" w:rsidRDefault="00E24554" w:rsidP="00E24554">
      <w:r w:rsidRPr="00E24554">
        <w:endnoteRef/>
      </w:r>
      <w:r w:rsidRPr="00E24554">
        <w:t xml:space="preserve"> </w:t>
      </w:r>
      <w:r w:rsidRPr="00E24554">
        <w:rPr>
          <w:rFonts w:hint="eastAsia"/>
        </w:rPr>
        <w:t>李守奎：《〈越公其事〉与句践灭吴的历史事实及故事流传》，《文物》</w:t>
      </w:r>
      <w:r w:rsidRPr="00E24554">
        <w:t>2017</w:t>
      </w:r>
      <w:r w:rsidRPr="00E24554">
        <w:rPr>
          <w:rFonts w:hint="eastAsia"/>
        </w:rPr>
        <w:t>年第</w:t>
      </w:r>
      <w:r w:rsidRPr="00E24554">
        <w:t>6</w:t>
      </w:r>
      <w:r w:rsidRPr="00E24554">
        <w:rPr>
          <w:rFonts w:hint="eastAsia"/>
        </w:rPr>
        <w:t>期。</w:t>
      </w:r>
    </w:p>
  </w:endnote>
  <w:endnote w:id="22">
    <w:p w:rsidR="00E24554" w:rsidRPr="00E24554" w:rsidRDefault="00E24554" w:rsidP="00E24554">
      <w:r w:rsidRPr="00E24554">
        <w:endnoteRef/>
      </w:r>
      <w:r w:rsidRPr="00E24554">
        <w:t xml:space="preserve"> </w:t>
      </w:r>
      <w:r w:rsidRPr="00E24554">
        <w:rPr>
          <w:rFonts w:hint="eastAsia"/>
        </w:rPr>
        <w:t>李守奎：《清华简中的伍之鸡与历史上的鸡父之战》，《中国高校社会科学》第5</w:t>
      </w:r>
      <w:r w:rsidRPr="00E24554">
        <w:rPr>
          <w:rFonts w:hint="eastAsia"/>
        </w:rPr>
        <w:t>期。</w:t>
      </w:r>
    </w:p>
  </w:endnote>
  <w:endnote w:id="23">
    <w:p w:rsidR="00E24554" w:rsidRPr="00E24554" w:rsidRDefault="00E24554" w:rsidP="00E24554">
      <w:r w:rsidRPr="00E24554">
        <w:endnoteRef/>
      </w:r>
      <w:r w:rsidRPr="00E24554">
        <w:t xml:space="preserve"> </w:t>
      </w:r>
      <w:r w:rsidRPr="00E24554">
        <w:rPr>
          <w:rFonts w:hint="eastAsia"/>
        </w:rPr>
        <w:t>魏栋：《清华简〈越公其事〉合文“八千”刍议》，《殷都学刊》</w:t>
      </w:r>
      <w:r w:rsidRPr="00E24554">
        <w:t>2017</w:t>
      </w:r>
      <w:r w:rsidRPr="00E24554">
        <w:rPr>
          <w:rFonts w:hint="eastAsia"/>
        </w:rPr>
        <w:t>年第</w:t>
      </w:r>
      <w:r w:rsidRPr="00E24554">
        <w:t>3</w:t>
      </w:r>
      <w:r w:rsidRPr="00E24554">
        <w:rPr>
          <w:rFonts w:hint="eastAsia"/>
        </w:rPr>
        <w:t>期。</w:t>
      </w:r>
    </w:p>
  </w:endnote>
  <w:endnote w:id="24">
    <w:p w:rsidR="00E24554" w:rsidRPr="00E24554" w:rsidRDefault="00E24554" w:rsidP="00E24554">
      <w:r w:rsidRPr="00E24554">
        <w:endnoteRef/>
      </w:r>
      <w:r w:rsidRPr="00E24554">
        <w:t xml:space="preserve"> </w:t>
      </w:r>
      <w:r w:rsidRPr="00E24554">
        <w:rPr>
          <w:rFonts w:hint="eastAsia"/>
        </w:rPr>
        <w:t>熊贤品：《论清华简七〈越公其事〉》，《东吴学术》2018</w:t>
      </w:r>
      <w:r w:rsidRPr="00E24554">
        <w:rPr>
          <w:rFonts w:hint="eastAsia"/>
        </w:rPr>
        <w:t>年第1期。</w:t>
      </w:r>
    </w:p>
  </w:endnote>
  <w:endnote w:id="25">
    <w:p w:rsidR="00E24554" w:rsidRPr="00E24554" w:rsidRDefault="00E24554" w:rsidP="00E24554">
      <w:r w:rsidRPr="00E24554">
        <w:endnoteRef/>
      </w:r>
      <w:r w:rsidRPr="00E24554">
        <w:t xml:space="preserve"> </w:t>
      </w:r>
      <w:r w:rsidRPr="00E24554">
        <w:rPr>
          <w:rFonts w:hint="eastAsia"/>
        </w:rPr>
        <w:t>罗云君：《清华简〈越公其事〉研究》。</w:t>
      </w:r>
    </w:p>
  </w:endnote>
  <w:endnote w:id="26">
    <w:p w:rsidR="00E24554" w:rsidRPr="00E24554" w:rsidRDefault="00E24554" w:rsidP="00E24554">
      <w:r w:rsidRPr="00E24554">
        <w:endnoteRef/>
      </w:r>
      <w:r w:rsidRPr="00E24554">
        <w:t xml:space="preserve"> </w:t>
      </w:r>
      <w:r w:rsidRPr="00E24554">
        <w:rPr>
          <w:rFonts w:hint="eastAsia"/>
        </w:rPr>
        <w:t>范常喜：《清华简〈越公其事〉与〈国语〉外交辞令对读札记一则》。</w:t>
      </w:r>
    </w:p>
  </w:endnote>
  <w:endnote w:id="27">
    <w:p w:rsidR="00E24554" w:rsidRPr="00E24554" w:rsidRDefault="00E24554" w:rsidP="00E24554">
      <w:r w:rsidRPr="00E24554">
        <w:endnoteRef/>
      </w:r>
      <w:r w:rsidRPr="00E24554">
        <w:rPr>
          <w:rFonts w:hint="eastAsia"/>
        </w:rPr>
        <w:t xml:space="preserve"> </w:t>
      </w:r>
      <w:r w:rsidRPr="00E24554">
        <w:rPr>
          <w:rFonts w:hint="eastAsia"/>
        </w:rPr>
        <w:t>翁倩：《清华简〈越公其事〉篇研读札记》。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B53704">
      <w:rPr>
        <w:sz w:val="18"/>
        <w:szCs w:val="18"/>
      </w:rPr>
      <w:t>9</w:t>
    </w:r>
    <w:r w:rsidRPr="00C01B1F">
      <w:rPr>
        <w:rFonts w:hint="eastAsia"/>
        <w:sz w:val="18"/>
        <w:szCs w:val="18"/>
      </w:rPr>
      <w:t>年</w:t>
    </w:r>
    <w:r w:rsidR="003C57BB">
      <w:rPr>
        <w:sz w:val="18"/>
        <w:szCs w:val="18"/>
      </w:rPr>
      <w:t>1</w:t>
    </w:r>
    <w:r w:rsidRPr="00C01B1F">
      <w:rPr>
        <w:rFonts w:hint="eastAsia"/>
        <w:sz w:val="18"/>
        <w:szCs w:val="18"/>
      </w:rPr>
      <w:t>月</w:t>
    </w:r>
    <w:r w:rsidR="0097687C">
      <w:rPr>
        <w:rFonts w:hint="eastAsia"/>
        <w:sz w:val="18"/>
        <w:szCs w:val="18"/>
      </w:rPr>
      <w:t>2</w:t>
    </w:r>
    <w:r w:rsidR="00430B93">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5C1F1C">
      <w:rPr>
        <w:rFonts w:hint="eastAsia"/>
        <w:sz w:val="18"/>
        <w:szCs w:val="18"/>
      </w:rPr>
      <w:t>1</w:t>
    </w:r>
    <w:r w:rsidRPr="00C01B1F">
      <w:rPr>
        <w:rFonts w:hint="eastAsia"/>
        <w:sz w:val="18"/>
        <w:szCs w:val="18"/>
      </w:rPr>
      <w:t>月</w:t>
    </w:r>
    <w:r w:rsidR="00430B93">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F32" w:rsidRDefault="00CA7F32" w:rsidP="00CB0024">
      <w:r>
        <w:separator/>
      </w:r>
    </w:p>
  </w:footnote>
  <w:footnote w:type="continuationSeparator" w:id="0">
    <w:p w:rsidR="00CA7F32" w:rsidRDefault="00CA7F3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97687C">
      <w:rPr>
        <w:rFonts w:hint="eastAsia"/>
      </w:rPr>
      <w:t>7</w:t>
    </w:r>
    <w:r w:rsidR="00430B9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41.25pt;height:51.75pt;visibility:visible" o:bullet="t">
        <v:imagedata r:id="rId1" o:title=""/>
      </v:shape>
    </w:pict>
  </w:numPicBullet>
  <w:numPicBullet w:numPicBulletId="1">
    <w:pict>
      <v:shape id="_x0000_i1093" type="#_x0000_t75" style="width:20.25pt;height:25.5pt" o:bullet="t">
        <v:imagedata r:id="rId2" o:title=""/>
        <o:lock v:ext="edit" aspectratio="f"/>
      </v:shape>
    </w:pict>
  </w:numPicBullet>
  <w:numPicBullet w:numPicBulletId="2">
    <w:pict>
      <v:shape id="_x0000_i1094" type="#_x0000_t75" style="width:30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8" w15:restartNumberingAfterBreak="0">
    <w:nsid w:val="5A707373"/>
    <w:multiLevelType w:val="singleLevel"/>
    <w:tmpl w:val="5A707373"/>
    <w:lvl w:ilvl="0">
      <w:start w:val="1"/>
      <w:numFmt w:val="chineseCounting"/>
      <w:suff w:val="nothing"/>
      <w:lvlText w:val="第%1，"/>
      <w:lvlJc w:val="left"/>
    </w:lvl>
  </w:abstractNum>
  <w:abstractNum w:abstractNumId="19"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3"/>
  </w:num>
  <w:num w:numId="3">
    <w:abstractNumId w:val="12"/>
  </w:num>
  <w:num w:numId="4">
    <w:abstractNumId w:val="17"/>
  </w:num>
  <w:num w:numId="5">
    <w:abstractNumId w:val="2"/>
  </w:num>
  <w:num w:numId="6">
    <w:abstractNumId w:val="18"/>
  </w:num>
  <w:num w:numId="7">
    <w:abstractNumId w:val="14"/>
  </w:num>
  <w:num w:numId="8">
    <w:abstractNumId w:val="1"/>
    <w:lvlOverride w:ilvl="0">
      <w:startOverride w:val="1"/>
    </w:lvlOverride>
  </w:num>
  <w:num w:numId="9">
    <w:abstractNumId w:val="0"/>
    <w:lvlOverride w:ilvl="0">
      <w:startOverride w:val="1"/>
    </w:lvlOverride>
  </w:num>
  <w:num w:numId="10">
    <w:abstractNumId w:val="9"/>
  </w:num>
  <w:num w:numId="11">
    <w:abstractNumId w:val="13"/>
  </w:num>
  <w:num w:numId="12">
    <w:abstractNumId w:val="5"/>
  </w:num>
  <w:num w:numId="13">
    <w:abstractNumId w:val="3"/>
  </w:num>
  <w:num w:numId="14">
    <w:abstractNumId w:val="4"/>
  </w:num>
  <w:num w:numId="15">
    <w:abstractNumId w:val="16"/>
  </w:num>
  <w:num w:numId="16">
    <w:abstractNumId w:val="10"/>
  </w:num>
  <w:num w:numId="17">
    <w:abstractNumId w:val="7"/>
  </w:num>
  <w:num w:numId="18">
    <w:abstractNumId w:val="21"/>
  </w:num>
  <w:num w:numId="19">
    <w:abstractNumId w:val="19"/>
  </w:num>
  <w:num w:numId="20">
    <w:abstractNumId w:val="24"/>
  </w:num>
  <w:num w:numId="21">
    <w:abstractNumId w:val="8"/>
  </w:num>
  <w:num w:numId="22">
    <w:abstractNumId w:val="20"/>
  </w:num>
  <w:num w:numId="23">
    <w:abstractNumId w:val="15"/>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0B51"/>
    <w:rsid w:val="00031027"/>
    <w:rsid w:val="00032E60"/>
    <w:rsid w:val="00033997"/>
    <w:rsid w:val="00033F9D"/>
    <w:rsid w:val="00035922"/>
    <w:rsid w:val="00037D45"/>
    <w:rsid w:val="00041E3D"/>
    <w:rsid w:val="00043973"/>
    <w:rsid w:val="00050E7C"/>
    <w:rsid w:val="000626A6"/>
    <w:rsid w:val="00062FE9"/>
    <w:rsid w:val="0006648C"/>
    <w:rsid w:val="00072A08"/>
    <w:rsid w:val="00073508"/>
    <w:rsid w:val="000739AB"/>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52D8"/>
    <w:rsid w:val="000D6B61"/>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40894"/>
    <w:rsid w:val="001433AC"/>
    <w:rsid w:val="00154987"/>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5F88"/>
    <w:rsid w:val="001D1713"/>
    <w:rsid w:val="001D184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360F"/>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D6A"/>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A4A31"/>
    <w:rsid w:val="003C12E0"/>
    <w:rsid w:val="003C3289"/>
    <w:rsid w:val="003C4800"/>
    <w:rsid w:val="003C4D06"/>
    <w:rsid w:val="003C57BB"/>
    <w:rsid w:val="003D46B8"/>
    <w:rsid w:val="003E1354"/>
    <w:rsid w:val="003E1502"/>
    <w:rsid w:val="003E1E5C"/>
    <w:rsid w:val="003E4E82"/>
    <w:rsid w:val="003E5FD9"/>
    <w:rsid w:val="003F08C1"/>
    <w:rsid w:val="003F2D79"/>
    <w:rsid w:val="003F604F"/>
    <w:rsid w:val="00403C1D"/>
    <w:rsid w:val="0040573D"/>
    <w:rsid w:val="004062BF"/>
    <w:rsid w:val="004127DD"/>
    <w:rsid w:val="00420CE9"/>
    <w:rsid w:val="00430178"/>
    <w:rsid w:val="0043067E"/>
    <w:rsid w:val="00430B93"/>
    <w:rsid w:val="00430CA7"/>
    <w:rsid w:val="00430F52"/>
    <w:rsid w:val="00431BEA"/>
    <w:rsid w:val="00440BE0"/>
    <w:rsid w:val="0044129F"/>
    <w:rsid w:val="00445B35"/>
    <w:rsid w:val="004555EF"/>
    <w:rsid w:val="00456FAD"/>
    <w:rsid w:val="00461B64"/>
    <w:rsid w:val="004628E8"/>
    <w:rsid w:val="004639FF"/>
    <w:rsid w:val="00466A1C"/>
    <w:rsid w:val="00471E95"/>
    <w:rsid w:val="004756A5"/>
    <w:rsid w:val="0048364F"/>
    <w:rsid w:val="004860A2"/>
    <w:rsid w:val="004918C3"/>
    <w:rsid w:val="004A0388"/>
    <w:rsid w:val="004A0E1C"/>
    <w:rsid w:val="004A1861"/>
    <w:rsid w:val="004A2C87"/>
    <w:rsid w:val="004A7E18"/>
    <w:rsid w:val="004B0674"/>
    <w:rsid w:val="004B0D90"/>
    <w:rsid w:val="004B12DE"/>
    <w:rsid w:val="004B405F"/>
    <w:rsid w:val="004B4723"/>
    <w:rsid w:val="004C537A"/>
    <w:rsid w:val="004C718E"/>
    <w:rsid w:val="004C725E"/>
    <w:rsid w:val="004D1FA3"/>
    <w:rsid w:val="004E0A07"/>
    <w:rsid w:val="004E6E8E"/>
    <w:rsid w:val="004E7F3E"/>
    <w:rsid w:val="004F244C"/>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14A0"/>
    <w:rsid w:val="00562694"/>
    <w:rsid w:val="00564069"/>
    <w:rsid w:val="00564F61"/>
    <w:rsid w:val="00570DB1"/>
    <w:rsid w:val="00570E9F"/>
    <w:rsid w:val="0057512B"/>
    <w:rsid w:val="005755E3"/>
    <w:rsid w:val="005816FB"/>
    <w:rsid w:val="00584AEE"/>
    <w:rsid w:val="00586B2B"/>
    <w:rsid w:val="005875DF"/>
    <w:rsid w:val="005935F3"/>
    <w:rsid w:val="00594347"/>
    <w:rsid w:val="0059627F"/>
    <w:rsid w:val="005A2D63"/>
    <w:rsid w:val="005A3011"/>
    <w:rsid w:val="005A419C"/>
    <w:rsid w:val="005B29BC"/>
    <w:rsid w:val="005B69A6"/>
    <w:rsid w:val="005C08D9"/>
    <w:rsid w:val="005C1A21"/>
    <w:rsid w:val="005C1F1C"/>
    <w:rsid w:val="005C51B2"/>
    <w:rsid w:val="005C6548"/>
    <w:rsid w:val="005D22B2"/>
    <w:rsid w:val="005D2F69"/>
    <w:rsid w:val="005D6688"/>
    <w:rsid w:val="005E2C50"/>
    <w:rsid w:val="005E695A"/>
    <w:rsid w:val="005F3E33"/>
    <w:rsid w:val="0060101E"/>
    <w:rsid w:val="00602939"/>
    <w:rsid w:val="006034F2"/>
    <w:rsid w:val="00610E9E"/>
    <w:rsid w:val="00613129"/>
    <w:rsid w:val="006166C7"/>
    <w:rsid w:val="00620A4F"/>
    <w:rsid w:val="00620F72"/>
    <w:rsid w:val="00623408"/>
    <w:rsid w:val="006245DA"/>
    <w:rsid w:val="0062642B"/>
    <w:rsid w:val="00630451"/>
    <w:rsid w:val="0063183B"/>
    <w:rsid w:val="0063231F"/>
    <w:rsid w:val="00634446"/>
    <w:rsid w:val="00634CBD"/>
    <w:rsid w:val="00635CF4"/>
    <w:rsid w:val="00635FA4"/>
    <w:rsid w:val="006374B2"/>
    <w:rsid w:val="00640B39"/>
    <w:rsid w:val="00643651"/>
    <w:rsid w:val="00644D5B"/>
    <w:rsid w:val="00650E61"/>
    <w:rsid w:val="0065256A"/>
    <w:rsid w:val="00654F46"/>
    <w:rsid w:val="00656716"/>
    <w:rsid w:val="00672EC8"/>
    <w:rsid w:val="00673C78"/>
    <w:rsid w:val="006778A0"/>
    <w:rsid w:val="00680D22"/>
    <w:rsid w:val="00682D5D"/>
    <w:rsid w:val="00686575"/>
    <w:rsid w:val="00693A5D"/>
    <w:rsid w:val="006A1B0D"/>
    <w:rsid w:val="006A3D5C"/>
    <w:rsid w:val="006A3F90"/>
    <w:rsid w:val="006B0F0D"/>
    <w:rsid w:val="006B1CF9"/>
    <w:rsid w:val="006B47EE"/>
    <w:rsid w:val="006B7475"/>
    <w:rsid w:val="006C41B9"/>
    <w:rsid w:val="006C6BAA"/>
    <w:rsid w:val="006D1E7B"/>
    <w:rsid w:val="006D3921"/>
    <w:rsid w:val="006D408B"/>
    <w:rsid w:val="006D6A90"/>
    <w:rsid w:val="006E0E0C"/>
    <w:rsid w:val="006E2F87"/>
    <w:rsid w:val="006E6C5C"/>
    <w:rsid w:val="006E714C"/>
    <w:rsid w:val="006E760F"/>
    <w:rsid w:val="006E7B7B"/>
    <w:rsid w:val="006F16C1"/>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75E19"/>
    <w:rsid w:val="007810E0"/>
    <w:rsid w:val="007954EC"/>
    <w:rsid w:val="007B0257"/>
    <w:rsid w:val="007B1A80"/>
    <w:rsid w:val="007C4028"/>
    <w:rsid w:val="007C6D48"/>
    <w:rsid w:val="007D5FCD"/>
    <w:rsid w:val="007D776B"/>
    <w:rsid w:val="007E556D"/>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58E"/>
    <w:rsid w:val="00857AC9"/>
    <w:rsid w:val="00865714"/>
    <w:rsid w:val="00866FD9"/>
    <w:rsid w:val="00881594"/>
    <w:rsid w:val="008839BB"/>
    <w:rsid w:val="00883E9F"/>
    <w:rsid w:val="00884DD1"/>
    <w:rsid w:val="00886963"/>
    <w:rsid w:val="008875BA"/>
    <w:rsid w:val="00891185"/>
    <w:rsid w:val="0089710F"/>
    <w:rsid w:val="008A3266"/>
    <w:rsid w:val="008A7F84"/>
    <w:rsid w:val="008B1838"/>
    <w:rsid w:val="008B201B"/>
    <w:rsid w:val="008B7DE7"/>
    <w:rsid w:val="008C0398"/>
    <w:rsid w:val="008C1BEA"/>
    <w:rsid w:val="008C4C09"/>
    <w:rsid w:val="008C4EF3"/>
    <w:rsid w:val="008C5A22"/>
    <w:rsid w:val="008C6FD3"/>
    <w:rsid w:val="008C76B9"/>
    <w:rsid w:val="008C7A92"/>
    <w:rsid w:val="008D30E6"/>
    <w:rsid w:val="008D3B25"/>
    <w:rsid w:val="008D7BDB"/>
    <w:rsid w:val="008E49CB"/>
    <w:rsid w:val="008E5D6E"/>
    <w:rsid w:val="008E6624"/>
    <w:rsid w:val="008F4C76"/>
    <w:rsid w:val="008F65AF"/>
    <w:rsid w:val="00903942"/>
    <w:rsid w:val="00904443"/>
    <w:rsid w:val="00905A67"/>
    <w:rsid w:val="00905FB1"/>
    <w:rsid w:val="009064B9"/>
    <w:rsid w:val="0091798A"/>
    <w:rsid w:val="00920906"/>
    <w:rsid w:val="00923D4F"/>
    <w:rsid w:val="009250E3"/>
    <w:rsid w:val="009263C8"/>
    <w:rsid w:val="00933EFE"/>
    <w:rsid w:val="00941801"/>
    <w:rsid w:val="00941B6B"/>
    <w:rsid w:val="009429E7"/>
    <w:rsid w:val="009477D9"/>
    <w:rsid w:val="00951E3D"/>
    <w:rsid w:val="00955088"/>
    <w:rsid w:val="009568AB"/>
    <w:rsid w:val="00962238"/>
    <w:rsid w:val="00962366"/>
    <w:rsid w:val="00962DFC"/>
    <w:rsid w:val="00964805"/>
    <w:rsid w:val="00970316"/>
    <w:rsid w:val="00970D12"/>
    <w:rsid w:val="0097125F"/>
    <w:rsid w:val="009717FA"/>
    <w:rsid w:val="0097687C"/>
    <w:rsid w:val="00977A96"/>
    <w:rsid w:val="00986333"/>
    <w:rsid w:val="0098705C"/>
    <w:rsid w:val="00987883"/>
    <w:rsid w:val="009911B7"/>
    <w:rsid w:val="00992297"/>
    <w:rsid w:val="00994CD0"/>
    <w:rsid w:val="00995DB3"/>
    <w:rsid w:val="009A0FAD"/>
    <w:rsid w:val="009A1A76"/>
    <w:rsid w:val="009A569F"/>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6D1C"/>
    <w:rsid w:val="00A303C4"/>
    <w:rsid w:val="00A31937"/>
    <w:rsid w:val="00A33350"/>
    <w:rsid w:val="00A35CE6"/>
    <w:rsid w:val="00A43B2B"/>
    <w:rsid w:val="00A4525C"/>
    <w:rsid w:val="00A52734"/>
    <w:rsid w:val="00A553B6"/>
    <w:rsid w:val="00A60B6E"/>
    <w:rsid w:val="00A626FC"/>
    <w:rsid w:val="00A63856"/>
    <w:rsid w:val="00A64CC3"/>
    <w:rsid w:val="00A664EB"/>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0F66"/>
    <w:rsid w:val="00B23528"/>
    <w:rsid w:val="00B27C68"/>
    <w:rsid w:val="00B31DEE"/>
    <w:rsid w:val="00B31E96"/>
    <w:rsid w:val="00B3377F"/>
    <w:rsid w:val="00B34DD8"/>
    <w:rsid w:val="00B43721"/>
    <w:rsid w:val="00B47060"/>
    <w:rsid w:val="00B47693"/>
    <w:rsid w:val="00B50CD0"/>
    <w:rsid w:val="00B53704"/>
    <w:rsid w:val="00B63ADF"/>
    <w:rsid w:val="00B705BC"/>
    <w:rsid w:val="00B70B0A"/>
    <w:rsid w:val="00B7298C"/>
    <w:rsid w:val="00B73A04"/>
    <w:rsid w:val="00B75C45"/>
    <w:rsid w:val="00B760FD"/>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0E07"/>
    <w:rsid w:val="00C36956"/>
    <w:rsid w:val="00C40577"/>
    <w:rsid w:val="00C405CB"/>
    <w:rsid w:val="00C410F4"/>
    <w:rsid w:val="00C43658"/>
    <w:rsid w:val="00C46047"/>
    <w:rsid w:val="00C52B1A"/>
    <w:rsid w:val="00C540E0"/>
    <w:rsid w:val="00C601E8"/>
    <w:rsid w:val="00C634BC"/>
    <w:rsid w:val="00C639B5"/>
    <w:rsid w:val="00C673BD"/>
    <w:rsid w:val="00C72E17"/>
    <w:rsid w:val="00C7337F"/>
    <w:rsid w:val="00C75C1A"/>
    <w:rsid w:val="00C86E98"/>
    <w:rsid w:val="00C90543"/>
    <w:rsid w:val="00C935B4"/>
    <w:rsid w:val="00C9386D"/>
    <w:rsid w:val="00C9729E"/>
    <w:rsid w:val="00CA244F"/>
    <w:rsid w:val="00CA455C"/>
    <w:rsid w:val="00CA7F32"/>
    <w:rsid w:val="00CB0024"/>
    <w:rsid w:val="00CB3ECE"/>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7C7"/>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0E83"/>
    <w:rsid w:val="00E01E6C"/>
    <w:rsid w:val="00E03B22"/>
    <w:rsid w:val="00E0700B"/>
    <w:rsid w:val="00E12328"/>
    <w:rsid w:val="00E2162E"/>
    <w:rsid w:val="00E24554"/>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7D2"/>
    <w:rsid w:val="00ED2E6F"/>
    <w:rsid w:val="00ED4220"/>
    <w:rsid w:val="00ED7DB3"/>
    <w:rsid w:val="00EE0568"/>
    <w:rsid w:val="00EE528D"/>
    <w:rsid w:val="00EE6C33"/>
    <w:rsid w:val="00EE6DB8"/>
    <w:rsid w:val="00EE7750"/>
    <w:rsid w:val="00EF0E85"/>
    <w:rsid w:val="00EF2B6D"/>
    <w:rsid w:val="00EF302F"/>
    <w:rsid w:val="00F00938"/>
    <w:rsid w:val="00F02015"/>
    <w:rsid w:val="00F06B67"/>
    <w:rsid w:val="00F10AFC"/>
    <w:rsid w:val="00F20395"/>
    <w:rsid w:val="00F232AB"/>
    <w:rsid w:val="00F233DD"/>
    <w:rsid w:val="00F27D53"/>
    <w:rsid w:val="00F30E5D"/>
    <w:rsid w:val="00F31282"/>
    <w:rsid w:val="00F322A5"/>
    <w:rsid w:val="00F34E9E"/>
    <w:rsid w:val="00F34EBF"/>
    <w:rsid w:val="00F36F17"/>
    <w:rsid w:val="00F459C2"/>
    <w:rsid w:val="00F53292"/>
    <w:rsid w:val="00F5440A"/>
    <w:rsid w:val="00F54627"/>
    <w:rsid w:val="00F6326B"/>
    <w:rsid w:val="00F63AE4"/>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D6300"/>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02AF-AAAB-4DF9-B7B9-FD0A89C6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10</Pages>
  <Words>1970</Words>
  <Characters>1991</Characters>
  <Application>Microsoft Office Word</Application>
  <DocSecurity>0</DocSecurity>
  <Lines>221</Lines>
  <Paragraphs>330</Paragraphs>
  <ScaleCrop>false</ScaleCrop>
  <Company>GWZ</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257</cp:revision>
  <dcterms:created xsi:type="dcterms:W3CDTF">2018-01-27T09:07:00Z</dcterms:created>
  <dcterms:modified xsi:type="dcterms:W3CDTF">2019-01-31T11:02:00Z</dcterms:modified>
</cp:coreProperties>
</file>