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51" w:rsidRPr="00953751" w:rsidRDefault="00953751" w:rsidP="00953751">
      <w:pPr>
        <w:pStyle w:val="ab"/>
      </w:pPr>
      <w:bookmarkStart w:id="0" w:name="OLE_LINK1"/>
      <w:bookmarkStart w:id="1" w:name="_GoBack"/>
      <w:r w:rsidRPr="00953751">
        <w:rPr>
          <w:rFonts w:hint="eastAsia"/>
        </w:rPr>
        <w:t>古籍點校法的力作</w:t>
      </w:r>
    </w:p>
    <w:p w:rsidR="00953751" w:rsidRPr="00953751" w:rsidRDefault="00953751" w:rsidP="00953751">
      <w:pPr>
        <w:pStyle w:val="ab"/>
      </w:pPr>
      <w:r w:rsidRPr="00953751">
        <w:rPr>
          <w:rFonts w:hint="eastAsia"/>
        </w:rPr>
        <w:t>——讀《〈周禮正義〉點校考訂》</w:t>
      </w:r>
    </w:p>
    <w:p w:rsidR="00953751" w:rsidRPr="00953751" w:rsidRDefault="00953751" w:rsidP="00953751"/>
    <w:p w:rsidR="00953751" w:rsidRPr="00953751" w:rsidRDefault="00953751" w:rsidP="00953751">
      <w:pPr>
        <w:pStyle w:val="ac"/>
      </w:pPr>
      <w:r w:rsidRPr="00953751">
        <w:rPr>
          <w:rFonts w:hint="eastAsia"/>
        </w:rPr>
        <w:t>李建國</w:t>
      </w:r>
    </w:p>
    <w:p w:rsidR="00953751" w:rsidRPr="00953751" w:rsidRDefault="00953751" w:rsidP="00953751">
      <w:pPr>
        <w:pStyle w:val="ac"/>
      </w:pPr>
      <w:r w:rsidRPr="00953751">
        <w:rPr>
          <w:rFonts w:hint="eastAsia"/>
        </w:rPr>
        <w:t>（语文出版社）</w:t>
      </w:r>
    </w:p>
    <w:p w:rsidR="00953751" w:rsidRPr="00953751" w:rsidRDefault="00953751" w:rsidP="00953751"/>
    <w:p w:rsidR="00953751" w:rsidRPr="00953751" w:rsidRDefault="00953751" w:rsidP="00953751">
      <w:pPr>
        <w:pStyle w:val="aa"/>
        <w:ind w:firstLine="560"/>
        <w:rPr>
          <w:rFonts w:ascii="楷体" w:eastAsia="楷体" w:hAnsi="楷体"/>
        </w:rPr>
      </w:pPr>
      <w:r w:rsidRPr="00953751">
        <w:rPr>
          <w:rFonts w:ascii="楷体" w:eastAsia="楷体" w:hAnsi="楷体"/>
        </w:rPr>
        <w:t>提要</w:t>
      </w:r>
      <w:r w:rsidRPr="00953751">
        <w:rPr>
          <w:rFonts w:ascii="楷体" w:eastAsia="楷体" w:hAnsi="楷体" w:hint="eastAsia"/>
        </w:rPr>
        <w:t>：顏春峰、汪少華所著《〈周禮正義〉點校考訂》由“考證”和“訂補”兩大部分構成，“考證”部分交待點校的理據和方法，“訂補”部分按照中華本頁碼順序逐一列舉考證部分之外的訂補結果，簡要說明依據。如果說《周禮正義》點校本準確解決了孫疏“是什麼”的問題，那麼《〈周禮正義〉點校考訂》則回答了“為什麼”和“怎麼樣”的問題，是考證理論和實踐方法的結晶。歸納條例，探討規律，總結方法，昭示來學，正是此書的價值所在；作為授人以漁、嘉惠學林的力作，對提高古籍整理水準、培養古籍點校能力，必將有積極作用。</w:t>
      </w:r>
    </w:p>
    <w:p w:rsidR="00953751" w:rsidRPr="00953751" w:rsidRDefault="00953751" w:rsidP="00953751">
      <w:pPr>
        <w:pStyle w:val="aa"/>
        <w:ind w:firstLine="560"/>
        <w:rPr>
          <w:rFonts w:ascii="楷体" w:eastAsia="楷体" w:hAnsi="楷体"/>
        </w:rPr>
      </w:pPr>
      <w:r w:rsidRPr="00953751">
        <w:rPr>
          <w:rFonts w:ascii="楷体" w:eastAsia="楷体" w:hAnsi="楷体"/>
        </w:rPr>
        <w:t>關鍵詞</w:t>
      </w:r>
      <w:r w:rsidRPr="00953751">
        <w:rPr>
          <w:rFonts w:ascii="楷体" w:eastAsia="楷体" w:hAnsi="楷体" w:hint="eastAsia"/>
        </w:rPr>
        <w:t>：周禮正義；《〈周禮正義〉點校考訂》；點校</w:t>
      </w:r>
    </w:p>
    <w:p w:rsidR="00953751" w:rsidRPr="00953751" w:rsidRDefault="00953751" w:rsidP="00953751"/>
    <w:p w:rsidR="00953751" w:rsidRPr="00455D6B" w:rsidRDefault="00953751" w:rsidP="00455D6B">
      <w:pPr>
        <w:pStyle w:val="aa"/>
        <w:ind w:firstLine="562"/>
        <w:jc w:val="center"/>
        <w:rPr>
          <w:b/>
        </w:rPr>
      </w:pPr>
      <w:r w:rsidRPr="00455D6B">
        <w:rPr>
          <w:b/>
        </w:rPr>
        <w:t>一</w:t>
      </w:r>
    </w:p>
    <w:p w:rsidR="00953751" w:rsidRPr="00953751" w:rsidRDefault="00953751" w:rsidP="00953751">
      <w:pPr>
        <w:pStyle w:val="aa"/>
        <w:ind w:firstLine="560"/>
      </w:pPr>
      <w:r w:rsidRPr="00953751">
        <w:rPr>
          <w:rFonts w:hint="eastAsia"/>
        </w:rPr>
        <w:t>浙江瑞安孫詒讓（</w:t>
      </w:r>
      <w:r w:rsidRPr="00953751">
        <w:t>1848－1908</w:t>
      </w:r>
      <w:r w:rsidRPr="00953751">
        <w:rPr>
          <w:rFonts w:hint="eastAsia"/>
        </w:rPr>
        <w:t>）與定海黃以周、德清俞樾並稱清末朴學三先生。孫氏學無常師，于經史諸子、金石文字之學，無不精</w:t>
      </w:r>
      <w:r w:rsidRPr="00953751">
        <w:rPr>
          <w:rFonts w:hint="eastAsia"/>
        </w:rPr>
        <w:lastRenderedPageBreak/>
        <w:t>研，著作豐贍。其代表作《周禮正義》秉持經世致用之旨，傳承乾嘉段王學之法，通今達古，窮源竟委，集《周禮》研究之大成，並為經學研究之翹楚。</w:t>
      </w:r>
      <w:r w:rsidRPr="00953751">
        <w:t>2000</w:t>
      </w:r>
      <w:r w:rsidRPr="00953751">
        <w:rPr>
          <w:rFonts w:hint="eastAsia"/>
        </w:rPr>
        <w:t>年季秋，中國訓詁學研究會在浙江瑞安舉辦“孫詒讓國際學術研討會”期間，許嘉璐先生倡議董理出版《孫詒讓全集》，獲與會學者積極響影，復得瑞安政府慷慨資助和中華書局鼎力承印，全集始於</w:t>
      </w:r>
      <w:r w:rsidRPr="00953751">
        <w:t>2008</w:t>
      </w:r>
      <w:r w:rsidRPr="00953751">
        <w:rPr>
          <w:rFonts w:hint="eastAsia"/>
        </w:rPr>
        <w:t>年孫氏百誕之際陸續問世。汪少華先生不避負重，毅然承擔《周禮正義》點校任務，孜孜矻矻，勤勤懇懇，歷時五年，終成正果。此書榮獲“致敬國學：第二屆全球華人國學大典”國學成果獎，並被評為</w:t>
      </w:r>
      <w:r w:rsidRPr="00953751">
        <w:t>2015</w:t>
      </w:r>
      <w:r w:rsidRPr="00953751">
        <w:rPr>
          <w:rFonts w:hint="eastAsia"/>
        </w:rPr>
        <w:t>年度全國優秀古籍圖書獎二等獎，可謂天道酬勤、實至名歸。</w:t>
      </w:r>
    </w:p>
    <w:p w:rsidR="00953751" w:rsidRPr="00953751" w:rsidRDefault="00953751" w:rsidP="00953751">
      <w:pPr>
        <w:pStyle w:val="aa"/>
        <w:ind w:firstLine="560"/>
      </w:pPr>
      <w:r w:rsidRPr="00953751">
        <w:rPr>
          <w:rFonts w:hint="eastAsia"/>
        </w:rPr>
        <w:t>如果說《周禮正義》點校本是汪少華先生殷勤治學、奉獻給讀者研究《周礼》的古籍整理范本，那麼汪少華與顏春峰二位合作發表的考證、訂正論文，即今結集出版的《〈周禮正義〉點校考訂》（以下簡稱《考訂》），則是探讨古籍點校理论方法的結晶，是授人以漁、嘉惠學林的力作。《考訂》全書由“考證”和“訂補”兩大部分構成，“考證”部分是論文的結集，“訂正楚本和中華本</w:t>
      </w:r>
      <w:r w:rsidRPr="00953751">
        <w:t>14類28</w:t>
      </w:r>
      <w:r w:rsidRPr="00953751">
        <w:rPr>
          <w:rFonts w:hint="eastAsia"/>
        </w:rPr>
        <w:t>例的誤改，揭示臺灣師範大學藏孫詒讓批校本的校勘價值，由中華本</w:t>
      </w:r>
      <w:r w:rsidRPr="00953751">
        <w:t>55例從11</w:t>
      </w:r>
      <w:r w:rsidRPr="00953751">
        <w:rPr>
          <w:rFonts w:hint="eastAsia"/>
        </w:rPr>
        <w:t>個角度概括避免破句的方法、由中華本</w:t>
      </w:r>
      <w:r w:rsidRPr="00953751">
        <w:t>87例從10</w:t>
      </w:r>
      <w:r w:rsidRPr="00953751">
        <w:rPr>
          <w:rFonts w:hint="eastAsia"/>
        </w:rPr>
        <w:t>個方面總結判斷引文</w:t>
      </w:r>
      <w:r w:rsidRPr="00953751">
        <w:rPr>
          <w:rFonts w:hint="eastAsia"/>
        </w:rPr>
        <w:lastRenderedPageBreak/>
        <w:t>訖止的要點，綜述中華本疑爲失誤類型，合計約</w:t>
      </w:r>
      <w:r w:rsidRPr="00953751">
        <w:t>430</w:t>
      </w:r>
      <w:r w:rsidRPr="00953751">
        <w:rPr>
          <w:rFonts w:hint="eastAsia"/>
        </w:rPr>
        <w:t>處”（《前言》），主要交待點校的理據和方法；“訂補”部分按照中華本頁碼順序逐一列舉考證部分之外的訂補結果，簡要說明依據，也是考證的延續，合計約</w:t>
      </w:r>
      <w:r w:rsidRPr="00953751">
        <w:t>2200</w:t>
      </w:r>
      <w:r w:rsidRPr="00953751">
        <w:rPr>
          <w:rFonts w:hint="eastAsia"/>
        </w:rPr>
        <w:t>處。“中華本至</w:t>
      </w:r>
      <w:r w:rsidRPr="00953751">
        <w:t>2013年第2版第4</w:t>
      </w:r>
      <w:r w:rsidRPr="00953751">
        <w:rPr>
          <w:rFonts w:hint="eastAsia"/>
        </w:rPr>
        <w:t>次印刷，累計印數達</w:t>
      </w:r>
      <w:r w:rsidRPr="00953751">
        <w:t>12000</w:t>
      </w:r>
      <w:r w:rsidRPr="00953751">
        <w:rPr>
          <w:rFonts w:hint="eastAsia"/>
        </w:rPr>
        <w:t>冊，如此眾多的讀者不必再購新點校本，或可將本書作爲中華本升級的補丁，循頁修改，還可以避免新點校本可能出現的排印錯訛”（《前言》）。因而此書的出版對提高古籍整理水準、培養古籍點校能力，必將有積極作用。</w:t>
      </w:r>
    </w:p>
    <w:p w:rsidR="00953751" w:rsidRPr="00455D6B" w:rsidRDefault="00953751" w:rsidP="00455D6B">
      <w:pPr>
        <w:pStyle w:val="aa"/>
        <w:ind w:firstLine="562"/>
        <w:jc w:val="center"/>
        <w:rPr>
          <w:b/>
        </w:rPr>
      </w:pPr>
      <w:r w:rsidRPr="00455D6B">
        <w:rPr>
          <w:rFonts w:hint="eastAsia"/>
          <w:b/>
        </w:rPr>
        <w:t>二</w:t>
      </w:r>
    </w:p>
    <w:p w:rsidR="00953751" w:rsidRPr="00953751" w:rsidRDefault="00953751" w:rsidP="00953751">
      <w:pPr>
        <w:pStyle w:val="aa"/>
        <w:ind w:firstLine="560"/>
      </w:pPr>
      <w:r w:rsidRPr="00953751">
        <w:rPr>
          <w:rFonts w:hint="eastAsia"/>
        </w:rPr>
        <w:t>《周禮》一書，發現于漢初，屬古文經。自西漢末年劉歆開其端，古文經學興起，研究《周禮》、為之作注者繼有其人，而以東漢末年鄭玄《周禮注》盛行於世。唐代賈公彥據以作疏，是為流傳至今的《十三經注疏》之《周禮注疏》。孫詒讓的《周禮正義》，主要以《周禮注疏》為參照，吸收了自漢至明清學人全部研究的精華，是《周禮》研究的總結，也是清代經學注疏的精品。</w:t>
      </w:r>
    </w:p>
    <w:p w:rsidR="00953751" w:rsidRPr="00953751" w:rsidRDefault="00953751" w:rsidP="00953751">
      <w:pPr>
        <w:pStyle w:val="aa"/>
        <w:ind w:firstLine="560"/>
      </w:pPr>
      <w:r w:rsidRPr="00953751">
        <w:rPr>
          <w:rFonts w:hint="eastAsia"/>
        </w:rPr>
        <w:t>《周禮正義》有</w:t>
      </w:r>
      <w:r w:rsidRPr="00953751">
        <w:t>1905</w:t>
      </w:r>
      <w:r w:rsidRPr="00953751">
        <w:rPr>
          <w:rFonts w:hint="eastAsia"/>
        </w:rPr>
        <w:t>年孫詒讓自校的定本“乙巳本”，惜其印製粗糙，時有訛誤。後有</w:t>
      </w:r>
      <w:r w:rsidRPr="00953751">
        <w:t>1931</w:t>
      </w:r>
      <w:r w:rsidRPr="00953751">
        <w:rPr>
          <w:rFonts w:hint="eastAsia"/>
        </w:rPr>
        <w:t>年篴湖精舍刊印的“楚學社本”及臺灣師範大學圖書館藏孫詒讓“批校本”。</w:t>
      </w:r>
      <w:r w:rsidRPr="00953751">
        <w:t>1987</w:t>
      </w:r>
      <w:r w:rsidRPr="00953751">
        <w:rPr>
          <w:rFonts w:hint="eastAsia"/>
        </w:rPr>
        <w:t>年中華書局王文錦、陳玉</w:t>
      </w:r>
      <w:r w:rsidRPr="00953751">
        <w:rPr>
          <w:rFonts w:hint="eastAsia"/>
        </w:rPr>
        <w:lastRenderedPageBreak/>
        <w:t>霞以乙巳本做底本、以楚本做工作本，首次用現代標點符號進行點校，是為“中華本”。當是時，以台海兩地學術交流尚未全面開放，並不知有孫氏“批校本”存世，故中華本未能以為參考。汪少華赴台灣閱覽了批校本，過錄了全部批語，在中華本的基礎上，將孫校本與乙巳本、楚本、中華本對校；在完成重新點校《周禮正義》的同時，與顏春峰探究楚本、中華本的校改失誤，分析其致誤之因，著成《考訂》一書。此書出版，必為當今古籍整理之借鑒，可斷言也。</w:t>
      </w:r>
    </w:p>
    <w:p w:rsidR="00455D6B" w:rsidRPr="00953751" w:rsidRDefault="00953751" w:rsidP="00953751">
      <w:pPr>
        <w:pStyle w:val="aa"/>
        <w:ind w:firstLine="560"/>
      </w:pPr>
      <w:r w:rsidRPr="00953751">
        <w:rPr>
          <w:rFonts w:hint="eastAsia"/>
        </w:rPr>
        <w:t>《周禮正義》廣涉博采，徵引豐富，考證精詳，體例嚴謹，當世能通讀其書者，不知凡幾；能通讀其書，且逐一校正考證者又有幾人？汪少華早在上世紀九十年代初即承擔《周禮直解》一書中《考工記》直解，致力於古代名物研究有年，並有专著《中國古車輿名物考辨》，于《周禮正義》用力至勤，熟知其著述義例。義例即著作的體例、方法、術語之謂，為一書之本。故阮元《漢讀考周禮六卷序》說：“稽古之學，必確得古人之義例，執其正，窮其變，而後其說之也不誣。”</w:t>
      </w:r>
      <w:r w:rsidR="00455D6B" w:rsidRPr="00953751">
        <w:endnoteReference w:id="1"/>
      </w:r>
      <w:r w:rsidR="00455D6B" w:rsidRPr="00953751">
        <w:rPr>
          <w:rFonts w:hint="eastAsia"/>
        </w:rPr>
        <w:t>否則，點校時難免方枘圓鑿，張冠李戴，衍訛倒脫。《考訂》謹守著述之道，以决是非。如《〈周禮正義〉楚本、中華本誤改辨正》中所列“不注意校釋術語”例：《司書》“受其幣”之“幣”，鄭注和賈疏並如字釋之，</w:t>
      </w:r>
      <w:r w:rsidR="00455D6B" w:rsidRPr="00953751">
        <w:t>孫疏認爲</w:t>
      </w:r>
      <w:r w:rsidR="00455D6B" w:rsidRPr="00953751">
        <w:rPr>
          <w:rFonts w:hint="eastAsia"/>
        </w:rPr>
        <w:t>不合經義，</w:t>
      </w:r>
      <w:r w:rsidR="00455D6B" w:rsidRPr="00953751">
        <w:t>而</w:t>
      </w:r>
      <w:r w:rsidR="00455D6B" w:rsidRPr="00953751">
        <w:rPr>
          <w:rFonts w:hint="eastAsia"/>
        </w:rPr>
        <w:t>認爲</w:t>
      </w:r>
      <w:r w:rsidR="00455D6B" w:rsidRPr="00953751">
        <w:t>王念孫讀爲</w:t>
      </w:r>
      <w:r w:rsidR="00455D6B" w:rsidRPr="00953751">
        <w:rPr>
          <w:rFonts w:hint="eastAsia"/>
        </w:rPr>
        <w:t>“敝”之</w:t>
      </w:r>
      <w:r w:rsidR="00455D6B" w:rsidRPr="00953751">
        <w:t>說</w:t>
      </w:r>
      <w:r w:rsidR="00455D6B" w:rsidRPr="00953751">
        <w:rPr>
          <w:rFonts w:hint="eastAsia"/>
        </w:rPr>
        <w:t>精塙，</w:t>
      </w:r>
      <w:r w:rsidR="00455D6B" w:rsidRPr="00953751">
        <w:rPr>
          <w:rFonts w:hint="eastAsia"/>
        </w:rPr>
        <w:lastRenderedPageBreak/>
        <w:t>故乙巳本</w:t>
      </w:r>
      <w:r w:rsidR="00455D6B" w:rsidRPr="00953751">
        <w:t>表述爲</w:t>
      </w:r>
      <w:r w:rsidR="00455D6B" w:rsidRPr="00953751">
        <w:rPr>
          <w:rFonts w:hint="eastAsia"/>
        </w:rPr>
        <w:t>：“受其幣，幣與《大宰》、《大府》‘幣餘之賦’義同。</w:t>
      </w:r>
      <w:r w:rsidR="00455D6B" w:rsidRPr="00953751">
        <w:t>幣當讀爲敝，敝即官府所用之餘也。</w:t>
      </w:r>
      <w:r w:rsidR="00455D6B" w:rsidRPr="00953751">
        <w:rPr>
          <w:rFonts w:hint="eastAsia"/>
        </w:rPr>
        <w:t>鄭、賈並如字釋之，非經義。”楚本將“</w:t>
      </w:r>
      <w:r w:rsidR="00455D6B" w:rsidRPr="00953751">
        <w:t>幣當讀爲敝”改爲“幣鄭讀爲敝”</w:t>
      </w:r>
      <w:r w:rsidR="00455D6B" w:rsidRPr="00953751">
        <w:rPr>
          <w:rFonts w:hint="eastAsia"/>
        </w:rPr>
        <w:t>（中華本</w:t>
      </w:r>
      <w:r w:rsidR="00455D6B" w:rsidRPr="00953751">
        <w:t>479</w:t>
      </w:r>
      <w:r w:rsidR="00455D6B" w:rsidRPr="00953751">
        <w:rPr>
          <w:rFonts w:hint="eastAsia"/>
        </w:rPr>
        <w:t>頁從之），破通假的認定方就從孫疏變作鄭注，以致出現“鄭、賈並如字釋之”與“</w:t>
      </w:r>
      <w:r w:rsidR="00455D6B" w:rsidRPr="00953751">
        <w:t>鄭讀爲敝</w:t>
      </w:r>
      <w:r w:rsidR="00455D6B" w:rsidRPr="00953751">
        <w:rPr>
          <w:rFonts w:hint="eastAsia"/>
        </w:rPr>
        <w:t>”自相矛盾的說法，大誤。“讀爲”破通假，《考訂》展示孫疏對“讀爲”的使用及其所引段玉裁對“讀爲”的界定與俞樾、王引之對“讀爲”的使用，指證清晰。</w:t>
      </w:r>
    </w:p>
    <w:p w:rsidR="00455D6B" w:rsidRPr="00953751" w:rsidRDefault="00455D6B" w:rsidP="00953751">
      <w:pPr>
        <w:pStyle w:val="aa"/>
        <w:ind w:firstLine="560"/>
      </w:pPr>
      <w:r w:rsidRPr="00953751">
        <w:rPr>
          <w:rFonts w:hint="eastAsia"/>
        </w:rPr>
        <w:t>《周禮》為古文經，古字多或體，各家以今文讀之，注文用字不一。鄭玄注《周禮》，綜合杜子春、鄭興、鄭眾三家之注，折衷一是。自來研究《周禮》者，多措意於典章制度、天文曆算、訓詁名物之考辨，甚或經文義理之闡發，而于鄭玄《周禮注》中漢儒注經方法體例鮮有關涉。至清代段玉裁著作《周禮漢讀考》，始摘取《周禮注》中的發疑正讀，通過與許慎《說文》“讀若”法的對比分析，系統梳理和歸納出漢人經讀義例有三：“一曰讀如、讀若；二曰讀為、讀曰；三曰當為。”</w:t>
      </w:r>
      <w:r w:rsidRPr="00953751">
        <w:endnoteReference w:id="2"/>
      </w:r>
      <w:r w:rsidRPr="00953751">
        <w:rPr>
          <w:rFonts w:hint="eastAsia"/>
        </w:rPr>
        <w:t>義例是著書立說之綱，掌握義例，即取得讀書大法。以上引例，《考訂》著者即應用漢人經讀義例，訂正楚本、中華本誤改術語之處，皆有《周禮正義》內證為據，言之確鑿，不可移易。</w:t>
      </w:r>
    </w:p>
    <w:p w:rsidR="00455D6B" w:rsidRPr="00953751" w:rsidRDefault="00455D6B" w:rsidP="00953751">
      <w:pPr>
        <w:pStyle w:val="aa"/>
        <w:ind w:firstLine="560"/>
      </w:pPr>
      <w:r w:rsidRPr="00953751">
        <w:rPr>
          <w:rFonts w:hint="eastAsia"/>
        </w:rPr>
        <w:t>他如“不注意表述方式”例所舉楚本不明孫疏引《說文》之例而</w:t>
      </w:r>
      <w:r w:rsidRPr="00953751">
        <w:rPr>
          <w:rFonts w:hint="eastAsia"/>
        </w:rPr>
        <w:lastRenderedPageBreak/>
        <w:t>誤改，中華本亦步亦趨，因楚本之誤而誤；“不注意用字規則”例中楚本、中華本因不明漢儒注經“經用古字、注用今字”之例而致誤；《從〈周禮正義〉中華本談引文訖止的判斷》中因不“知悉孫疏常用語”而致誤例：著者在統讀全書的基礎上，比較歸納，發凡起例，一一為之疏通證明，理據充分，信而有征。</w:t>
      </w:r>
    </w:p>
    <w:p w:rsidR="00455D6B" w:rsidRPr="00953751" w:rsidRDefault="00455D6B" w:rsidP="00953751">
      <w:pPr>
        <w:pStyle w:val="aa"/>
        <w:ind w:firstLine="560"/>
      </w:pPr>
      <w:r w:rsidRPr="00953751">
        <w:rPr>
          <w:rFonts w:hint="eastAsia"/>
        </w:rPr>
        <w:t>《孟子</w:t>
      </w:r>
      <w:r w:rsidRPr="00953751">
        <w:t>·</w:t>
      </w:r>
      <w:r w:rsidRPr="00953751">
        <w:rPr>
          <w:rFonts w:hint="eastAsia"/>
        </w:rPr>
        <w:t>离娄下》：“君子深造之以道，欲其自得之也。自得之，則居之安：居之安，則資之深；資之深，則取之左右逢其源。”《考訂》的著者，正是在日就月將、成年累月的閱讀中，深造以道，掌握古人著述義例，故能左右逢源，皆成自得之果。</w:t>
      </w:r>
    </w:p>
    <w:p w:rsidR="00455D6B" w:rsidRPr="00455D6B" w:rsidRDefault="00455D6B" w:rsidP="00455D6B">
      <w:pPr>
        <w:pStyle w:val="aa"/>
        <w:ind w:firstLine="562"/>
        <w:jc w:val="center"/>
        <w:rPr>
          <w:b/>
        </w:rPr>
      </w:pPr>
      <w:r w:rsidRPr="00455D6B">
        <w:rPr>
          <w:rFonts w:hint="eastAsia"/>
          <w:b/>
        </w:rPr>
        <w:t>三</w:t>
      </w:r>
    </w:p>
    <w:p w:rsidR="00455D6B" w:rsidRPr="00953751" w:rsidRDefault="00455D6B" w:rsidP="00953751">
      <w:pPr>
        <w:pStyle w:val="aa"/>
        <w:ind w:firstLine="560"/>
      </w:pPr>
      <w:r w:rsidRPr="00953751">
        <w:rPr>
          <w:rFonts w:hint="eastAsia"/>
        </w:rPr>
        <w:t>文獻校勘，追本古籍原貌，需要辨章學術，考竟源流，實事求是的真功夫。如果說校勘文本、過錄校語尚屬簡單的死功夫，那麼辨析正誤、決定取捨，則需要閱讀古籍的堅實功底和評判正誤的識斷能力。俗語说：“讀書百遍，其意自見。”凡讀書能有所見，都是“求其放心”、學思結合、溫故而知新的結果。《考訂》中《從〈周禮正義〉中華本談避免破句的方法》及《〈周禮正義〉楚本、中華本誤改辨正》，是著者體察文意、考源竟委、辨析精微、最見閱讀功底和識斷能力的代表。如避免破句的方法之一是“注疏須與經文字眼對應”，中華本</w:t>
      </w:r>
      <w:r w:rsidRPr="00953751">
        <w:t>451</w:t>
      </w:r>
      <w:r w:rsidRPr="00953751">
        <w:rPr>
          <w:rFonts w:hint="eastAsia"/>
        </w:rPr>
        <w:t>頁：</w:t>
      </w:r>
      <w:r w:rsidRPr="00953751">
        <w:lastRenderedPageBreak/>
        <w:t>“</w:t>
      </w:r>
      <w:r w:rsidRPr="00953751">
        <w:rPr>
          <w:rFonts w:hint="eastAsia"/>
        </w:rPr>
        <w:t>‘掌王之金玉玩好、兵器，凡良貨賄之藏’者，兵謂五兵，器謂車旗，用器即《內府》良兵、良器是也。</w:t>
      </w:r>
      <w:r w:rsidRPr="00953751">
        <w:t>”</w:t>
      </w:r>
      <w:r w:rsidRPr="00953751">
        <w:rPr>
          <w:rFonts w:hint="eastAsia"/>
        </w:rPr>
        <w:t>《考訂》</w:t>
      </w:r>
      <w:r w:rsidRPr="00953751">
        <w:t>71</w:t>
      </w:r>
      <w:r w:rsidRPr="00953751">
        <w:rPr>
          <w:rFonts w:hint="eastAsia"/>
        </w:rPr>
        <w:t>頁提示“掌王之金玉玩好、兵器，凡良貨賄之藏”只有</w:t>
      </w:r>
      <w:r w:rsidRPr="00953751">
        <w:t>“</w:t>
      </w:r>
      <w:r w:rsidRPr="00953751">
        <w:rPr>
          <w:rFonts w:hint="eastAsia"/>
        </w:rPr>
        <w:t>兵器</w:t>
      </w:r>
      <w:r w:rsidRPr="00953751">
        <w:t>”</w:t>
      </w:r>
      <w:r w:rsidRPr="00953751">
        <w:rPr>
          <w:rFonts w:hint="eastAsia"/>
        </w:rPr>
        <w:t>沒有</w:t>
      </w:r>
      <w:r w:rsidRPr="00953751">
        <w:t>“</w:t>
      </w:r>
      <w:r w:rsidRPr="00953751">
        <w:rPr>
          <w:rFonts w:hint="eastAsia"/>
        </w:rPr>
        <w:t>用器</w:t>
      </w:r>
      <w:r w:rsidRPr="00953751">
        <w:t>”</w:t>
      </w:r>
      <w:r w:rsidRPr="00953751">
        <w:rPr>
          <w:rFonts w:hint="eastAsia"/>
        </w:rPr>
        <w:t>，孫疏不會解釋</w:t>
      </w:r>
      <w:r w:rsidRPr="00953751">
        <w:t>“</w:t>
      </w:r>
      <w:r w:rsidRPr="00953751">
        <w:rPr>
          <w:rFonts w:hint="eastAsia"/>
        </w:rPr>
        <w:t>用器</w:t>
      </w:r>
      <w:r w:rsidRPr="00953751">
        <w:t>”</w:t>
      </w:r>
      <w:r w:rsidRPr="00953751">
        <w:rPr>
          <w:rFonts w:hint="eastAsia"/>
        </w:rPr>
        <w:t>，可知</w:t>
      </w:r>
      <w:r w:rsidRPr="00953751">
        <w:t>“</w:t>
      </w:r>
      <w:r w:rsidRPr="00953751">
        <w:rPr>
          <w:rFonts w:hint="eastAsia"/>
        </w:rPr>
        <w:t>用器</w:t>
      </w:r>
      <w:r w:rsidRPr="00953751">
        <w:t>”</w:t>
      </w:r>
      <w:r w:rsidRPr="00953751">
        <w:rPr>
          <w:rFonts w:hint="eastAsia"/>
        </w:rPr>
        <w:t>當屬上</w:t>
      </w:r>
      <w:r w:rsidRPr="00953751">
        <w:t>“</w:t>
      </w:r>
      <w:r w:rsidRPr="00953751">
        <w:rPr>
          <w:rFonts w:hint="eastAsia"/>
        </w:rPr>
        <w:t>器謂車旗用器</w:t>
      </w:r>
      <w:r w:rsidRPr="00953751">
        <w:t>”</w:t>
      </w:r>
      <w:r w:rsidRPr="00953751">
        <w:rPr>
          <w:rFonts w:hint="eastAsia"/>
        </w:rPr>
        <w:t>；避免破句的方法之六是“雙音詞不可拆分”，中華本</w:t>
      </w:r>
      <w:r w:rsidRPr="00953751">
        <w:t>155</w:t>
      </w:r>
      <w:r w:rsidRPr="00953751">
        <w:rPr>
          <w:rFonts w:hint="eastAsia"/>
        </w:rPr>
        <w:t>頁：“《天府》云‘凡官府鄉州及都鄙之治，中受而藏之，以詔王察群吏之治’</w:t>
      </w:r>
      <w:r w:rsidRPr="00953751">
        <w:t>”</w:t>
      </w:r>
      <w:r w:rsidRPr="00953751">
        <w:rPr>
          <w:rFonts w:hint="eastAsia"/>
        </w:rPr>
        <w:t>。《考訂》</w:t>
      </w:r>
      <w:r w:rsidRPr="00953751">
        <w:t>81</w:t>
      </w:r>
      <w:r w:rsidRPr="00953751">
        <w:rPr>
          <w:rFonts w:hint="eastAsia"/>
        </w:rPr>
        <w:t>頁引鄭司農</w:t>
      </w:r>
      <w:r w:rsidRPr="00953751">
        <w:t>“</w:t>
      </w:r>
      <w:r w:rsidRPr="00953751">
        <w:rPr>
          <w:rFonts w:hint="eastAsia"/>
        </w:rPr>
        <w:t>治中，謂其治職簿書之要</w:t>
      </w:r>
      <w:r w:rsidRPr="00953751">
        <w:t>”</w:t>
      </w:r>
      <w:r w:rsidRPr="00953751">
        <w:rPr>
          <w:rFonts w:hint="eastAsia"/>
        </w:rPr>
        <w:t>以及孫疏為證：</w:t>
      </w:r>
      <w:r w:rsidRPr="00953751">
        <w:t>“</w:t>
      </w:r>
      <w:r w:rsidRPr="00953751">
        <w:rPr>
          <w:rFonts w:hint="eastAsia"/>
        </w:rPr>
        <w:t>凡官府簿書謂之中，故諸官言治中、受中，小司寇斷庶民訟獄之中，皆謂簿書，猶今之案卷也。此中字之本義。故掌文書者謂之史，其字從又從中。又者，右手以手持簿書也。吏字事字皆從中。天有司中星，後世有治中之官，皆取此義。</w:t>
      </w:r>
      <w:r w:rsidRPr="00953751">
        <w:t>”</w:t>
      </w:r>
      <w:r w:rsidRPr="00953751">
        <w:rPr>
          <w:rFonts w:hint="eastAsia"/>
        </w:rPr>
        <w:t>指出</w:t>
      </w:r>
      <w:r w:rsidRPr="00953751">
        <w:t>“</w:t>
      </w:r>
      <w:r w:rsidRPr="00953751">
        <w:rPr>
          <w:rFonts w:hint="eastAsia"/>
        </w:rPr>
        <w:t>治中</w:t>
      </w:r>
      <w:r w:rsidRPr="00953751">
        <w:t>”</w:t>
      </w:r>
      <w:r w:rsidRPr="00953751">
        <w:rPr>
          <w:rFonts w:hint="eastAsia"/>
        </w:rPr>
        <w:t>是名詞，</w:t>
      </w:r>
      <w:r w:rsidRPr="00953751">
        <w:t>“</w:t>
      </w:r>
      <w:r w:rsidRPr="00953751">
        <w:rPr>
          <w:rFonts w:hint="eastAsia"/>
        </w:rPr>
        <w:t>中</w:t>
      </w:r>
      <w:r w:rsidRPr="00953751">
        <w:t>”</w:t>
      </w:r>
      <w:r w:rsidRPr="00953751">
        <w:rPr>
          <w:rFonts w:hint="eastAsia"/>
        </w:rPr>
        <w:t>當屬上句；避免破句的方法之七是“區分多義詞”， 中華本</w:t>
      </w:r>
      <w:r w:rsidRPr="00953751">
        <w:t>628</w:t>
      </w:r>
      <w:r w:rsidRPr="00953751">
        <w:rPr>
          <w:rFonts w:hint="eastAsia"/>
        </w:rPr>
        <w:t>頁：“賈彼疏謂以刀衣鼻，況絇在屨頭上，以其皆有孔，得穿繫於中而過。”《考訂》</w:t>
      </w:r>
      <w:r w:rsidRPr="00953751">
        <w:t>82</w:t>
      </w:r>
      <w:r w:rsidRPr="00953751">
        <w:rPr>
          <w:rFonts w:hint="eastAsia"/>
        </w:rPr>
        <w:t>頁指出</w:t>
      </w:r>
      <w:r w:rsidRPr="00953751">
        <w:t>“</w:t>
      </w:r>
      <w:r w:rsidRPr="00953751">
        <w:rPr>
          <w:rFonts w:hint="eastAsia"/>
        </w:rPr>
        <w:t>況</w:t>
      </w:r>
      <w:r w:rsidRPr="00953751">
        <w:t>”</w:t>
      </w:r>
      <w:r w:rsidRPr="00953751">
        <w:rPr>
          <w:rFonts w:hint="eastAsia"/>
        </w:rPr>
        <w:t>有連詞</w:t>
      </w:r>
      <w:r w:rsidRPr="00953751">
        <w:t>“</w:t>
      </w:r>
      <w:r w:rsidRPr="00953751">
        <w:rPr>
          <w:rFonts w:hint="eastAsia"/>
        </w:rPr>
        <w:t>況且、何況</w:t>
      </w:r>
      <w:r w:rsidRPr="00953751">
        <w:t>”</w:t>
      </w:r>
      <w:r w:rsidRPr="00953751">
        <w:rPr>
          <w:rFonts w:hint="eastAsia"/>
        </w:rPr>
        <w:t>（用在句首）、動詞</w:t>
      </w:r>
      <w:r w:rsidRPr="00953751">
        <w:t>“</w:t>
      </w:r>
      <w:r w:rsidRPr="00953751">
        <w:rPr>
          <w:rFonts w:hint="eastAsia"/>
        </w:rPr>
        <w:t>比況</w:t>
      </w:r>
      <w:r w:rsidRPr="00953751">
        <w:t>”</w:t>
      </w:r>
      <w:r w:rsidRPr="00953751">
        <w:rPr>
          <w:rFonts w:hint="eastAsia"/>
        </w:rPr>
        <w:t>（用在名詞之前）二義，此處是後者，</w:t>
      </w:r>
      <w:r w:rsidRPr="00953751">
        <w:t>“</w:t>
      </w:r>
      <w:r w:rsidRPr="00953751">
        <w:rPr>
          <w:rFonts w:hint="eastAsia"/>
        </w:rPr>
        <w:t>況絇</w:t>
      </w:r>
      <w:r w:rsidRPr="00953751">
        <w:t>”</w:t>
      </w:r>
      <w:r w:rsidRPr="00953751">
        <w:rPr>
          <w:rFonts w:hint="eastAsia"/>
        </w:rPr>
        <w:t>屬上</w:t>
      </w:r>
      <w:r w:rsidRPr="00953751">
        <w:t>“</w:t>
      </w:r>
      <w:r w:rsidRPr="00953751">
        <w:rPr>
          <w:rFonts w:hint="eastAsia"/>
        </w:rPr>
        <w:t>以刀衣鼻況絇</w:t>
      </w:r>
      <w:r w:rsidRPr="00953751">
        <w:t>”</w:t>
      </w:r>
      <w:r w:rsidRPr="00953751">
        <w:rPr>
          <w:rFonts w:hint="eastAsia"/>
        </w:rPr>
        <w:t>，引《士冠禮》鄭注</w:t>
      </w:r>
      <w:r w:rsidRPr="00953751">
        <w:t>“</w:t>
      </w:r>
      <w:r w:rsidRPr="00953751">
        <w:rPr>
          <w:rFonts w:hint="eastAsia"/>
        </w:rPr>
        <w:t>絇……狀如刀衣鼻</w:t>
      </w:r>
      <w:r w:rsidRPr="00953751">
        <w:t>”</w:t>
      </w:r>
      <w:r w:rsidRPr="00953751">
        <w:rPr>
          <w:rFonts w:hint="eastAsia"/>
        </w:rPr>
        <w:t>與賈疏</w:t>
      </w:r>
      <w:r w:rsidRPr="00953751">
        <w:t>“</w:t>
      </w:r>
      <w:r w:rsidRPr="00953751">
        <w:rPr>
          <w:rFonts w:hint="eastAsia"/>
        </w:rPr>
        <w:t>今之屨頭見有下鼻，似刀衣鼻，故以爲況也</w:t>
      </w:r>
      <w:r w:rsidRPr="00953751">
        <w:t>”</w:t>
      </w:r>
      <w:r w:rsidRPr="00953751">
        <w:rPr>
          <w:rFonts w:hint="eastAsia"/>
        </w:rPr>
        <w:t>、《士喪禮》鄭注“絇……如刀衣鼻，在屨頭上”與賈疏“以漢時‘刀衣鼻’況絇</w:t>
      </w:r>
      <w:r w:rsidRPr="00953751">
        <w:t>”為證</w:t>
      </w:r>
      <w:r w:rsidRPr="00953751">
        <w:rPr>
          <w:rFonts w:hint="eastAsia"/>
        </w:rPr>
        <w:t>。又如《〈周</w:t>
      </w:r>
      <w:r w:rsidRPr="00953751">
        <w:rPr>
          <w:rFonts w:hint="eastAsia"/>
        </w:rPr>
        <w:lastRenderedPageBreak/>
        <w:t>禮正義〉楚本、中華本誤改辨正》“不追究僻義”例：“若非常大事，如《漢律》所謂矯詔害者，則當在士師八成撟邦令之條，豈徒鞭抶而已哉</w:t>
      </w:r>
      <w:r w:rsidRPr="00953751">
        <w:t>!</w:t>
      </w:r>
      <w:r w:rsidRPr="00953751">
        <w:rPr>
          <w:rFonts w:hint="eastAsia"/>
        </w:rPr>
        <w:t xml:space="preserve"> ”正如何焯《義門讀書記》以“害”爲衍文，楚本、中華本亦不知“矯詔害”之義，認為“害”爲“書”之訛，改“害”爲“書”。 《考訂》</w:t>
      </w:r>
      <w:r w:rsidRPr="00953751">
        <w:t>8</w:t>
      </w:r>
      <w:r w:rsidRPr="00953751">
        <w:rPr>
          <w:rFonts w:hint="eastAsia"/>
        </w:rPr>
        <w:t>頁依據惠士奇《禮說·誓大夫曰敢不關鞭五百》“《漢律》有矯詔害、矯詔不害，害者死”、《漢書·灌夫傳》“矯先帝詔害”顏注“矯詔有害、不害也”、王念孫《讀書雜志·漢書第十·矯先帝詔害》“《漢書》凡言坐矯詔罪者，皆有害、不害之分。《史記》亦有之”為證。諸如此類問題，在“不注意詞義”中亦有揭示。</w:t>
      </w:r>
    </w:p>
    <w:p w:rsidR="00455D6B" w:rsidRPr="00953751" w:rsidRDefault="00455D6B" w:rsidP="00953751">
      <w:pPr>
        <w:pStyle w:val="aa"/>
        <w:ind w:firstLine="560"/>
      </w:pPr>
      <w:r w:rsidRPr="00953751">
        <w:rPr>
          <w:rFonts w:hint="eastAsia"/>
        </w:rPr>
        <w:t>閱讀《考訂》，可以發現著者用心之細，辨析之精。凡有歧或之處，必究原委，復佐以書證，然後下斷語。實事求是，守正不阿。</w:t>
      </w:r>
    </w:p>
    <w:p w:rsidR="00455D6B" w:rsidRPr="00455D6B" w:rsidRDefault="00455D6B" w:rsidP="00455D6B">
      <w:pPr>
        <w:pStyle w:val="aa"/>
        <w:ind w:firstLine="562"/>
        <w:jc w:val="center"/>
        <w:rPr>
          <w:b/>
        </w:rPr>
      </w:pPr>
      <w:r w:rsidRPr="00455D6B">
        <w:rPr>
          <w:rFonts w:hint="eastAsia"/>
          <w:b/>
        </w:rPr>
        <w:t>四</w:t>
      </w:r>
    </w:p>
    <w:p w:rsidR="00455D6B" w:rsidRPr="00953751" w:rsidRDefault="00455D6B" w:rsidP="00953751">
      <w:pPr>
        <w:pStyle w:val="aa"/>
        <w:ind w:firstLine="560"/>
      </w:pPr>
      <w:r w:rsidRPr="00953751">
        <w:rPr>
          <w:rFonts w:hint="eastAsia"/>
        </w:rPr>
        <w:t>點校古籍，必先認真讀懂古書，於細微處揣摩語意，體察辭氣，董理文法。《考訂》的著者觀古用今，力求從古人行文的遣詞用字中，尋找其規律和方法，解決前賢點校失誤，以示後學路徑。如避免破句的方法之五是“借助虛詞的語氣關聯”，《考訂》</w:t>
      </w:r>
      <w:r w:rsidRPr="00953751">
        <w:t>79</w:t>
      </w:r>
      <w:r w:rsidRPr="00953751">
        <w:rPr>
          <w:rFonts w:hint="eastAsia"/>
        </w:rPr>
        <w:t>頁指出</w:t>
      </w:r>
      <w:r w:rsidRPr="00953751">
        <w:t>“</w:t>
      </w:r>
      <w:r w:rsidRPr="00953751">
        <w:rPr>
          <w:rFonts w:hint="eastAsia"/>
        </w:rPr>
        <w:t>蓋</w:t>
      </w:r>
      <w:r w:rsidRPr="00953751">
        <w:t>”</w:t>
      </w:r>
      <w:r w:rsidRPr="00953751">
        <w:rPr>
          <w:rFonts w:hint="eastAsia"/>
        </w:rPr>
        <w:t>爲句首發語詞，“《車人》所謂鑿其鉤，法蓋大小車相同”之</w:t>
      </w:r>
      <w:r w:rsidRPr="00953751">
        <w:t>“</w:t>
      </w:r>
      <w:r w:rsidRPr="00953751">
        <w:rPr>
          <w:rFonts w:hint="eastAsia"/>
        </w:rPr>
        <w:t>蓋大小車相同</w:t>
      </w:r>
      <w:r w:rsidRPr="00953751">
        <w:t>”</w:t>
      </w:r>
      <w:r w:rsidRPr="00953751">
        <w:rPr>
          <w:rFonts w:hint="eastAsia"/>
        </w:rPr>
        <w:t>表示判斷，</w:t>
      </w:r>
      <w:r w:rsidRPr="00953751">
        <w:t>“</w:t>
      </w:r>
      <w:r w:rsidRPr="00953751">
        <w:rPr>
          <w:rFonts w:hint="eastAsia"/>
        </w:rPr>
        <w:t>法</w:t>
      </w:r>
      <w:r w:rsidRPr="00953751">
        <w:t>”</w:t>
      </w:r>
      <w:r w:rsidRPr="00953751">
        <w:rPr>
          <w:rFonts w:hint="eastAsia"/>
        </w:rPr>
        <w:t>當屬上</w:t>
      </w:r>
      <w:r w:rsidRPr="00953751">
        <w:t>“</w:t>
      </w:r>
      <w:r w:rsidRPr="00953751">
        <w:rPr>
          <w:rFonts w:hint="eastAsia"/>
        </w:rPr>
        <w:t>《車人》所謂</w:t>
      </w:r>
      <w:r w:rsidRPr="00953751">
        <w:t>‘</w:t>
      </w:r>
      <w:r w:rsidRPr="00953751">
        <w:rPr>
          <w:rFonts w:hint="eastAsia"/>
        </w:rPr>
        <w:t>鑿其鉤</w:t>
      </w:r>
      <w:r w:rsidRPr="00953751">
        <w:t>’</w:t>
      </w:r>
      <w:r w:rsidRPr="00953751">
        <w:rPr>
          <w:rFonts w:hint="eastAsia"/>
        </w:rPr>
        <w:t>法</w:t>
      </w:r>
      <w:r w:rsidRPr="00953751">
        <w:t>”</w:t>
      </w:r>
      <w:r w:rsidRPr="00953751">
        <w:rPr>
          <w:rFonts w:hint="eastAsia"/>
        </w:rPr>
        <w:t>，引</w:t>
      </w:r>
      <w:r w:rsidRPr="00953751">
        <w:rPr>
          <w:rFonts w:hint="eastAsia"/>
        </w:rPr>
        <w:lastRenderedPageBreak/>
        <w:t>孫疏</w:t>
      </w:r>
      <w:r w:rsidRPr="00953751">
        <w:t>“</w:t>
      </w:r>
      <w:r w:rsidRPr="00953751">
        <w:rPr>
          <w:rFonts w:hint="eastAsia"/>
        </w:rPr>
        <w:t>蓋約略如是</w:t>
      </w:r>
      <w:r w:rsidRPr="00953751">
        <w:t>”</w:t>
      </w:r>
      <w:r w:rsidRPr="00953751">
        <w:rPr>
          <w:rFonts w:hint="eastAsia"/>
        </w:rPr>
        <w:t>、</w:t>
      </w:r>
      <w:r w:rsidRPr="00953751">
        <w:t xml:space="preserve"> “</w:t>
      </w:r>
      <w:r w:rsidRPr="00953751">
        <w:rPr>
          <w:rFonts w:hint="eastAsia"/>
        </w:rPr>
        <w:t>蓋大略如是</w:t>
      </w:r>
      <w:r w:rsidRPr="00953751">
        <w:t>”</w:t>
      </w:r>
      <w:r w:rsidRPr="00953751">
        <w:rPr>
          <w:rFonts w:hint="eastAsia"/>
        </w:rPr>
        <w:t>、</w:t>
      </w:r>
      <w:r w:rsidRPr="00953751">
        <w:t xml:space="preserve"> “</w:t>
      </w:r>
      <w:r w:rsidRPr="00953751">
        <w:rPr>
          <w:rFonts w:hint="eastAsia"/>
        </w:rPr>
        <w:t>蓋古之遺制也</w:t>
      </w:r>
      <w:r w:rsidRPr="00953751">
        <w:t>”為證</w:t>
      </w:r>
      <w:r w:rsidRPr="00953751">
        <w:rPr>
          <w:rFonts w:hint="eastAsia"/>
        </w:rPr>
        <w:t>；避免破句的方法之九是“</w:t>
      </w:r>
      <w:r w:rsidRPr="00953751">
        <w:t>總說與分說應吻合</w:t>
      </w:r>
      <w:r w:rsidRPr="00953751">
        <w:rPr>
          <w:rFonts w:hint="eastAsia"/>
        </w:rPr>
        <w:t>”，《考訂》</w:t>
      </w:r>
      <w:r w:rsidRPr="00953751">
        <w:t>86</w:t>
      </w:r>
      <w:r w:rsidRPr="00953751">
        <w:rPr>
          <w:rFonts w:hint="eastAsia"/>
        </w:rPr>
        <w:t>頁根據“</w:t>
      </w:r>
      <w:r w:rsidRPr="00953751">
        <w:t>幕人掌此五者</w:t>
      </w:r>
      <w:r w:rsidRPr="00953751">
        <w:rPr>
          <w:rFonts w:hint="eastAsia"/>
        </w:rPr>
        <w:t>”之</w:t>
      </w:r>
      <w:r w:rsidRPr="00953751">
        <w:t>“五者”指“帷、幕、幄、帟、綬”</w:t>
      </w:r>
      <w:r w:rsidRPr="00953751">
        <w:rPr>
          <w:rFonts w:hint="eastAsia"/>
        </w:rPr>
        <w:t>。</w:t>
      </w:r>
      <w:r w:rsidRPr="00953751">
        <w:t>而“帷”前句“掌王帷在傍施之”已說，</w:t>
      </w:r>
      <w:r w:rsidRPr="00953751">
        <w:rPr>
          <w:rFonts w:hint="eastAsia"/>
        </w:rPr>
        <w:t>判斷</w:t>
      </w:r>
      <w:r w:rsidRPr="00953751">
        <w:t>後句只會說“幄”</w:t>
      </w:r>
      <w:r w:rsidRPr="00953751">
        <w:rPr>
          <w:rFonts w:hint="eastAsia"/>
        </w:rPr>
        <w:t>（</w:t>
      </w:r>
      <w:r w:rsidRPr="00953751">
        <w:t>“幄，帷幕之內設之”</w:t>
      </w:r>
      <w:r w:rsidRPr="00953751">
        <w:rPr>
          <w:rFonts w:hint="eastAsia"/>
        </w:rPr>
        <w:t>），</w:t>
      </w:r>
      <w:r w:rsidRPr="00953751">
        <w:t>而不會</w:t>
      </w:r>
      <w:r w:rsidRPr="00953751">
        <w:rPr>
          <w:rFonts w:hint="eastAsia"/>
        </w:rPr>
        <w:t>破句為“</w:t>
      </w:r>
      <w:r w:rsidRPr="00953751">
        <w:t>幄帷，幕之內設之</w:t>
      </w:r>
      <w:r w:rsidRPr="00953751">
        <w:rPr>
          <w:rFonts w:hint="eastAsia"/>
        </w:rPr>
        <w:t>”；避免破句的方法之十是“注意分辨施事、受事”，《考訂》</w:t>
      </w:r>
      <w:r w:rsidRPr="00953751">
        <w:t>87</w:t>
      </w:r>
      <w:r w:rsidRPr="00953751">
        <w:rPr>
          <w:rFonts w:hint="eastAsia"/>
        </w:rPr>
        <w:t>頁判定《國語</w:t>
      </w:r>
      <w:r w:rsidRPr="00953751">
        <w:t>·</w:t>
      </w:r>
      <w:r w:rsidRPr="00953751">
        <w:rPr>
          <w:rFonts w:hint="eastAsia"/>
        </w:rPr>
        <w:t>周語》</w:t>
      </w:r>
      <w:r w:rsidRPr="00953751">
        <w:t>“</w:t>
      </w:r>
      <w:r w:rsidRPr="00953751">
        <w:rPr>
          <w:rFonts w:hint="eastAsia"/>
        </w:rPr>
        <w:t>敵國賓至，關尹以告行理，以節逆之</w:t>
      </w:r>
      <w:r w:rsidRPr="00953751">
        <w:t>”破句</w:t>
      </w:r>
      <w:r w:rsidRPr="00953751">
        <w:rPr>
          <w:rFonts w:hint="eastAsia"/>
        </w:rPr>
        <w:t>，理由是</w:t>
      </w:r>
      <w:r w:rsidRPr="00953751">
        <w:t>“</w:t>
      </w:r>
      <w:r w:rsidRPr="00953751">
        <w:rPr>
          <w:rFonts w:hint="eastAsia"/>
        </w:rPr>
        <w:t>關尹</w:t>
      </w:r>
      <w:r w:rsidRPr="00953751">
        <w:t>”</w:t>
      </w:r>
      <w:r w:rsidRPr="00953751">
        <w:rPr>
          <w:rFonts w:hint="eastAsia"/>
        </w:rPr>
        <w:t>以告的對象是</w:t>
      </w:r>
      <w:r w:rsidRPr="00953751">
        <w:t>“</w:t>
      </w:r>
      <w:r w:rsidRPr="00953751">
        <w:rPr>
          <w:rFonts w:hint="eastAsia"/>
        </w:rPr>
        <w:t>王</w:t>
      </w:r>
      <w:r w:rsidRPr="00953751">
        <w:t>”</w:t>
      </w:r>
      <w:r w:rsidRPr="00953751">
        <w:rPr>
          <w:rFonts w:hint="eastAsia"/>
        </w:rPr>
        <w:t>不是</w:t>
      </w:r>
      <w:r w:rsidRPr="00953751">
        <w:t>“</w:t>
      </w:r>
      <w:r w:rsidRPr="00953751">
        <w:rPr>
          <w:rFonts w:hint="eastAsia"/>
        </w:rPr>
        <w:t>行理</w:t>
      </w:r>
      <w:r w:rsidRPr="00953751">
        <w:t>”</w:t>
      </w:r>
      <w:r w:rsidRPr="00953751">
        <w:rPr>
          <w:rFonts w:hint="eastAsia"/>
        </w:rPr>
        <w:t>，</w:t>
      </w:r>
      <w:r w:rsidRPr="00953751">
        <w:t>“</w:t>
      </w:r>
      <w:r w:rsidRPr="00953751">
        <w:rPr>
          <w:rFonts w:hint="eastAsia"/>
        </w:rPr>
        <w:t>以節逆之</w:t>
      </w:r>
      <w:r w:rsidRPr="00953751">
        <w:t>”</w:t>
      </w:r>
      <w:r w:rsidRPr="00953751">
        <w:rPr>
          <w:rFonts w:hint="eastAsia"/>
        </w:rPr>
        <w:t>的發出者是</w:t>
      </w:r>
      <w:r w:rsidRPr="00953751">
        <w:t>“</w:t>
      </w:r>
      <w:r w:rsidRPr="00953751">
        <w:rPr>
          <w:rFonts w:hint="eastAsia"/>
        </w:rPr>
        <w:t>行理</w:t>
      </w:r>
      <w:r w:rsidRPr="00953751">
        <w:t>”</w:t>
      </w:r>
      <w:r w:rsidRPr="00953751">
        <w:rPr>
          <w:rFonts w:hint="eastAsia"/>
        </w:rPr>
        <w:t>不是</w:t>
      </w:r>
      <w:r w:rsidRPr="00953751">
        <w:t>“</w:t>
      </w:r>
      <w:r w:rsidRPr="00953751">
        <w:rPr>
          <w:rFonts w:hint="eastAsia"/>
        </w:rPr>
        <w:t>關尹</w:t>
      </w:r>
      <w:r w:rsidRPr="00953751">
        <w:t>”</w:t>
      </w:r>
      <w:r w:rsidRPr="00953751">
        <w:rPr>
          <w:rFonts w:hint="eastAsia"/>
        </w:rPr>
        <w:t>，依據是：《國語</w:t>
      </w:r>
      <w:r w:rsidRPr="00953751">
        <w:t>·</w:t>
      </w:r>
      <w:r w:rsidRPr="00953751">
        <w:rPr>
          <w:rFonts w:hint="eastAsia"/>
        </w:rPr>
        <w:t>周語中》韋昭注：</w:t>
      </w:r>
      <w:r w:rsidRPr="00953751">
        <w:t>“</w:t>
      </w:r>
      <w:r w:rsidRPr="00953751">
        <w:rPr>
          <w:rFonts w:hint="eastAsia"/>
        </w:rPr>
        <w:t>關尹，司關，掌四方賓客叩關則爲之告。理，吏也。逆，迎也。執瑞節爲信而迎之也。行理，小行人。</w:t>
      </w:r>
      <w:r w:rsidRPr="00953751">
        <w:t>”</w:t>
      </w:r>
      <w:r w:rsidRPr="00953751">
        <w:rPr>
          <w:rFonts w:hint="eastAsia"/>
        </w:rPr>
        <w:t>孫疏認爲《國語</w:t>
      </w:r>
      <w:r w:rsidRPr="00953751">
        <w:t>·</w:t>
      </w:r>
      <w:r w:rsidRPr="00953751">
        <w:rPr>
          <w:rFonts w:hint="eastAsia"/>
        </w:rPr>
        <w:t>周語》的</w:t>
      </w:r>
      <w:r w:rsidRPr="00953751">
        <w:t>“</w:t>
      </w:r>
      <w:r w:rsidRPr="00953751">
        <w:rPr>
          <w:rFonts w:hint="eastAsia"/>
        </w:rPr>
        <w:t>關尹</w:t>
      </w:r>
      <w:r w:rsidRPr="00953751">
        <w:t>”</w:t>
      </w:r>
      <w:r w:rsidRPr="00953751">
        <w:rPr>
          <w:rFonts w:hint="eastAsia"/>
        </w:rPr>
        <w:t>就是《周禮</w:t>
      </w:r>
      <w:r w:rsidRPr="00953751">
        <w:t>·</w:t>
      </w:r>
      <w:r w:rsidRPr="00953751">
        <w:rPr>
          <w:rFonts w:hint="eastAsia"/>
        </w:rPr>
        <w:t>地官</w:t>
      </w:r>
      <w:r w:rsidRPr="00953751">
        <w:t>·</w:t>
      </w:r>
      <w:r w:rsidRPr="00953751">
        <w:rPr>
          <w:rFonts w:hint="eastAsia"/>
        </w:rPr>
        <w:t>司關》的</w:t>
      </w:r>
      <w:r w:rsidRPr="00953751">
        <w:t>“</w:t>
      </w:r>
      <w:r w:rsidRPr="00953751">
        <w:rPr>
          <w:rFonts w:hint="eastAsia"/>
        </w:rPr>
        <w:t>司關</w:t>
      </w:r>
      <w:r w:rsidRPr="00953751">
        <w:t>”</w:t>
      </w:r>
      <w:r w:rsidRPr="00953751">
        <w:rPr>
          <w:rFonts w:hint="eastAsia"/>
        </w:rPr>
        <w:t>：</w:t>
      </w:r>
      <w:r w:rsidRPr="00953751">
        <w:t>“</w:t>
      </w:r>
      <w:r w:rsidRPr="00953751">
        <w:rPr>
          <w:rFonts w:hint="eastAsia"/>
        </w:rPr>
        <w:t>凡四方之賓客敂關，則爲之告。</w:t>
      </w:r>
      <w:r w:rsidRPr="00953751">
        <w:t>”</w:t>
      </w:r>
      <w:r w:rsidRPr="00953751">
        <w:rPr>
          <w:rFonts w:hint="eastAsia"/>
        </w:rPr>
        <w:t>賈公彥疏：</w:t>
      </w:r>
      <w:r w:rsidRPr="00953751">
        <w:t>“</w:t>
      </w:r>
      <w:r w:rsidRPr="00953751">
        <w:rPr>
          <w:rFonts w:hint="eastAsia"/>
        </w:rPr>
        <w:t>敂猶至也。畿外諸侯來朝，使卿大夫來大聘、小聘，但至關門，皆先謁關人。關人止客，則奔告王。王使小行人逆勞于畿也。</w:t>
      </w:r>
      <w:r w:rsidRPr="00953751">
        <w:t>”</w:t>
      </w:r>
      <w:r w:rsidRPr="00953751">
        <w:rPr>
          <w:rFonts w:hint="eastAsia"/>
        </w:rPr>
        <w:t>鄭司農引《國語》</w:t>
      </w:r>
      <w:r w:rsidRPr="00953751">
        <w:t>“</w:t>
      </w:r>
      <w:r w:rsidRPr="00953751">
        <w:rPr>
          <w:rFonts w:hint="eastAsia"/>
        </w:rPr>
        <w:t>敵國賓至，關尹以告，行理以節逆之</w:t>
      </w:r>
      <w:r w:rsidRPr="00953751">
        <w:t>”</w:t>
      </w:r>
      <w:r w:rsidRPr="00953751">
        <w:rPr>
          <w:rFonts w:hint="eastAsia"/>
        </w:rPr>
        <w:t>解釋《周禮</w:t>
      </w:r>
      <w:r w:rsidRPr="00953751">
        <w:t>·</w:t>
      </w:r>
      <w:r w:rsidRPr="00953751">
        <w:rPr>
          <w:rFonts w:hint="eastAsia"/>
        </w:rPr>
        <w:t>地官</w:t>
      </w:r>
      <w:r w:rsidRPr="00953751">
        <w:t>·</w:t>
      </w:r>
      <w:r w:rsidRPr="00953751">
        <w:rPr>
          <w:rFonts w:hint="eastAsia"/>
        </w:rPr>
        <w:t>司關》，賈疏：</w:t>
      </w:r>
      <w:r w:rsidRPr="00953751">
        <w:t>“</w:t>
      </w:r>
      <w:r w:rsidRPr="00953751">
        <w:rPr>
          <w:rFonts w:hint="eastAsia"/>
        </w:rPr>
        <w:t>引之者，《國語》云</w:t>
      </w:r>
      <w:r w:rsidRPr="00953751">
        <w:t>‘</w:t>
      </w:r>
      <w:r w:rsidRPr="00953751">
        <w:rPr>
          <w:rFonts w:hint="eastAsia"/>
        </w:rPr>
        <w:t>關尹以告</w:t>
      </w:r>
      <w:r w:rsidRPr="00953751">
        <w:t>’</w:t>
      </w:r>
      <w:r w:rsidRPr="00953751">
        <w:rPr>
          <w:rFonts w:hint="eastAsia"/>
        </w:rPr>
        <w:t>，則此經司關爲之告，一也。行理以節逆之者，證關尹告王，王使小行人以節迎之也。</w:t>
      </w:r>
      <w:r w:rsidRPr="00953751">
        <w:t>”</w:t>
      </w:r>
    </w:p>
    <w:p w:rsidR="00455D6B" w:rsidRPr="00953751" w:rsidRDefault="00455D6B" w:rsidP="00953751">
      <w:pPr>
        <w:pStyle w:val="aa"/>
        <w:ind w:firstLine="560"/>
      </w:pPr>
      <w:r w:rsidRPr="00953751">
        <w:rPr>
          <w:rFonts w:hint="eastAsia"/>
        </w:rPr>
        <w:lastRenderedPageBreak/>
        <w:t>又《從〈周禮正義〉中華本談引文訖止的判斷》中，以引文訖止的關鍵詞為抓手，體察語氣、運用文法斷定取捨。如：“又”、“又云”、“又曰”表示承接；“是也”表示引證或肯定；“是”、“彼”、“此”、“若然”、“所”表示指代；“蓋”、“則”、“然則”表示歸納或轉折；“故”、“以”表示因果；“今”表示對比；“即”表示對等；“之等”、“之屬”總束引文。凡此，都是在讀書中體察辭氣、歸納文法之會心所得，也是點校實踐的經驗方法的總結。</w:t>
      </w:r>
    </w:p>
    <w:p w:rsidR="00455D6B" w:rsidRPr="00953751" w:rsidRDefault="00455D6B" w:rsidP="00953751">
      <w:pPr>
        <w:pStyle w:val="aa"/>
        <w:ind w:firstLine="560"/>
      </w:pPr>
      <w:r w:rsidRPr="00953751">
        <w:rPr>
          <w:rFonts w:hint="eastAsia"/>
        </w:rPr>
        <w:t>《孟子·离娄下》：“天之高也，星辰之遠也，茍求其故，千歲之日至，可坐而致也。”孟子告訴人們：凡事物均有其“故”，即事物的本然規律。惟有遵循規律，“以利為本”，才能避免穿鑿傅會、自以為是、主觀武斷的錯誤，知類通達，用已知探求未知。《考訂》的著者殷勤治學，既能應用前賢治學之法，又能博學返約、孳孳以求點校古籍之“故”，其治學精神難能可貴。</w:t>
      </w:r>
    </w:p>
    <w:p w:rsidR="00455D6B" w:rsidRPr="00455D6B" w:rsidRDefault="00455D6B" w:rsidP="00455D6B">
      <w:pPr>
        <w:pStyle w:val="aa"/>
        <w:ind w:firstLine="562"/>
        <w:jc w:val="center"/>
        <w:rPr>
          <w:b/>
        </w:rPr>
      </w:pPr>
      <w:r w:rsidRPr="00455D6B">
        <w:rPr>
          <w:rFonts w:hint="eastAsia"/>
          <w:b/>
        </w:rPr>
        <w:t>五</w:t>
      </w:r>
    </w:p>
    <w:p w:rsidR="00455D6B" w:rsidRPr="00953751" w:rsidRDefault="00455D6B" w:rsidP="00953751">
      <w:pPr>
        <w:pStyle w:val="aa"/>
        <w:ind w:firstLine="560"/>
      </w:pPr>
      <w:r w:rsidRPr="00953751">
        <w:rPr>
          <w:rFonts w:hint="eastAsia"/>
        </w:rPr>
        <w:t>校勘學是比較不同版本異同，以求文獻原貌的學問。《周禮正義》孫校本批語是孫氏對乙巳本復核的結果，“人恒過，而後能改”，孫氏自訂其失，因此更具權威性。《考訂》用權威的孫校本與楚本、中華本對校，為判斷《周禮正義》異文正誤提供了確切依據。如《〈周禮</w:t>
      </w:r>
      <w:r w:rsidRPr="00953751">
        <w:rPr>
          <w:rFonts w:hint="eastAsia"/>
        </w:rPr>
        <w:lastRenderedPageBreak/>
        <w:t>正義〉楚本、中華本誤改辨正》所舉之七“不注意所據版本”例，《考訂》</w:t>
      </w:r>
      <w:r w:rsidRPr="00953751">
        <w:t>10</w:t>
      </w:r>
      <w:r w:rsidRPr="00953751">
        <w:rPr>
          <w:rFonts w:hint="eastAsia"/>
        </w:rPr>
        <w:t>頁根據孫疏引《說文》往往從段注本不從大徐本的特點，指出楚本、中華本將乙巳本《說文·田部》“畍，竟也”之“竟”改爲“境”是不對的，因為段玉裁還特地說明：“俗本作境，今正。”</w:t>
      </w:r>
    </w:p>
    <w:p w:rsidR="00455D6B" w:rsidRPr="00953751" w:rsidRDefault="00455D6B" w:rsidP="00953751">
      <w:pPr>
        <w:pStyle w:val="aa"/>
        <w:ind w:firstLine="560"/>
      </w:pPr>
      <w:r w:rsidRPr="00953751">
        <w:rPr>
          <w:rFonts w:hint="eastAsia"/>
        </w:rPr>
        <w:t>《考訂》通过穷尽的统计分析，發現楚本對乙巳本的正確校改有</w:t>
      </w:r>
      <w:r w:rsidRPr="00953751">
        <w:t>471</w:t>
      </w:r>
      <w:r w:rsidRPr="00953751">
        <w:rPr>
          <w:rFonts w:hint="eastAsia"/>
        </w:rPr>
        <w:t>處與孫校本相同。而中華本據楚本改乙巳本並出校者</w:t>
      </w:r>
      <w:r w:rsidRPr="00953751">
        <w:t>152</w:t>
      </w:r>
      <w:r w:rsidRPr="00953751">
        <w:rPr>
          <w:rFonts w:hint="eastAsia"/>
        </w:rPr>
        <w:t>處，主要改正訛脫衍倒，確切無誤；中華本“凡乙巳本誤而楚本不誤者，則據改出校”（《前言》），但在以楚本做工作本、把楚本改成乙巳本時，往往有漏校而從楚本，而乙巳本恰巧是錯誤的，楚本的校改與孫校本一致，這些一致的校改多達</w:t>
      </w:r>
      <w:r w:rsidRPr="00953751">
        <w:t>318</w:t>
      </w:r>
      <w:r w:rsidRPr="00953751">
        <w:rPr>
          <w:rFonts w:hint="eastAsia"/>
        </w:rPr>
        <w:t>處。中華本主觀上無意的疏漏在客觀上遵從了作者的原意。其中孫校本</w:t>
      </w:r>
      <w:r w:rsidRPr="00953751">
        <w:t>178</w:t>
      </w:r>
      <w:r w:rsidRPr="00953751">
        <w:rPr>
          <w:rFonts w:hint="eastAsia"/>
        </w:rPr>
        <w:t>處正確校改未被楚本採納，“數量如此之多，是周貞亮過錄時遺漏，還是篴湖精舍以楚學社本補刻時遺漏、或是覆校者未予採納呢？周貞亮過錄本已於</w:t>
      </w:r>
      <w:r w:rsidRPr="00953751">
        <w:t>2006</w:t>
      </w:r>
      <w:r w:rsidRPr="00953751">
        <w:rPr>
          <w:rFonts w:hint="eastAsia"/>
        </w:rPr>
        <w:t>年拍賣，如果收藏者願意出示，就能解決這一疑問。現在只能從楚本推測，是補刻時遺漏或覆校者未予採納的可能性較大；假如周貞亮所借不是毛雲鵬所藏孫校本，則據此</w:t>
      </w:r>
      <w:r w:rsidRPr="00953751">
        <w:t>178</w:t>
      </w:r>
      <w:r w:rsidRPr="00953751">
        <w:rPr>
          <w:rFonts w:hint="eastAsia"/>
        </w:rPr>
        <w:t>處正確校改可判斷前者無疑劣於後者。其中</w:t>
      </w:r>
      <w:r w:rsidRPr="00953751">
        <w:t>17</w:t>
      </w:r>
      <w:r w:rsidRPr="00953751">
        <w:rPr>
          <w:rFonts w:hint="eastAsia"/>
        </w:rPr>
        <w:t>處錯訛被中華本發覺而校改，有</w:t>
      </w:r>
      <w:r w:rsidRPr="00953751">
        <w:t>162</w:t>
      </w:r>
      <w:r w:rsidRPr="00953751">
        <w:rPr>
          <w:rFonts w:hint="eastAsia"/>
        </w:rPr>
        <w:t>處孫校本正確的校改，未被楚本所採納”（《考訂》</w:t>
      </w:r>
      <w:r w:rsidRPr="00953751">
        <w:t>29</w:t>
      </w:r>
      <w:r w:rsidRPr="00953751">
        <w:rPr>
          <w:rFonts w:hint="eastAsia"/>
        </w:rPr>
        <w:t>页）。</w:t>
      </w:r>
    </w:p>
    <w:p w:rsidR="00455D6B" w:rsidRPr="00953751" w:rsidRDefault="00455D6B" w:rsidP="00953751">
      <w:pPr>
        <w:pStyle w:val="aa"/>
        <w:ind w:firstLine="560"/>
      </w:pPr>
      <w:r w:rsidRPr="00953751">
        <w:rPr>
          <w:rFonts w:hint="eastAsia"/>
        </w:rPr>
        <w:lastRenderedPageBreak/>
        <w:t>在窮盡統計基礎上，《考訂》條分縷析，分別從文字訛誤、涉上下文而訛、脫文、衍文、倒文、出處錯誤、修改表述等方面，逐一考訂。而於楚本校改與孫校本出入處，孫校本引文有所權變而不墨守原書，孫校本偶有誤改，乃至孫校本校改存疑待質，亦都逐條訂正。誠如著者所言：</w:t>
      </w:r>
      <w:r w:rsidRPr="00953751">
        <w:t>“過錄孫校本批語與乙巳本、楚本、中華本對校，爲判斷《周禮正義》異文正誤、是非提供了確切依據，而楚本未予採納或有出入的近200處正確校改，更爲完善《周禮正義》點校提供了寶貴的依據。”</w:t>
      </w:r>
      <w:r w:rsidRPr="00953751">
        <w:rPr>
          <w:rFonts w:hint="eastAsia"/>
        </w:rPr>
        <w:t>（《考訂》</w:t>
      </w:r>
      <w:r w:rsidRPr="00953751">
        <w:t>70</w:t>
      </w:r>
      <w:r w:rsidRPr="00953751">
        <w:rPr>
          <w:rFonts w:hint="eastAsia"/>
        </w:rPr>
        <w:t>頁）</w:t>
      </w:r>
    </w:p>
    <w:p w:rsidR="00455D6B" w:rsidRPr="00455D6B" w:rsidRDefault="00455D6B" w:rsidP="00455D6B">
      <w:pPr>
        <w:pStyle w:val="aa"/>
        <w:ind w:firstLine="562"/>
        <w:jc w:val="center"/>
        <w:rPr>
          <w:b/>
        </w:rPr>
      </w:pPr>
      <w:r w:rsidRPr="00455D6B">
        <w:rPr>
          <w:rFonts w:hint="eastAsia"/>
          <w:b/>
        </w:rPr>
        <w:t>六</w:t>
      </w:r>
    </w:p>
    <w:p w:rsidR="00953751" w:rsidRPr="00953751" w:rsidRDefault="00455D6B" w:rsidP="00953751">
      <w:pPr>
        <w:pStyle w:val="aa"/>
        <w:ind w:firstLine="560"/>
      </w:pPr>
      <w:r w:rsidRPr="00953751">
        <w:rPr>
          <w:rFonts w:hint="eastAsia"/>
        </w:rPr>
        <w:t>陳垣先生說過：“校書如秋風掃落葉，旋掃旋生。”</w:t>
      </w:r>
      <w:r w:rsidRPr="00953751">
        <w:endnoteReference w:id="3"/>
      </w:r>
      <w:r w:rsidRPr="00953751">
        <w:rPr>
          <w:rFonts w:hint="eastAsia"/>
        </w:rPr>
        <w:t>說</w:t>
      </w:r>
      <w:r w:rsidR="00953751" w:rsidRPr="00953751">
        <w:rPr>
          <w:rFonts w:hint="eastAsia"/>
        </w:rPr>
        <w:t>明校勘工作的艱難。像《周礼正义》這部二百多萬字的大書，三本對校，復過錄孫氏批語，難免訛脫。且古人著書，廣採博證，引書往往隱括節略、斷章取義，雖有電子檢索，亦斷難復核全部引文。《考訂》有見於此，在《前言》中“期待讀者不斷訂補，以臻完善”，聞疑載疑，便是寄望於讀者：庶有達者理而董之。</w:t>
      </w:r>
    </w:p>
    <w:p w:rsidR="00953751" w:rsidRPr="00953751" w:rsidRDefault="00953751" w:rsidP="00953751">
      <w:pPr>
        <w:pStyle w:val="aa"/>
        <w:ind w:firstLine="560"/>
      </w:pPr>
      <w:r w:rsidRPr="00953751">
        <w:rPr>
          <w:rFonts w:hint="eastAsia"/>
        </w:rPr>
        <w:t>如果說《周禮正義》點校本準確解決了孫疏“是什麼”的問題，重在恢復原貌；那麼《〈周禮正義〉點校考訂》則回答了“為什麼”和“怎麼樣”的問題，重在考證理論和實踐方法。兩書體用結合，互</w:t>
      </w:r>
      <w:r w:rsidRPr="00953751">
        <w:rPr>
          <w:rFonts w:hint="eastAsia"/>
        </w:rPr>
        <w:lastRenderedPageBreak/>
        <w:t>為印證，珠聯璧合，相得益彰。誠如《考訂》</w:t>
      </w:r>
      <w:r w:rsidRPr="00953751">
        <w:t>92</w:t>
      </w:r>
      <w:r w:rsidRPr="00953751">
        <w:rPr>
          <w:rFonts w:hint="eastAsia"/>
        </w:rPr>
        <w:t>頁所說：“逐一核對原文是保證引文訖止准確的辦法，但過於費事，且原文有時難以尋找。因而從《周禮正義》點校本的誤判中歸納出一些條例，可以爲今後標點古籍提供有益的參考。”歸納條例，探討規律，總結方法，昭示來學，正是《考訂》著者的立意初心，更是《考訂》一書的價值所在。</w:t>
      </w:r>
    </w:p>
    <w:p w:rsidR="00953751" w:rsidRPr="00953751" w:rsidRDefault="00953751" w:rsidP="00953751">
      <w:pPr>
        <w:pStyle w:val="aa"/>
        <w:ind w:firstLine="560"/>
      </w:pPr>
    </w:p>
    <w:p w:rsidR="00953751" w:rsidRPr="00953751" w:rsidRDefault="00953751" w:rsidP="00953751">
      <w:pPr>
        <w:pStyle w:val="aa"/>
        <w:ind w:firstLine="560"/>
      </w:pPr>
    </w:p>
    <w:p w:rsidR="00953751" w:rsidRPr="00953751" w:rsidRDefault="00953751" w:rsidP="00953751">
      <w:pPr>
        <w:pStyle w:val="aa"/>
        <w:ind w:firstLine="560"/>
      </w:pPr>
    </w:p>
    <w:p w:rsidR="00953751" w:rsidRPr="00953751" w:rsidRDefault="00953751" w:rsidP="00953751">
      <w:pPr>
        <w:pStyle w:val="aa"/>
        <w:ind w:firstLine="560"/>
      </w:pPr>
    </w:p>
    <w:p w:rsidR="00953751" w:rsidRPr="00953751" w:rsidRDefault="00953751" w:rsidP="00455D6B">
      <w:pPr>
        <w:pStyle w:val="aa"/>
        <w:ind w:firstLine="560"/>
        <w:jc w:val="right"/>
      </w:pPr>
      <w:r w:rsidRPr="00953751">
        <w:t>原載《文献语言学》第5辑，中華書局2018年3月。</w:t>
      </w:r>
    </w:p>
    <w:bookmarkEnd w:id="0"/>
    <w:bookmarkEnd w:id="1"/>
    <w:p w:rsidR="00F27D53" w:rsidRPr="00953751" w:rsidRDefault="00F27D53" w:rsidP="00953751">
      <w:pPr>
        <w:pStyle w:val="aa"/>
        <w:ind w:firstLine="560"/>
      </w:pPr>
    </w:p>
    <w:sectPr w:rsidR="00F27D53" w:rsidRPr="00953751">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ED" w:rsidRDefault="003413ED" w:rsidP="00CB0024">
      <w:r>
        <w:separator/>
      </w:r>
    </w:p>
  </w:endnote>
  <w:endnote w:type="continuationSeparator" w:id="0">
    <w:p w:rsidR="003413ED" w:rsidRDefault="003413ED" w:rsidP="00CB0024">
      <w:r>
        <w:continuationSeparator/>
      </w:r>
    </w:p>
  </w:endnote>
  <w:endnote w:id="1">
    <w:p w:rsidR="00455D6B" w:rsidRPr="00455D6B" w:rsidRDefault="00455D6B" w:rsidP="00455D6B">
      <w:r w:rsidRPr="00455D6B">
        <w:endnoteRef/>
      </w:r>
      <w:r w:rsidRPr="00455D6B">
        <w:t xml:space="preserve"> 阮元</w:t>
      </w:r>
      <w:r w:rsidRPr="00455D6B">
        <w:rPr>
          <w:rFonts w:hint="eastAsia"/>
        </w:rPr>
        <w:t>《揅經室集》，中華書局，2006年，第241頁。</w:t>
      </w:r>
    </w:p>
  </w:endnote>
  <w:endnote w:id="2">
    <w:p w:rsidR="00455D6B" w:rsidRPr="00455D6B" w:rsidRDefault="00455D6B" w:rsidP="00455D6B">
      <w:r w:rsidRPr="00455D6B">
        <w:endnoteRef/>
      </w:r>
      <w:r w:rsidRPr="00455D6B">
        <w:rPr>
          <w:rFonts w:hint="eastAsia"/>
        </w:rPr>
        <w:t xml:space="preserve"> </w:t>
      </w:r>
      <w:r w:rsidRPr="00455D6B">
        <w:t xml:space="preserve">賴永海主編 </w:t>
      </w:r>
      <w:r w:rsidRPr="00455D6B">
        <w:rPr>
          <w:rFonts w:hint="eastAsia"/>
        </w:rPr>
        <w:t>《段玉裁全書》，江蘇人民出版社，2015年，第2冊，第7頁。</w:t>
      </w:r>
    </w:p>
  </w:endnote>
  <w:endnote w:id="3">
    <w:p w:rsidR="00455D6B" w:rsidRDefault="00455D6B" w:rsidP="00455D6B">
      <w:r w:rsidRPr="00455D6B">
        <w:endnoteRef/>
      </w:r>
      <w:r w:rsidRPr="00455D6B">
        <w:t xml:space="preserve"> 史樹青</w:t>
      </w:r>
      <w:r w:rsidRPr="00455D6B">
        <w:rPr>
          <w:rFonts w:hint="eastAsia"/>
        </w:rPr>
        <w:t>《勵耘書屋問學札記》，《勵耘書屋問學記》第82頁，三聯書店1982年。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953751">
      <w:rPr>
        <w:rFonts w:hint="eastAsia"/>
        <w:sz w:val="18"/>
        <w:szCs w:val="18"/>
      </w:rPr>
      <w:t>6</w:t>
    </w:r>
    <w:r w:rsidRPr="00C01B1F">
      <w:rPr>
        <w:rFonts w:hint="eastAsia"/>
        <w:sz w:val="18"/>
        <w:szCs w:val="18"/>
      </w:rPr>
      <w:t>月</w:t>
    </w:r>
    <w:r w:rsidR="00953751">
      <w:rPr>
        <w:rFonts w:hint="eastAsia"/>
        <w:sz w:val="18"/>
        <w:szCs w:val="18"/>
      </w:rPr>
      <w:t>13</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953751">
      <w:rPr>
        <w:rFonts w:hint="eastAsia"/>
        <w:sz w:val="18"/>
        <w:szCs w:val="18"/>
      </w:rPr>
      <w:t>6</w:t>
    </w:r>
    <w:r w:rsidRPr="00C01B1F">
      <w:rPr>
        <w:rFonts w:hint="eastAsia"/>
        <w:sz w:val="18"/>
        <w:szCs w:val="18"/>
      </w:rPr>
      <w:t>月</w:t>
    </w:r>
    <w:r w:rsidR="00953751">
      <w:rPr>
        <w:sz w:val="18"/>
        <w:szCs w:val="18"/>
      </w:rPr>
      <w:t>1</w:t>
    </w:r>
    <w:r w:rsidR="00953751">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9E7E86">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9E7E86">
      <w:rPr>
        <w:noProof/>
        <w:sz w:val="18"/>
        <w:szCs w:val="18"/>
      </w:rPr>
      <w:t>13</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ED" w:rsidRDefault="003413ED" w:rsidP="00CB0024">
      <w:r>
        <w:separator/>
      </w:r>
    </w:p>
  </w:footnote>
  <w:footnote w:type="continuationSeparator" w:id="0">
    <w:p w:rsidR="003413ED" w:rsidRDefault="003413E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5289" w:rsidP="00EF302F">
    <w:pPr>
      <w:pStyle w:val="af"/>
      <w:spacing w:before="240" w:after="240"/>
      <w:ind w:firstLine="436"/>
    </w:pPr>
    <w:r>
      <w:rPr>
        <w:rFonts w:hint="eastAsia"/>
      </w:rPr>
      <w:t>复旦大学出土文献与古文字研究中心网站论文</w:t>
    </w:r>
  </w:p>
  <w:p w:rsidR="009C5916" w:rsidRPr="00EF302F" w:rsidRDefault="00BA5289" w:rsidP="00EF302F">
    <w:pPr>
      <w:pStyle w:val="af"/>
      <w:spacing w:before="240" w:after="240"/>
      <w:ind w:firstLine="436"/>
    </w:pPr>
    <w:r>
      <w:rPr>
        <w:rFonts w:hint="eastAsia"/>
      </w:rPr>
      <w:t>链接：</w:t>
    </w:r>
    <w:r w:rsidRPr="00032E60">
      <w:t>http://www.</w:t>
    </w:r>
    <w:r w:rsidR="00953751">
      <w:t>gwz.fudan.edu.cn/Web/Show/425</w:t>
    </w:r>
    <w:r w:rsidR="00953751">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2pt;height:49.8pt;visibility:visible" o:bullet="t">
        <v:imagedata r:id="rId1" o:title=""/>
      </v:shape>
    </w:pict>
  </w:numPicBullet>
  <w:numPicBullet w:numPicBulletId="1">
    <w:pict>
      <v:shape id="_x0000_i1031" type="#_x0000_t75" style="width:21.6pt;height:27.6pt" o:bullet="t">
        <v:imagedata r:id="rId2" o:title=""/>
        <o:lock v:ext="edit" aspectratio="f"/>
      </v:shape>
    </w:pict>
  </w:numPicBullet>
  <w:abstractNum w:abstractNumId="0" w15:restartNumberingAfterBreak="0">
    <w:nsid w:val="BB3C1429"/>
    <w:multiLevelType w:val="singleLevel"/>
    <w:tmpl w:val="BB3C1429"/>
    <w:lvl w:ilvl="0">
      <w:start w:val="1"/>
      <w:numFmt w:val="decimal"/>
      <w:suff w:val="nothing"/>
      <w:lvlText w:val="%1、"/>
      <w:lvlJc w:val="left"/>
    </w:lvl>
  </w:abstractNum>
  <w:abstractNum w:abstractNumId="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5" w15:restartNumberingAfterBreak="0">
    <w:nsid w:val="5A707373"/>
    <w:multiLevelType w:val="singleLevel"/>
    <w:tmpl w:val="5A707373"/>
    <w:lvl w:ilvl="0">
      <w:start w:val="1"/>
      <w:numFmt w:val="chineseCounting"/>
      <w:suff w:val="nothing"/>
      <w:lvlText w:val="第%1，"/>
      <w:lvlJc w:val="left"/>
    </w:lvl>
  </w:abstractNum>
  <w:abstractNum w:abstractNumId="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11970"/>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0902"/>
    <w:rsid w:val="00131D4E"/>
    <w:rsid w:val="001347BB"/>
    <w:rsid w:val="00140894"/>
    <w:rsid w:val="00156D70"/>
    <w:rsid w:val="001641C2"/>
    <w:rsid w:val="00167A7A"/>
    <w:rsid w:val="00194702"/>
    <w:rsid w:val="00195BA5"/>
    <w:rsid w:val="00196304"/>
    <w:rsid w:val="0019751F"/>
    <w:rsid w:val="001A19B2"/>
    <w:rsid w:val="001A5188"/>
    <w:rsid w:val="001B293E"/>
    <w:rsid w:val="001B682E"/>
    <w:rsid w:val="001B710F"/>
    <w:rsid w:val="001C0EEC"/>
    <w:rsid w:val="001D1713"/>
    <w:rsid w:val="001F1BFC"/>
    <w:rsid w:val="00211416"/>
    <w:rsid w:val="00216AB7"/>
    <w:rsid w:val="0022696F"/>
    <w:rsid w:val="00231125"/>
    <w:rsid w:val="002346A0"/>
    <w:rsid w:val="00237037"/>
    <w:rsid w:val="00240EAB"/>
    <w:rsid w:val="00243FD0"/>
    <w:rsid w:val="0024748E"/>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2F2D81"/>
    <w:rsid w:val="00300BB1"/>
    <w:rsid w:val="00305EBE"/>
    <w:rsid w:val="00311E98"/>
    <w:rsid w:val="00313A1D"/>
    <w:rsid w:val="00317E80"/>
    <w:rsid w:val="00324A0C"/>
    <w:rsid w:val="00330794"/>
    <w:rsid w:val="00332FF4"/>
    <w:rsid w:val="00334313"/>
    <w:rsid w:val="0033589E"/>
    <w:rsid w:val="003367D1"/>
    <w:rsid w:val="003413ED"/>
    <w:rsid w:val="003516DF"/>
    <w:rsid w:val="003541B9"/>
    <w:rsid w:val="00365AA8"/>
    <w:rsid w:val="00373178"/>
    <w:rsid w:val="00375FA4"/>
    <w:rsid w:val="00376418"/>
    <w:rsid w:val="00377962"/>
    <w:rsid w:val="003804C5"/>
    <w:rsid w:val="00380E0F"/>
    <w:rsid w:val="003914E2"/>
    <w:rsid w:val="00394082"/>
    <w:rsid w:val="00395D81"/>
    <w:rsid w:val="003A0D1A"/>
    <w:rsid w:val="003A1714"/>
    <w:rsid w:val="003C3289"/>
    <w:rsid w:val="003C4800"/>
    <w:rsid w:val="003C4D06"/>
    <w:rsid w:val="003E1354"/>
    <w:rsid w:val="00403C1D"/>
    <w:rsid w:val="004127DD"/>
    <w:rsid w:val="00430CA7"/>
    <w:rsid w:val="00430F52"/>
    <w:rsid w:val="00431BEA"/>
    <w:rsid w:val="00440BE0"/>
    <w:rsid w:val="00445B35"/>
    <w:rsid w:val="004555EF"/>
    <w:rsid w:val="00455D6B"/>
    <w:rsid w:val="00456FAD"/>
    <w:rsid w:val="004628E8"/>
    <w:rsid w:val="00466A1C"/>
    <w:rsid w:val="00471E95"/>
    <w:rsid w:val="0048364F"/>
    <w:rsid w:val="004860A2"/>
    <w:rsid w:val="004918C3"/>
    <w:rsid w:val="004A2C87"/>
    <w:rsid w:val="004B0D90"/>
    <w:rsid w:val="004D1FA3"/>
    <w:rsid w:val="004E6E8E"/>
    <w:rsid w:val="004F62FC"/>
    <w:rsid w:val="00503A9E"/>
    <w:rsid w:val="0051092B"/>
    <w:rsid w:val="0051587D"/>
    <w:rsid w:val="00515C06"/>
    <w:rsid w:val="0051605E"/>
    <w:rsid w:val="005169A1"/>
    <w:rsid w:val="00517428"/>
    <w:rsid w:val="0052033E"/>
    <w:rsid w:val="005308E6"/>
    <w:rsid w:val="0053295D"/>
    <w:rsid w:val="00542D51"/>
    <w:rsid w:val="005444A2"/>
    <w:rsid w:val="00546876"/>
    <w:rsid w:val="00560EBB"/>
    <w:rsid w:val="00570DB1"/>
    <w:rsid w:val="00570E9F"/>
    <w:rsid w:val="005755E3"/>
    <w:rsid w:val="005816FB"/>
    <w:rsid w:val="00584AEE"/>
    <w:rsid w:val="005935F3"/>
    <w:rsid w:val="00594347"/>
    <w:rsid w:val="005A2D63"/>
    <w:rsid w:val="005A419C"/>
    <w:rsid w:val="005B29BC"/>
    <w:rsid w:val="005B69A6"/>
    <w:rsid w:val="005C51B2"/>
    <w:rsid w:val="005D22B2"/>
    <w:rsid w:val="005D2F69"/>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A1B0D"/>
    <w:rsid w:val="006A3F90"/>
    <w:rsid w:val="006B0F0D"/>
    <w:rsid w:val="006B1CF9"/>
    <w:rsid w:val="006B47EE"/>
    <w:rsid w:val="006C6BAA"/>
    <w:rsid w:val="006E0E0C"/>
    <w:rsid w:val="006E2F87"/>
    <w:rsid w:val="006E760F"/>
    <w:rsid w:val="006F28BC"/>
    <w:rsid w:val="006F300C"/>
    <w:rsid w:val="006F52F5"/>
    <w:rsid w:val="006F79DD"/>
    <w:rsid w:val="007138A4"/>
    <w:rsid w:val="00715D6B"/>
    <w:rsid w:val="007166DE"/>
    <w:rsid w:val="007317E0"/>
    <w:rsid w:val="0073487E"/>
    <w:rsid w:val="00740478"/>
    <w:rsid w:val="00742DDD"/>
    <w:rsid w:val="0075360F"/>
    <w:rsid w:val="0076174E"/>
    <w:rsid w:val="007708C6"/>
    <w:rsid w:val="00771D41"/>
    <w:rsid w:val="0077379F"/>
    <w:rsid w:val="00773918"/>
    <w:rsid w:val="007B1A80"/>
    <w:rsid w:val="007C4028"/>
    <w:rsid w:val="007C6D48"/>
    <w:rsid w:val="007D776B"/>
    <w:rsid w:val="00805018"/>
    <w:rsid w:val="008072ED"/>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B2BC5"/>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477D9"/>
    <w:rsid w:val="00951E3D"/>
    <w:rsid w:val="00953751"/>
    <w:rsid w:val="00962238"/>
    <w:rsid w:val="00964805"/>
    <w:rsid w:val="00970316"/>
    <w:rsid w:val="00970D12"/>
    <w:rsid w:val="0097125F"/>
    <w:rsid w:val="00986333"/>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E7E86"/>
    <w:rsid w:val="009F4D40"/>
    <w:rsid w:val="00A00A18"/>
    <w:rsid w:val="00A04D48"/>
    <w:rsid w:val="00A0577E"/>
    <w:rsid w:val="00A06EEC"/>
    <w:rsid w:val="00A072DD"/>
    <w:rsid w:val="00A303C4"/>
    <w:rsid w:val="00A33350"/>
    <w:rsid w:val="00A35CE6"/>
    <w:rsid w:val="00A4525C"/>
    <w:rsid w:val="00A52734"/>
    <w:rsid w:val="00A553B6"/>
    <w:rsid w:val="00A60B6E"/>
    <w:rsid w:val="00A710B2"/>
    <w:rsid w:val="00A71884"/>
    <w:rsid w:val="00A72999"/>
    <w:rsid w:val="00A7444E"/>
    <w:rsid w:val="00A76F1D"/>
    <w:rsid w:val="00A84BF3"/>
    <w:rsid w:val="00AA2818"/>
    <w:rsid w:val="00AA4359"/>
    <w:rsid w:val="00AA543B"/>
    <w:rsid w:val="00AA5ACA"/>
    <w:rsid w:val="00AA6604"/>
    <w:rsid w:val="00AC4C6A"/>
    <w:rsid w:val="00AD0F5C"/>
    <w:rsid w:val="00AD369B"/>
    <w:rsid w:val="00AD7B0D"/>
    <w:rsid w:val="00AE20DF"/>
    <w:rsid w:val="00AF479D"/>
    <w:rsid w:val="00AF635B"/>
    <w:rsid w:val="00AF75C8"/>
    <w:rsid w:val="00B00EE9"/>
    <w:rsid w:val="00B030E6"/>
    <w:rsid w:val="00B059FD"/>
    <w:rsid w:val="00B07332"/>
    <w:rsid w:val="00B20E51"/>
    <w:rsid w:val="00B23528"/>
    <w:rsid w:val="00B27C68"/>
    <w:rsid w:val="00B34DD8"/>
    <w:rsid w:val="00B43721"/>
    <w:rsid w:val="00B47060"/>
    <w:rsid w:val="00B47693"/>
    <w:rsid w:val="00B50CD0"/>
    <w:rsid w:val="00B63ADF"/>
    <w:rsid w:val="00B7298C"/>
    <w:rsid w:val="00B738EA"/>
    <w:rsid w:val="00B73A04"/>
    <w:rsid w:val="00B75C45"/>
    <w:rsid w:val="00B8095D"/>
    <w:rsid w:val="00B831B3"/>
    <w:rsid w:val="00B8604A"/>
    <w:rsid w:val="00B92CC7"/>
    <w:rsid w:val="00BA4771"/>
    <w:rsid w:val="00BA4E68"/>
    <w:rsid w:val="00BA5289"/>
    <w:rsid w:val="00BB017B"/>
    <w:rsid w:val="00BC126B"/>
    <w:rsid w:val="00BD4E67"/>
    <w:rsid w:val="00BE148F"/>
    <w:rsid w:val="00BE5AA8"/>
    <w:rsid w:val="00BF358E"/>
    <w:rsid w:val="00BF5F1D"/>
    <w:rsid w:val="00C037A6"/>
    <w:rsid w:val="00C03F8A"/>
    <w:rsid w:val="00C200D7"/>
    <w:rsid w:val="00C217A0"/>
    <w:rsid w:val="00C36956"/>
    <w:rsid w:val="00C40577"/>
    <w:rsid w:val="00C43658"/>
    <w:rsid w:val="00C673BD"/>
    <w:rsid w:val="00C7337F"/>
    <w:rsid w:val="00C75C1A"/>
    <w:rsid w:val="00C86E98"/>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1460"/>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B1A8E"/>
    <w:rsid w:val="00DB281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330F9"/>
    <w:rsid w:val="00E3579F"/>
    <w:rsid w:val="00E37814"/>
    <w:rsid w:val="00E415C5"/>
    <w:rsid w:val="00E53B98"/>
    <w:rsid w:val="00E74B97"/>
    <w:rsid w:val="00E768A0"/>
    <w:rsid w:val="00E84361"/>
    <w:rsid w:val="00E84A0C"/>
    <w:rsid w:val="00E90438"/>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212F7"/>
    <w:rsid w:val="00F27D53"/>
    <w:rsid w:val="00F322A5"/>
    <w:rsid w:val="00F34E9E"/>
    <w:rsid w:val="00F36F17"/>
    <w:rsid w:val="00F53292"/>
    <w:rsid w:val="00F5440A"/>
    <w:rsid w:val="00F54627"/>
    <w:rsid w:val="00F6326B"/>
    <w:rsid w:val="00F63F58"/>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51E2FF-0DB5-466B-AC68-A1656C91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nyfontcontent">
    <w:name w:val="ny_font_content"/>
    <w:basedOn w:val="a0"/>
    <w:rsid w:val="00D3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0266">
      <w:bodyDiv w:val="1"/>
      <w:marLeft w:val="0"/>
      <w:marRight w:val="0"/>
      <w:marTop w:val="0"/>
      <w:marBottom w:val="0"/>
      <w:divBdr>
        <w:top w:val="none" w:sz="0" w:space="0" w:color="auto"/>
        <w:left w:val="none" w:sz="0" w:space="0" w:color="auto"/>
        <w:bottom w:val="none" w:sz="0" w:space="0" w:color="auto"/>
        <w:right w:val="none" w:sz="0" w:space="0" w:color="auto"/>
      </w:divBdr>
      <w:divsChild>
        <w:div w:id="22067880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22C8-EBC8-4F06-A965-CD756892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13</Pages>
  <Words>3108</Words>
  <Characters>3140</Characters>
  <Application>Microsoft Office Word</Application>
  <DocSecurity>0</DocSecurity>
  <Lines>116</Lines>
  <Paragraphs>31</Paragraphs>
  <ScaleCrop>false</ScaleCrop>
  <Company>GWZ</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49</cp:revision>
  <dcterms:created xsi:type="dcterms:W3CDTF">2018-01-27T09:07:00Z</dcterms:created>
  <dcterms:modified xsi:type="dcterms:W3CDTF">2018-06-13T13:31:00Z</dcterms:modified>
</cp:coreProperties>
</file>